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K-Maps Iʿrāb Layer — Master Philosophy Document — Version 1.0</w:t>
      </w:r>
    </w:p>
    <w:p>
      <w:pPr>
        <w:jc w:val="center"/>
      </w:pPr>
      <w:r>
        <w:rPr>
          <w:b/>
          <w:color w:val="5A5A5A"/>
          <w:sz w:val="24"/>
        </w:rPr>
        <w:t>K-Maps Quran إعراب Layer</w:t>
        <w:br/>
        <w:t>Master Philosophy Document</w:t>
        <w:br/>
        <w:t>Philosophy — Research Doctrine — Tafsir-Iʿrāb Integration — Quran-Grounded UI Model</w:t>
      </w:r>
    </w:p>
    <w:p>
      <w:pPr>
        <w:jc w:val="center"/>
      </w:pPr>
      <w:r>
        <w:rPr>
          <w:i/>
          <w:color w:val="5A5A5A"/>
          <w:sz w:val="19"/>
        </w:rPr>
        <w:t>Version 1.0 — Created for K-Maps — April 2026</w:t>
      </w:r>
    </w:p>
    <w:tbl>
      <w:tblPr>
        <w:tblW w:type="auto" w:w="0"/>
        <w:jc w:val="center"/>
        <w:tblLook w:firstColumn="1" w:firstRow="1" w:lastColumn="0" w:lastRow="0" w:noHBand="0" w:noVBand="1" w:val="04A0"/>
      </w:tblPr>
      <w:tblGrid>
        <w:gridCol w:w="10368"/>
      </w:tblGrid>
      <w:tr>
        <w:tc>
          <w:tcPr>
            <w:tcW w:type="dxa" w:w="10368"/>
            <w:shd w:fill="FFF2CC"/>
            <w:vAlign w:val="center"/>
          </w:tcPr>
          <w:p>
            <w:pPr>
              <w:spacing w:after="0"/>
            </w:pPr>
            <w:r>
              <w:rPr>
                <w:b/>
                <w:sz w:val="20"/>
              </w:rPr>
              <w:t>⚠️ Boundary Rule</w:t>
              <w:br/>
            </w:r>
            <w:r>
              <w:rPr>
                <w:sz w:val="18"/>
              </w:rPr>
              <w:t>This document covers إعراب only. صرف and بلاغة are separate documents and must not be merged here. Tafsir is used only where it explains grammar-linked meaning, attachment, scope, ellipsis, or syntactic dispute.</w:t>
            </w:r>
          </w:p>
        </w:tc>
      </w:tr>
    </w:tbl>
    <w:p/>
    <w:p>
      <w:pPr>
        <w:pStyle w:val="Heading1"/>
      </w:pPr>
      <w:r>
        <w:t>1. Scope and Doctrine</w:t>
      </w:r>
    </w:p>
    <w:p>
      <w:r>
        <w:t>إعراب is not merely giving endings. It is the map of how Quranic words become relations: who governs, who is governed, what is attached, what is omitted, what clause performs what function, and how structure opens meaning.</w:t>
      </w:r>
    </w:p>
    <w:p>
      <w:pPr>
        <w:pStyle w:val="Heading2"/>
      </w:pPr>
      <w:r>
        <w:t>1.1 Non-Negotiable Doctrine</w:t>
      </w:r>
    </w:p>
    <w:p>
      <w:pPr>
        <w:pStyle w:val="ListNumber"/>
      </w:pPr>
      <w:r>
        <w:t>Quran-driven only: every إعراب entry begins from an actual Quran scope, not from an abstract textbook example.</w:t>
      </w:r>
    </w:p>
    <w:p>
      <w:pPr>
        <w:pStyle w:val="ListNumber"/>
      </w:pPr>
      <w:r>
        <w:t>Arabic source text is the evidence; English is only a helper explanation.</w:t>
      </w:r>
    </w:p>
    <w:p>
      <w:pPr>
        <w:pStyle w:val="ListNumber"/>
      </w:pPr>
      <w:r>
        <w:t>Do not silently overwrite the locked Quran spine or other layers.</w:t>
      </w:r>
    </w:p>
    <w:p>
      <w:pPr>
        <w:pStyle w:val="ListNumber"/>
      </w:pPr>
      <w:r>
        <w:t>No public UI row appears without source evidence, locator, confidence, and review status.</w:t>
      </w:r>
    </w:p>
    <w:p>
      <w:pPr>
        <w:pStyle w:val="ListNumber"/>
      </w:pPr>
      <w:r>
        <w:t>Tafsir is a first-class source only when it explains the layer-specific meaning.</w:t>
      </w:r>
    </w:p>
    <w:p>
      <w:pPr>
        <w:pStyle w:val="ListNumber"/>
      </w:pPr>
      <w:r>
        <w:t>Disputes are stored as disputes; the system does not choose silently.</w:t>
      </w:r>
    </w:p>
    <w:p>
      <w:pPr>
        <w:pStyle w:val="ListNumber"/>
      </w:pPr>
      <w:r>
        <w:t>Vector retrieval supports discovery. Canonical truth lives in D1.</w:t>
      </w:r>
    </w:p>
    <w:p>
      <w:pPr>
        <w:pStyle w:val="Heading2"/>
      </w:pPr>
      <w:r>
        <w:t>1.2 What إعراب Owns vs. Does Not Own</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Owned by Iʿrāb</w:t>
            </w:r>
          </w:p>
        </w:tc>
        <w:tc>
          <w:tcPr>
            <w:tcW w:type="dxa" w:w="5184"/>
            <w:shd w:fill="D9EAF7"/>
          </w:tcPr>
          <w:p>
            <w:pPr>
              <w:spacing w:after="0"/>
            </w:pPr>
            <w:r/>
            <w:r>
              <w:rPr>
                <w:b/>
                <w:sz w:val="17"/>
              </w:rPr>
              <w:t>Not Owned by Iʿrāb</w:t>
            </w:r>
          </w:p>
        </w:tc>
      </w:tr>
      <w:tr>
        <w:tc>
          <w:tcPr>
            <w:tcW w:type="dxa" w:w="5184"/>
          </w:tcPr>
          <w:p>
            <w:pPr>
              <w:spacing w:after="0"/>
            </w:pPr>
            <w:r/>
            <w:r>
              <w:rPr>
                <w:b w:val="0"/>
                <w:sz w:val="17"/>
              </w:rPr>
              <w:t>Grammatical role, case function, governing relation</w:t>
            </w:r>
          </w:p>
        </w:tc>
        <w:tc>
          <w:tcPr>
            <w:tcW w:type="dxa" w:w="5184"/>
          </w:tcPr>
          <w:p>
            <w:pPr>
              <w:spacing w:after="0"/>
            </w:pPr>
            <w:r/>
            <w:r>
              <w:rPr>
                <w:b w:val="0"/>
                <w:sz w:val="17"/>
              </w:rPr>
              <w:t>Root/form derivation as final Sarf truth</w:t>
            </w:r>
          </w:p>
        </w:tc>
      </w:tr>
      <w:tr>
        <w:tc>
          <w:tcPr>
            <w:tcW w:type="dxa" w:w="5184"/>
          </w:tcPr>
          <w:p>
            <w:pPr>
              <w:spacing w:after="0"/>
            </w:pPr>
            <w:r/>
            <w:r>
              <w:rPr>
                <w:b w:val="0"/>
                <w:sz w:val="17"/>
              </w:rPr>
              <w:t>Phrase/clause/sentence trees and attachments</w:t>
            </w:r>
          </w:p>
        </w:tc>
        <w:tc>
          <w:tcPr>
            <w:tcW w:type="dxa" w:w="5184"/>
          </w:tcPr>
          <w:p>
            <w:pPr>
              <w:spacing w:after="0"/>
            </w:pPr>
            <w:r/>
            <w:r>
              <w:rPr>
                <w:b w:val="0"/>
                <w:sz w:val="17"/>
              </w:rPr>
              <w:t>Rhetorical device effect as final Balāgha truth</w:t>
            </w:r>
          </w:p>
        </w:tc>
      </w:tr>
      <w:tr>
        <w:tc>
          <w:tcPr>
            <w:tcW w:type="dxa" w:w="5184"/>
          </w:tcPr>
          <w:p>
            <w:pPr>
              <w:spacing w:after="0"/>
            </w:pPr>
            <w:r/>
            <w:r>
              <w:rPr>
                <w:b w:val="0"/>
                <w:sz w:val="17"/>
              </w:rPr>
              <w:t>Hidden elements and syntactic ellipsis</w:t>
            </w:r>
          </w:p>
        </w:tc>
        <w:tc>
          <w:tcPr>
            <w:tcW w:type="dxa" w:w="5184"/>
          </w:tcPr>
          <w:p>
            <w:pPr>
              <w:spacing w:after="0"/>
            </w:pPr>
            <w:r/>
            <w:r>
              <w:rPr>
                <w:b w:val="0"/>
                <w:sz w:val="17"/>
              </w:rPr>
              <w:t>Full theological/worldview conclusions</w:t>
            </w:r>
          </w:p>
        </w:tc>
      </w:tr>
      <w:tr>
        <w:tc>
          <w:tcPr>
            <w:tcW w:type="dxa" w:w="5184"/>
          </w:tcPr>
          <w:p>
            <w:pPr>
              <w:spacing w:after="0"/>
            </w:pPr>
            <w:r/>
            <w:r>
              <w:rPr>
                <w:b w:val="0"/>
                <w:sz w:val="17"/>
              </w:rPr>
              <w:t>Qirāʾah-based syntactic variants</w:t>
            </w:r>
          </w:p>
        </w:tc>
        <w:tc>
          <w:tcPr>
            <w:tcW w:type="dxa" w:w="5184"/>
          </w:tcPr>
          <w:p>
            <w:pPr>
              <w:spacing w:after="0"/>
            </w:pPr>
            <w:r/>
            <w:r>
              <w:rPr>
                <w:b w:val="0"/>
                <w:sz w:val="17"/>
              </w:rPr>
              <w:t>Generic tafsir not tied to grammar</w:t>
            </w:r>
          </w:p>
        </w:tc>
      </w:tr>
      <w:tr>
        <w:tc>
          <w:tcPr>
            <w:tcW w:type="dxa" w:w="5184"/>
          </w:tcPr>
          <w:p>
            <w:pPr>
              <w:spacing w:after="0"/>
            </w:pPr>
            <w:r/>
            <w:r>
              <w:rPr>
                <w:b w:val="0"/>
                <w:sz w:val="17"/>
              </w:rPr>
              <w:t>Translation loss from case/scope/attachment</w:t>
            </w:r>
          </w:p>
        </w:tc>
        <w:tc>
          <w:tcPr>
            <w:tcW w:type="dxa" w:w="5184"/>
          </w:tcPr>
          <w:p>
            <w:pPr>
              <w:spacing w:after="0"/>
            </w:pPr>
            <w:r/>
            <w:r>
              <w:rPr>
                <w:b w:val="0"/>
                <w:sz w:val="17"/>
              </w:rPr>
              <w:t>Aesthetic/rhetorical claims without grammar relevance</w:t>
            </w:r>
          </w:p>
        </w:tc>
      </w:tr>
    </w:tbl>
    <w:p/>
    <w:p>
      <w:pPr>
        <w:pStyle w:val="Heading1"/>
      </w:pPr>
      <w:r>
        <w:t>2. Iʿrāb Meaning Model</w:t>
      </w:r>
    </w:p>
    <w:p>
      <w:r>
        <w:t>K-Maps should not present إعراب as a dry label. The UI should answer: what structure/effect is present, why it matters here, what source supports it, and what is lost if the reader only sees a flat translation.</w:t>
      </w:r>
    </w:p>
    <w:p>
      <w:pPr>
        <w:pStyle w:val="Heading2"/>
      </w:pPr>
      <w:r>
        <w:t>2.1 Five Levels of Meaning</w:t>
      </w:r>
    </w:p>
    <w:p>
      <w:pPr>
        <w:pStyle w:val="ListNumber"/>
      </w:pPr>
      <w:r>
        <w:t>Surface wording: exact Quran text and word order.</w:t>
      </w:r>
    </w:p>
    <w:p>
      <w:pPr>
        <w:pStyle w:val="ListNumber"/>
      </w:pPr>
      <w:r>
        <w:t>Morphological readiness: case/number/gender/person from the locked spine and Sarf layer.</w:t>
      </w:r>
    </w:p>
    <w:p>
      <w:pPr>
        <w:pStyle w:val="ListNumber"/>
      </w:pPr>
      <w:r>
        <w:t>Grammatical role: function in phrase, clause, sentence, and ayah.</w:t>
      </w:r>
    </w:p>
    <w:p>
      <w:pPr>
        <w:pStyle w:val="ListNumber"/>
      </w:pPr>
      <w:r>
        <w:t>Structural relation: governor, dependent, attachment, hidden element, clause role.</w:t>
      </w:r>
    </w:p>
    <w:p>
      <w:pPr>
        <w:pStyle w:val="ListNumber"/>
      </w:pPr>
      <w:r>
        <w:t>Contextual grammar: tafsir-supported reason why this structure matters here.</w:t>
      </w:r>
    </w:p>
    <w:p>
      <w:pPr>
        <w:pStyle w:val="Heading2"/>
      </w:pPr>
      <w:r>
        <w:t>2.2 Required UI Display Order</w:t>
      </w:r>
    </w:p>
    <w:p>
      <w:pPr>
        <w:pStyle w:val="ListNumber"/>
      </w:pPr>
      <w:r>
        <w:t>Scope Header — surah/ayah/word/phrase/clause.</w:t>
      </w:r>
    </w:p>
    <w:p>
      <w:pPr>
        <w:pStyle w:val="ListNumber"/>
      </w:pPr>
      <w:r>
        <w:t>Simple Role — learner-level grammar label.</w:t>
      </w:r>
    </w:p>
    <w:p>
      <w:pPr>
        <w:pStyle w:val="ListNumber"/>
      </w:pPr>
      <w:r>
        <w:t>Relation Map — governor, dependent, attachment.</w:t>
      </w:r>
    </w:p>
    <w:p>
      <w:pPr>
        <w:pStyle w:val="ListNumber"/>
      </w:pPr>
      <w:r>
        <w:t>Hidden Element — only if source-backed.</w:t>
      </w:r>
    </w:p>
    <w:p>
      <w:pPr>
        <w:pStyle w:val="ListNumber"/>
      </w:pPr>
      <w:r>
        <w:t>Dispute Panel — alternative iʿrāb readings.</w:t>
      </w:r>
    </w:p>
    <w:p>
      <w:pPr>
        <w:pStyle w:val="ListNumber"/>
      </w:pPr>
      <w:r>
        <w:t>Tafsir Grammar Activation — why grammar matters here.</w:t>
      </w:r>
    </w:p>
    <w:p>
      <w:pPr>
        <w:pStyle w:val="ListNumber"/>
      </w:pPr>
      <w:r>
        <w:t>Translation Loss — what English cannot show.</w:t>
      </w:r>
    </w:p>
    <w:p>
      <w:pPr>
        <w:pStyle w:val="ListNumber"/>
      </w:pPr>
      <w:r>
        <w:t>Source Evidence — Arabic quote, locator, status.</w:t>
      </w:r>
    </w:p>
    <w:p>
      <w:pPr>
        <w:pStyle w:val="Heading2"/>
      </w:pPr>
      <w:r>
        <w:t>2.3 Minimal UI Card JSON Concept</w:t>
      </w:r>
    </w:p>
    <w:p>
      <w:pPr>
        <w:pStyle w:val="CodeBlock"/>
      </w:pPr>
      <w:r>
        <w:t>{</w:t>
      </w:r>
    </w:p>
    <w:p>
      <w:pPr>
        <w:pStyle w:val="CodeBlock"/>
      </w:pPr>
      <w:r>
        <w:t xml:space="preserve">  "card_type": "irab_scope_card",</w:t>
      </w:r>
    </w:p>
    <w:p>
      <w:pPr>
        <w:pStyle w:val="CodeBlock"/>
      </w:pPr>
      <w:r>
        <w:t xml:space="preserve">  "ref": "12:3:PHRASE:1",</w:t>
      </w:r>
    </w:p>
    <w:p>
      <w:pPr>
        <w:pStyle w:val="CodeBlock"/>
      </w:pPr>
      <w:r>
        <w:t xml:space="preserve">  "scope": { "type": "phrase", "text_ar": "نَقُصُّ عَلَيْكَ", "ayah": "12:3" },</w:t>
      </w:r>
    </w:p>
    <w:p>
      <w:pPr>
        <w:pStyle w:val="CodeBlock"/>
      </w:pPr>
      <w:r>
        <w:t xml:space="preserve">  "simple_role": { "label_ar": "جملة فعلية", "status": "checked" },</w:t>
      </w:r>
    </w:p>
    <w:p>
      <w:pPr>
        <w:pStyle w:val="CodeBlock"/>
      </w:pPr>
      <w:r>
        <w:t xml:space="preserve">  "relations": [{ "head": "نقص", "dependent": "عليك", "relation": "attachment" }],</w:t>
      </w:r>
    </w:p>
    <w:p>
      <w:pPr>
        <w:pStyle w:val="CodeBlock"/>
      </w:pPr>
      <w:r>
        <w:t xml:space="preserve">  "hidden_elements": [],</w:t>
      </w:r>
    </w:p>
    <w:p>
      <w:pPr>
        <w:pStyle w:val="CodeBlock"/>
      </w:pPr>
      <w:r>
        <w:t xml:space="preserve">  "tafsir_irab": { "note": "source-backed grammar meaning", "not_general_tafsir": true },</w:t>
      </w:r>
    </w:p>
    <w:p>
      <w:pPr>
        <w:pStyle w:val="CodeBlock"/>
      </w:pPr>
      <w:r>
        <w:t xml:space="preserve">  "disputes": [],</w:t>
      </w:r>
    </w:p>
    <w:p>
      <w:pPr>
        <w:pStyle w:val="CodeBlock"/>
      </w:pPr>
      <w:r>
        <w:t xml:space="preserve">  "translation_loss": ["English hides attachment/scope difference"],</w:t>
      </w:r>
    </w:p>
    <w:p>
      <w:pPr>
        <w:pStyle w:val="CodeBlock"/>
      </w:pPr>
      <w:r>
        <w:t xml:space="preserve">  "evidence": [{ "source": "...", "quote_ar": "...", "loc": "...", "status": "checked" }]</w:t>
      </w:r>
    </w:p>
    <w:p>
      <w:pPr>
        <w:pStyle w:val="CodeBlock"/>
      </w:pPr>
      <w:r>
        <w:t>}</w:t>
      </w:r>
    </w:p>
    <w:p>
      <w:pPr>
        <w:pStyle w:val="Heading1"/>
      </w:pPr>
      <w:r>
        <w:t>3. Complete Iʿrāb Lens Inventory</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Lens</w:t>
            </w:r>
          </w:p>
        </w:tc>
        <w:tc>
          <w:tcPr>
            <w:tcW w:type="dxa" w:w="5184"/>
            <w:shd w:fill="D9EAF7"/>
          </w:tcPr>
          <w:p>
            <w:pPr>
              <w:spacing w:after="0"/>
            </w:pPr>
            <w:r/>
            <w:r>
              <w:rPr>
                <w:b/>
                <w:sz w:val="17"/>
              </w:rPr>
              <w:t>Meaning / Extraction Rule</w:t>
            </w:r>
          </w:p>
        </w:tc>
      </w:tr>
      <w:tr>
        <w:tc>
          <w:tcPr>
            <w:tcW w:type="dxa" w:w="5184"/>
          </w:tcPr>
          <w:p>
            <w:pPr>
              <w:spacing w:after="0"/>
            </w:pPr>
            <w:r/>
            <w:r>
              <w:rPr>
                <w:b w:val="0"/>
                <w:sz w:val="17"/>
              </w:rPr>
              <w:t>Case / iʿrāb label</w:t>
            </w:r>
          </w:p>
        </w:tc>
        <w:tc>
          <w:tcPr>
            <w:tcW w:type="dxa" w:w="5184"/>
          </w:tcPr>
          <w:p>
            <w:pPr>
              <w:spacing w:after="0"/>
            </w:pPr>
            <w:r/>
            <w:r>
              <w:rPr>
                <w:b w:val="0"/>
                <w:sz w:val="17"/>
              </w:rPr>
              <w:t>رفع، نصب، جر، جزم as surface grammar; role and reason only when source-backed.</w:t>
            </w:r>
          </w:p>
        </w:tc>
      </w:tr>
      <w:tr>
        <w:tc>
          <w:tcPr>
            <w:tcW w:type="dxa" w:w="5184"/>
          </w:tcPr>
          <w:p>
            <w:pPr>
              <w:spacing w:after="0"/>
            </w:pPr>
            <w:r/>
            <w:r>
              <w:rPr>
                <w:b w:val="0"/>
                <w:sz w:val="17"/>
              </w:rPr>
              <w:t>Mubtada / khabar</w:t>
            </w:r>
          </w:p>
        </w:tc>
        <w:tc>
          <w:tcPr>
            <w:tcW w:type="dxa" w:w="5184"/>
          </w:tcPr>
          <w:p>
            <w:pPr>
              <w:spacing w:after="0"/>
            </w:pPr>
            <w:r/>
            <w:r>
              <w:rPr>
                <w:b w:val="0"/>
                <w:sz w:val="17"/>
              </w:rPr>
              <w:t>Nominal sentence structure, omitted khabar, multiple predicates, fronting.</w:t>
            </w:r>
          </w:p>
        </w:tc>
      </w:tr>
      <w:tr>
        <w:tc>
          <w:tcPr>
            <w:tcW w:type="dxa" w:w="5184"/>
          </w:tcPr>
          <w:p>
            <w:pPr>
              <w:spacing w:after="0"/>
            </w:pPr>
            <w:r/>
            <w:r>
              <w:rPr>
                <w:b w:val="0"/>
                <w:sz w:val="17"/>
              </w:rPr>
              <w:t>Fiʿl / fāʿil / mafʿūl</w:t>
            </w:r>
          </w:p>
        </w:tc>
        <w:tc>
          <w:tcPr>
            <w:tcW w:type="dxa" w:w="5184"/>
          </w:tcPr>
          <w:p>
            <w:pPr>
              <w:spacing w:after="0"/>
            </w:pPr>
            <w:r/>
            <w:r>
              <w:rPr>
                <w:b w:val="0"/>
                <w:sz w:val="17"/>
              </w:rPr>
              <w:t>Verbal sentence structure, explicit/hidden subject, objects, passive roles.</w:t>
            </w:r>
          </w:p>
        </w:tc>
      </w:tr>
      <w:tr>
        <w:tc>
          <w:tcPr>
            <w:tcW w:type="dxa" w:w="5184"/>
          </w:tcPr>
          <w:p>
            <w:pPr>
              <w:spacing w:after="0"/>
            </w:pPr>
            <w:r/>
            <w:r>
              <w:rPr>
                <w:b w:val="0"/>
                <w:sz w:val="17"/>
              </w:rPr>
              <w:t>Jar-majrūr / ẓarf attachment</w:t>
            </w:r>
          </w:p>
        </w:tc>
        <w:tc>
          <w:tcPr>
            <w:tcW w:type="dxa" w:w="5184"/>
          </w:tcPr>
          <w:p>
            <w:pPr>
              <w:spacing w:after="0"/>
            </w:pPr>
            <w:r/>
            <w:r>
              <w:rPr>
                <w:b w:val="0"/>
                <w:sz w:val="17"/>
              </w:rPr>
              <w:t>What the prepositional/adverbial phrase attaches to and why.</w:t>
            </w:r>
          </w:p>
        </w:tc>
      </w:tr>
      <w:tr>
        <w:tc>
          <w:tcPr>
            <w:tcW w:type="dxa" w:w="5184"/>
          </w:tcPr>
          <w:p>
            <w:pPr>
              <w:spacing w:after="0"/>
            </w:pPr>
            <w:r/>
            <w:r>
              <w:rPr>
                <w:b w:val="0"/>
                <w:sz w:val="17"/>
              </w:rPr>
              <w:t>Naʿt / badal / ʿaṭf / tawḳīd</w:t>
            </w:r>
          </w:p>
        </w:tc>
        <w:tc>
          <w:tcPr>
            <w:tcW w:type="dxa" w:w="5184"/>
          </w:tcPr>
          <w:p>
            <w:pPr>
              <w:spacing w:after="0"/>
            </w:pPr>
            <w:r/>
            <w:r>
              <w:rPr>
                <w:b w:val="0"/>
                <w:sz w:val="17"/>
              </w:rPr>
              <w:t>Follow-up roles and the meaning difference between alternatives.</w:t>
            </w:r>
          </w:p>
        </w:tc>
      </w:tr>
      <w:tr>
        <w:tc>
          <w:tcPr>
            <w:tcW w:type="dxa" w:w="5184"/>
          </w:tcPr>
          <w:p>
            <w:pPr>
              <w:spacing w:after="0"/>
            </w:pPr>
            <w:r/>
            <w:r>
              <w:rPr>
                <w:b w:val="0"/>
                <w:sz w:val="17"/>
              </w:rPr>
              <w:t>Ḥāl / tamyīz</w:t>
            </w:r>
          </w:p>
        </w:tc>
        <w:tc>
          <w:tcPr>
            <w:tcW w:type="dxa" w:w="5184"/>
          </w:tcPr>
          <w:p>
            <w:pPr>
              <w:spacing w:after="0"/>
            </w:pPr>
            <w:r/>
            <w:r>
              <w:rPr>
                <w:b w:val="0"/>
                <w:sz w:val="17"/>
              </w:rPr>
              <w:t>State or specification; Sarf records form, Iʿrāb records syntactic role.</w:t>
            </w:r>
          </w:p>
        </w:tc>
      </w:tr>
      <w:tr>
        <w:tc>
          <w:tcPr>
            <w:tcW w:type="dxa" w:w="5184"/>
          </w:tcPr>
          <w:p>
            <w:pPr>
              <w:spacing w:after="0"/>
            </w:pPr>
            <w:r/>
            <w:r>
              <w:rPr>
                <w:b w:val="0"/>
                <w:sz w:val="17"/>
              </w:rPr>
              <w:t>Idāfah</w:t>
            </w:r>
          </w:p>
        </w:tc>
        <w:tc>
          <w:tcPr>
            <w:tcW w:type="dxa" w:w="5184"/>
          </w:tcPr>
          <w:p>
            <w:pPr>
              <w:spacing w:after="0"/>
            </w:pPr>
            <w:r/>
            <w:r>
              <w:rPr>
                <w:b w:val="0"/>
                <w:sz w:val="17"/>
              </w:rPr>
              <w:t>Construction relation; Sarf may record morphology, Iʿrāb records grammatical structure.</w:t>
            </w:r>
          </w:p>
        </w:tc>
      </w:tr>
      <w:tr>
        <w:tc>
          <w:tcPr>
            <w:tcW w:type="dxa" w:w="5184"/>
          </w:tcPr>
          <w:p>
            <w:pPr>
              <w:spacing w:after="0"/>
            </w:pPr>
            <w:r/>
            <w:r>
              <w:rPr>
                <w:b w:val="0"/>
                <w:sz w:val="17"/>
              </w:rPr>
              <w:t>Sentence/clause function</w:t>
            </w:r>
          </w:p>
        </w:tc>
        <w:tc>
          <w:tcPr>
            <w:tcW w:type="dxa" w:w="5184"/>
          </w:tcPr>
          <w:p>
            <w:pPr>
              <w:spacing w:after="0"/>
            </w:pPr>
            <w:r/>
            <w:r>
              <w:rPr>
                <w:b w:val="0"/>
                <w:sz w:val="17"/>
              </w:rPr>
              <w:t>جملة صلة، خبر، حال، صفة، جواب شرط، مقول القول, etc.</w:t>
            </w:r>
          </w:p>
        </w:tc>
      </w:tr>
      <w:tr>
        <w:tc>
          <w:tcPr>
            <w:tcW w:type="dxa" w:w="5184"/>
          </w:tcPr>
          <w:p>
            <w:pPr>
              <w:spacing w:after="0"/>
            </w:pPr>
            <w:r/>
            <w:r>
              <w:rPr>
                <w:b w:val="0"/>
                <w:sz w:val="17"/>
              </w:rPr>
              <w:t>Hidden elements</w:t>
            </w:r>
          </w:p>
        </w:tc>
        <w:tc>
          <w:tcPr>
            <w:tcW w:type="dxa" w:w="5184"/>
          </w:tcPr>
          <w:p>
            <w:pPr>
              <w:spacing w:after="0"/>
            </w:pPr>
            <w:r/>
            <w:r>
              <w:rPr>
                <w:b w:val="0"/>
                <w:sz w:val="17"/>
              </w:rPr>
              <w:t>ضمير مستتر, خبر محذوف, فعل محذوف, عامل مقدر; source-backed only.</w:t>
            </w:r>
          </w:p>
        </w:tc>
      </w:tr>
      <w:tr>
        <w:tc>
          <w:tcPr>
            <w:tcW w:type="dxa" w:w="5184"/>
          </w:tcPr>
          <w:p>
            <w:pPr>
              <w:spacing w:after="0"/>
            </w:pPr>
            <w:r/>
            <w:r>
              <w:rPr>
                <w:b w:val="0"/>
                <w:sz w:val="17"/>
              </w:rPr>
              <w:t>Qirāʾāt syntax</w:t>
            </w:r>
          </w:p>
        </w:tc>
        <w:tc>
          <w:tcPr>
            <w:tcW w:type="dxa" w:w="5184"/>
          </w:tcPr>
          <w:p>
            <w:pPr>
              <w:spacing w:after="0"/>
            </w:pPr>
            <w:r/>
            <w:r>
              <w:rPr>
                <w:b w:val="0"/>
                <w:sz w:val="17"/>
              </w:rPr>
              <w:t>Readings that change case, role, voice, or clause structure.</w:t>
            </w:r>
          </w:p>
        </w:tc>
      </w:tr>
    </w:tbl>
    <w:p/>
    <w:p>
      <w:pPr>
        <w:pStyle w:val="Heading1"/>
      </w:pPr>
      <w:r>
        <w:t>4. What Tafsir Contributes to Iʿrāb</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Tafsir Contribution</w:t>
            </w:r>
          </w:p>
        </w:tc>
        <w:tc>
          <w:tcPr>
            <w:tcW w:type="dxa" w:w="3456"/>
            <w:shd w:fill="D9EAF7"/>
          </w:tcPr>
          <w:p>
            <w:pPr>
              <w:spacing w:after="0"/>
            </w:pPr>
            <w:r/>
            <w:r>
              <w:rPr>
                <w:b/>
                <w:sz w:val="17"/>
              </w:rPr>
              <w:t>Meaning</w:t>
            </w:r>
          </w:p>
        </w:tc>
        <w:tc>
          <w:tcPr>
            <w:tcW w:type="dxa" w:w="3456"/>
            <w:shd w:fill="D9EAF7"/>
          </w:tcPr>
          <w:p>
            <w:pPr>
              <w:spacing w:after="0"/>
            </w:pPr>
            <w:r/>
            <w:r>
              <w:rPr>
                <w:b/>
                <w:sz w:val="17"/>
              </w:rPr>
              <w:t>Storage</w:t>
            </w:r>
          </w:p>
        </w:tc>
      </w:tr>
      <w:tr>
        <w:tc>
          <w:tcPr>
            <w:tcW w:type="dxa" w:w="3456"/>
          </w:tcPr>
          <w:p>
            <w:pPr>
              <w:spacing w:after="0"/>
            </w:pPr>
            <w:r/>
            <w:r>
              <w:rPr>
                <w:b w:val="0"/>
                <w:sz w:val="17"/>
              </w:rPr>
              <w:t>Attachment</w:t>
            </w:r>
          </w:p>
        </w:tc>
        <w:tc>
          <w:tcPr>
            <w:tcW w:type="dxa" w:w="3456"/>
          </w:tcPr>
          <w:p>
            <w:pPr>
              <w:spacing w:after="0"/>
            </w:pPr>
            <w:r/>
            <w:r>
              <w:rPr>
                <w:b w:val="0"/>
                <w:sz w:val="17"/>
              </w:rPr>
              <w:t>Mufassir explains what جار ومجرور/ظرف attaches to.</w:t>
            </w:r>
          </w:p>
        </w:tc>
        <w:tc>
          <w:tcPr>
            <w:tcW w:type="dxa" w:w="3456"/>
          </w:tcPr>
          <w:p>
            <w:pPr>
              <w:spacing w:after="0"/>
            </w:pPr>
            <w:r/>
            <w:r>
              <w:rPr>
                <w:b w:val="0"/>
                <w:sz w:val="17"/>
              </w:rPr>
              <w:t>irab_tafsir_note + syntax relation</w:t>
            </w:r>
          </w:p>
        </w:tc>
      </w:tr>
      <w:tr>
        <w:tc>
          <w:tcPr>
            <w:tcW w:type="dxa" w:w="3456"/>
          </w:tcPr>
          <w:p>
            <w:pPr>
              <w:spacing w:after="0"/>
            </w:pPr>
            <w:r/>
            <w:r>
              <w:rPr>
                <w:b w:val="0"/>
                <w:sz w:val="17"/>
              </w:rPr>
              <w:t>Ellipsis</w:t>
            </w:r>
          </w:p>
        </w:tc>
        <w:tc>
          <w:tcPr>
            <w:tcW w:type="dxa" w:w="3456"/>
          </w:tcPr>
          <w:p>
            <w:pPr>
              <w:spacing w:after="0"/>
            </w:pPr>
            <w:r/>
            <w:r>
              <w:rPr>
                <w:b w:val="0"/>
                <w:sz w:val="17"/>
              </w:rPr>
              <w:t>Mufassir states or implies محذوف / مقدر element.</w:t>
            </w:r>
          </w:p>
        </w:tc>
        <w:tc>
          <w:tcPr>
            <w:tcW w:type="dxa" w:w="3456"/>
          </w:tcPr>
          <w:p>
            <w:pPr>
              <w:spacing w:after="0"/>
            </w:pPr>
            <w:r/>
            <w:r>
              <w:rPr>
                <w:b w:val="0"/>
                <w:sz w:val="17"/>
              </w:rPr>
              <w:t>ellipsis event + irab note</w:t>
            </w:r>
          </w:p>
        </w:tc>
      </w:tr>
      <w:tr>
        <w:tc>
          <w:tcPr>
            <w:tcW w:type="dxa" w:w="3456"/>
          </w:tcPr>
          <w:p>
            <w:pPr>
              <w:spacing w:after="0"/>
            </w:pPr>
            <w:r/>
            <w:r>
              <w:rPr>
                <w:b w:val="0"/>
                <w:sz w:val="17"/>
              </w:rPr>
              <w:t>Scope</w:t>
            </w:r>
          </w:p>
        </w:tc>
        <w:tc>
          <w:tcPr>
            <w:tcW w:type="dxa" w:w="3456"/>
          </w:tcPr>
          <w:p>
            <w:pPr>
              <w:spacing w:after="0"/>
            </w:pPr>
            <w:r/>
            <w:r>
              <w:rPr>
                <w:b w:val="0"/>
                <w:sz w:val="17"/>
              </w:rPr>
              <w:t>Tafsir clarifies what a phrase or clause governs semantically.</w:t>
            </w:r>
          </w:p>
        </w:tc>
        <w:tc>
          <w:tcPr>
            <w:tcW w:type="dxa" w:w="3456"/>
          </w:tcPr>
          <w:p>
            <w:pPr>
              <w:spacing w:after="0"/>
            </w:pPr>
            <w:r/>
            <w:r>
              <w:rPr>
                <w:b w:val="0"/>
                <w:sz w:val="17"/>
              </w:rPr>
              <w:t>scope grammar link</w:t>
            </w:r>
          </w:p>
        </w:tc>
      </w:tr>
      <w:tr>
        <w:tc>
          <w:tcPr>
            <w:tcW w:type="dxa" w:w="3456"/>
          </w:tcPr>
          <w:p>
            <w:pPr>
              <w:spacing w:after="0"/>
            </w:pPr>
            <w:r/>
            <w:r>
              <w:rPr>
                <w:b w:val="0"/>
                <w:sz w:val="17"/>
              </w:rPr>
              <w:t>Dispute</w:t>
            </w:r>
          </w:p>
        </w:tc>
        <w:tc>
          <w:tcPr>
            <w:tcW w:type="dxa" w:w="3456"/>
          </w:tcPr>
          <w:p>
            <w:pPr>
              <w:spacing w:after="0"/>
            </w:pPr>
            <w:r/>
            <w:r>
              <w:rPr>
                <w:b w:val="0"/>
                <w:sz w:val="17"/>
              </w:rPr>
              <w:t>Alternative iʿrāb possibilities with meaning difference.</w:t>
            </w:r>
          </w:p>
        </w:tc>
        <w:tc>
          <w:tcPr>
            <w:tcW w:type="dxa" w:w="3456"/>
          </w:tcPr>
          <w:p>
            <w:pPr>
              <w:spacing w:after="0"/>
            </w:pPr>
            <w:r/>
            <w:r>
              <w:rPr>
                <w:b w:val="0"/>
                <w:sz w:val="17"/>
              </w:rPr>
              <w:t>irab_disputes</w:t>
            </w:r>
          </w:p>
        </w:tc>
      </w:tr>
      <w:tr>
        <w:tc>
          <w:tcPr>
            <w:tcW w:type="dxa" w:w="3456"/>
          </w:tcPr>
          <w:p>
            <w:pPr>
              <w:spacing w:after="0"/>
            </w:pPr>
            <w:r/>
            <w:r>
              <w:rPr>
                <w:b w:val="0"/>
                <w:sz w:val="17"/>
              </w:rPr>
              <w:t>Qirāʾāt syntax</w:t>
            </w:r>
          </w:p>
        </w:tc>
        <w:tc>
          <w:tcPr>
            <w:tcW w:type="dxa" w:w="3456"/>
          </w:tcPr>
          <w:p>
            <w:pPr>
              <w:spacing w:after="0"/>
            </w:pPr>
            <w:r/>
            <w:r>
              <w:rPr>
                <w:b w:val="0"/>
                <w:sz w:val="17"/>
              </w:rPr>
              <w:t>Reading changes case, role, or clause structure.</w:t>
            </w:r>
          </w:p>
        </w:tc>
        <w:tc>
          <w:tcPr>
            <w:tcW w:type="dxa" w:w="3456"/>
          </w:tcPr>
          <w:p>
            <w:pPr>
              <w:spacing w:after="0"/>
            </w:pPr>
            <w:r/>
            <w:r>
              <w:rPr>
                <w:b w:val="0"/>
                <w:sz w:val="17"/>
              </w:rPr>
              <w:t>qiraat_syntax_variant</w:t>
            </w:r>
          </w:p>
        </w:tc>
      </w:tr>
      <w:tr>
        <w:tc>
          <w:tcPr>
            <w:tcW w:type="dxa" w:w="3456"/>
          </w:tcPr>
          <w:p>
            <w:pPr>
              <w:spacing w:after="0"/>
            </w:pPr>
            <w:r/>
            <w:r>
              <w:rPr>
                <w:b w:val="0"/>
                <w:sz w:val="17"/>
              </w:rPr>
              <w:t>Translation loss</w:t>
            </w:r>
          </w:p>
        </w:tc>
        <w:tc>
          <w:tcPr>
            <w:tcW w:type="dxa" w:w="3456"/>
          </w:tcPr>
          <w:p>
            <w:pPr>
              <w:spacing w:after="0"/>
            </w:pPr>
            <w:r/>
            <w:r>
              <w:rPr>
                <w:b w:val="0"/>
                <w:sz w:val="17"/>
              </w:rPr>
              <w:t>English loses grammar relation, case, or hidden scope.</w:t>
            </w:r>
          </w:p>
        </w:tc>
        <w:tc>
          <w:tcPr>
            <w:tcW w:type="dxa" w:w="3456"/>
          </w:tcPr>
          <w:p>
            <w:pPr>
              <w:spacing w:after="0"/>
            </w:pPr>
            <w:r/>
            <w:r>
              <w:rPr>
                <w:b w:val="0"/>
                <w:sz w:val="17"/>
              </w:rPr>
              <w:t>irab_translation_loss</w:t>
            </w:r>
          </w:p>
        </w:tc>
      </w:tr>
    </w:tbl>
    <w:p/>
    <w:p>
      <w:pPr>
        <w:pStyle w:val="Heading2"/>
      </w:pPr>
      <w:r>
        <w:t>4.1 Forbidden Tafsir-Iʿrāb Extractions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Forbidden Item</w:t>
            </w:r>
          </w:p>
        </w:tc>
        <w:tc>
          <w:tcPr>
            <w:tcW w:type="dxa" w:w="5184"/>
            <w:shd w:fill="D9EAF7"/>
          </w:tcPr>
          <w:p>
            <w:pPr>
              <w:spacing w:after="0"/>
            </w:pPr>
            <w:r/>
            <w:r>
              <w:rPr>
                <w:b/>
                <w:sz w:val="17"/>
              </w:rPr>
              <w:t>Rule</w:t>
            </w:r>
          </w:p>
        </w:tc>
      </w:tr>
      <w:tr>
        <w:tc>
          <w:tcPr>
            <w:tcW w:type="dxa" w:w="5184"/>
          </w:tcPr>
          <w:p>
            <w:pPr>
              <w:spacing w:after="0"/>
            </w:pPr>
            <w:r/>
            <w:r>
              <w:rPr>
                <w:b w:val="0"/>
                <w:sz w:val="17"/>
              </w:rPr>
              <w:t>General doctrine</w:t>
            </w:r>
          </w:p>
        </w:tc>
        <w:tc>
          <w:tcPr>
            <w:tcW w:type="dxa" w:w="5184"/>
          </w:tcPr>
          <w:p>
            <w:pPr>
              <w:spacing w:after="0"/>
            </w:pPr>
            <w:r/>
            <w:r>
              <w:rPr>
                <w:b w:val="0"/>
                <w:sz w:val="17"/>
              </w:rPr>
              <w:t>Do not store as إعراب; route to tafsir/Quran/worldview layer.</w:t>
            </w:r>
          </w:p>
        </w:tc>
      </w:tr>
      <w:tr>
        <w:tc>
          <w:tcPr>
            <w:tcW w:type="dxa" w:w="5184"/>
          </w:tcPr>
          <w:p>
            <w:pPr>
              <w:spacing w:after="0"/>
            </w:pPr>
            <w:r/>
            <w:r>
              <w:rPr>
                <w:b w:val="0"/>
                <w:sz w:val="17"/>
              </w:rPr>
              <w:t>Other-layer final claims</w:t>
            </w:r>
          </w:p>
        </w:tc>
        <w:tc>
          <w:tcPr>
            <w:tcW w:type="dxa" w:w="5184"/>
          </w:tcPr>
          <w:p>
            <w:pPr>
              <w:spacing w:after="0"/>
            </w:pPr>
            <w:r/>
            <w:r>
              <w:rPr>
                <w:b w:val="0"/>
                <w:sz w:val="17"/>
              </w:rPr>
              <w:t>Store route_out hint only; do not promote.</w:t>
            </w:r>
          </w:p>
        </w:tc>
      </w:tr>
      <w:tr>
        <w:tc>
          <w:tcPr>
            <w:tcW w:type="dxa" w:w="5184"/>
          </w:tcPr>
          <w:p>
            <w:pPr>
              <w:spacing w:after="0"/>
            </w:pPr>
            <w:r/>
            <w:r>
              <w:rPr>
                <w:b w:val="0"/>
                <w:sz w:val="17"/>
              </w:rPr>
              <w:t>Unsupported paraphrase</w:t>
            </w:r>
          </w:p>
        </w:tc>
        <w:tc>
          <w:tcPr>
            <w:tcW w:type="dxa" w:w="5184"/>
          </w:tcPr>
          <w:p>
            <w:pPr>
              <w:spacing w:after="0"/>
            </w:pPr>
            <w:r/>
            <w:r>
              <w:rPr>
                <w:b w:val="0"/>
                <w:sz w:val="17"/>
              </w:rPr>
              <w:t>No Arabic quote + locator means no promotion.</w:t>
            </w:r>
          </w:p>
        </w:tc>
      </w:tr>
      <w:tr>
        <w:tc>
          <w:tcPr>
            <w:tcW w:type="dxa" w:w="5184"/>
          </w:tcPr>
          <w:p>
            <w:pPr>
              <w:spacing w:after="0"/>
            </w:pPr>
            <w:r/>
            <w:r>
              <w:rPr>
                <w:b w:val="0"/>
                <w:sz w:val="17"/>
              </w:rPr>
              <w:t>LLM inference without source</w:t>
            </w:r>
          </w:p>
        </w:tc>
        <w:tc>
          <w:tcPr>
            <w:tcW w:type="dxa" w:w="5184"/>
          </w:tcPr>
          <w:p>
            <w:pPr>
              <w:spacing w:after="0"/>
            </w:pPr>
            <w:r/>
            <w:r>
              <w:rPr>
                <w:b w:val="0"/>
                <w:sz w:val="17"/>
              </w:rPr>
              <w:t>Allowed only as review note, never canonical.</w:t>
            </w:r>
          </w:p>
        </w:tc>
      </w:tr>
    </w:tbl>
    <w:p/>
    <w:p>
      <w:pPr>
        <w:pStyle w:val="Heading1"/>
      </w:pPr>
      <w:r>
        <w:t>5. Source Hierarchy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Level</w:t>
            </w:r>
          </w:p>
        </w:tc>
        <w:tc>
          <w:tcPr>
            <w:tcW w:type="dxa" w:w="3456"/>
            <w:shd w:fill="D9EAF7"/>
          </w:tcPr>
          <w:p>
            <w:pPr>
              <w:spacing w:after="0"/>
            </w:pPr>
            <w:r/>
            <w:r>
              <w:rPr>
                <w:b/>
                <w:sz w:val="17"/>
              </w:rPr>
              <w:t>Sources</w:t>
            </w:r>
          </w:p>
        </w:tc>
        <w:tc>
          <w:tcPr>
            <w:tcW w:type="dxa" w:w="3456"/>
            <w:shd w:fill="D9EAF7"/>
          </w:tcPr>
          <w:p>
            <w:pPr>
              <w:spacing w:after="0"/>
            </w:pPr>
            <w:r/>
            <w:r>
              <w:rPr>
                <w:b/>
                <w:sz w:val="17"/>
              </w:rPr>
              <w:t>Use</w:t>
            </w:r>
          </w:p>
        </w:tc>
      </w:tr>
      <w:tr>
        <w:tc>
          <w:tcPr>
            <w:tcW w:type="dxa" w:w="3456"/>
          </w:tcPr>
          <w:p>
            <w:pPr>
              <w:spacing w:after="0"/>
            </w:pPr>
            <w:r/>
            <w:r>
              <w:rPr>
                <w:b w:val="0"/>
                <w:sz w:val="17"/>
              </w:rPr>
              <w:t>0. Locked Quran spine</w:t>
            </w:r>
          </w:p>
        </w:tc>
        <w:tc>
          <w:tcPr>
            <w:tcW w:type="dxa" w:w="3456"/>
          </w:tcPr>
          <w:p>
            <w:pPr>
              <w:spacing w:after="0"/>
            </w:pPr>
            <w:r/>
            <w:r>
              <w:rPr>
                <w:b w:val="0"/>
                <w:sz w:val="17"/>
              </w:rPr>
              <w:t>Quran text, word occurrences, surah/ayah/passages</w:t>
            </w:r>
          </w:p>
        </w:tc>
        <w:tc>
          <w:tcPr>
            <w:tcW w:type="dxa" w:w="3456"/>
          </w:tcPr>
          <w:p>
            <w:pPr>
              <w:spacing w:after="0"/>
            </w:pPr>
            <w:r/>
            <w:r>
              <w:rPr>
                <w:b w:val="0"/>
                <w:sz w:val="17"/>
              </w:rPr>
              <w:t>Scope and exact wording; never overwritten.</w:t>
            </w:r>
          </w:p>
        </w:tc>
      </w:tr>
      <w:tr>
        <w:tc>
          <w:tcPr>
            <w:tcW w:type="dxa" w:w="3456"/>
          </w:tcPr>
          <w:p>
            <w:pPr>
              <w:spacing w:after="0"/>
            </w:pPr>
            <w:r/>
            <w:r>
              <w:rPr>
                <w:b w:val="0"/>
                <w:sz w:val="17"/>
              </w:rPr>
              <w:t>1. Support layer</w:t>
            </w:r>
          </w:p>
        </w:tc>
        <w:tc>
          <w:tcPr>
            <w:tcW w:type="dxa" w:w="3456"/>
          </w:tcPr>
          <w:p>
            <w:pPr>
              <w:spacing w:after="0"/>
            </w:pPr>
            <w:r/>
            <w:r>
              <w:rPr>
                <w:b w:val="0"/>
                <w:sz w:val="17"/>
              </w:rPr>
              <w:t>Sarf spine and morphology tags</w:t>
            </w:r>
          </w:p>
        </w:tc>
        <w:tc>
          <w:tcPr>
            <w:tcW w:type="dxa" w:w="3456"/>
          </w:tcPr>
          <w:p>
            <w:pPr>
              <w:spacing w:after="0"/>
            </w:pPr>
            <w:r/>
            <w:r>
              <w:rPr>
                <w:b w:val="0"/>
                <w:sz w:val="17"/>
              </w:rPr>
              <w:t>Prerequisite context, not final claim in this layer.</w:t>
            </w:r>
          </w:p>
        </w:tc>
      </w:tr>
      <w:tr>
        <w:tc>
          <w:tcPr>
            <w:tcW w:type="dxa" w:w="3456"/>
          </w:tcPr>
          <w:p>
            <w:pPr>
              <w:spacing w:after="0"/>
            </w:pPr>
            <w:r/>
            <w:r>
              <w:rPr>
                <w:b w:val="0"/>
                <w:sz w:val="17"/>
              </w:rPr>
              <w:t>2. Primary layer sources</w:t>
            </w:r>
          </w:p>
        </w:tc>
        <w:tc>
          <w:tcPr>
            <w:tcW w:type="dxa" w:w="3456"/>
          </w:tcPr>
          <w:p>
            <w:pPr>
              <w:spacing w:after="0"/>
            </w:pPr>
            <w:r/>
            <w:r>
              <w:rPr>
                <w:b w:val="0"/>
                <w:sz w:val="17"/>
              </w:rPr>
              <w:t>Dedicated grammar/rhetoric sources</w:t>
            </w:r>
          </w:p>
        </w:tc>
        <w:tc>
          <w:tcPr>
            <w:tcW w:type="dxa" w:w="3456"/>
          </w:tcPr>
          <w:p>
            <w:pPr>
              <w:spacing w:after="0"/>
            </w:pPr>
            <w:r/>
            <w:r>
              <w:rPr>
                <w:b w:val="0"/>
                <w:sz w:val="17"/>
              </w:rPr>
              <w:t>Core labels, definitions, disputes.</w:t>
            </w:r>
          </w:p>
        </w:tc>
      </w:tr>
      <w:tr>
        <w:tc>
          <w:tcPr>
            <w:tcW w:type="dxa" w:w="3456"/>
          </w:tcPr>
          <w:p>
            <w:pPr>
              <w:spacing w:after="0"/>
            </w:pPr>
            <w:r/>
            <w:r>
              <w:rPr>
                <w:b w:val="0"/>
                <w:sz w:val="17"/>
              </w:rPr>
              <w:t>3. Tafsir support</w:t>
            </w:r>
          </w:p>
        </w:tc>
        <w:tc>
          <w:tcPr>
            <w:tcW w:type="dxa" w:w="3456"/>
          </w:tcPr>
          <w:p>
            <w:pPr>
              <w:spacing w:after="0"/>
            </w:pPr>
            <w:r/>
            <w:r>
              <w:rPr>
                <w:b w:val="0"/>
                <w:sz w:val="17"/>
              </w:rPr>
              <w:t>Ibn ʿĀshūr, Kashshāf, Baḥr, Rāzī, Alūsī, Ṭabarī, etc.</w:t>
            </w:r>
          </w:p>
        </w:tc>
        <w:tc>
          <w:tcPr>
            <w:tcW w:type="dxa" w:w="3456"/>
          </w:tcPr>
          <w:p>
            <w:pPr>
              <w:spacing w:after="0"/>
            </w:pPr>
            <w:r/>
            <w:r>
              <w:rPr>
                <w:b w:val="0"/>
                <w:sz w:val="17"/>
              </w:rPr>
              <w:t>Contextual activation and meaning effect.</w:t>
            </w:r>
          </w:p>
        </w:tc>
      </w:tr>
      <w:tr>
        <w:tc>
          <w:tcPr>
            <w:tcW w:type="dxa" w:w="3456"/>
          </w:tcPr>
          <w:p>
            <w:pPr>
              <w:spacing w:after="0"/>
            </w:pPr>
            <w:r/>
            <w:r>
              <w:rPr>
                <w:b w:val="0"/>
                <w:sz w:val="17"/>
              </w:rPr>
              <w:t>4. Modern academic</w:t>
            </w:r>
          </w:p>
        </w:tc>
        <w:tc>
          <w:tcPr>
            <w:tcW w:type="dxa" w:w="3456"/>
          </w:tcPr>
          <w:p>
            <w:pPr>
              <w:spacing w:after="0"/>
            </w:pPr>
            <w:r/>
            <w:r>
              <w:rPr>
                <w:b w:val="0"/>
                <w:sz w:val="17"/>
              </w:rPr>
              <w:t>Academic terms and discourse studies</w:t>
            </w:r>
          </w:p>
        </w:tc>
        <w:tc>
          <w:tcPr>
            <w:tcW w:type="dxa" w:w="3456"/>
          </w:tcPr>
          <w:p>
            <w:pPr>
              <w:spacing w:after="0"/>
            </w:pPr>
            <w:r/>
            <w:r>
              <w:rPr>
                <w:b w:val="0"/>
                <w:sz w:val="17"/>
              </w:rPr>
              <w:t>Optional reconstruction/translation-loss layer, kept separate.</w:t>
            </w:r>
          </w:p>
        </w:tc>
      </w:tr>
    </w:tbl>
    <w:p/>
    <w:p>
      <w:pPr>
        <w:pStyle w:val="Heading1"/>
      </w:pPr>
      <w:r>
        <w:t>6. Conflict Doctrine</w:t>
      </w:r>
    </w:p>
    <w:p>
      <w:pPr>
        <w:pStyle w:val="ListNumber"/>
      </w:pPr>
      <w:r>
        <w:t>If two sources disagree, store a dispute rather than overwriting one with the other.</w:t>
      </w:r>
    </w:p>
    <w:p>
      <w:pPr>
        <w:pStyle w:val="ListNumber"/>
      </w:pPr>
      <w:r>
        <w:t>If a source gives a qirāʾah-based variant, keep it separate from the Hafs spine.</w:t>
      </w:r>
    </w:p>
    <w:p>
      <w:pPr>
        <w:pStyle w:val="ListNumber"/>
      </w:pPr>
      <w:r>
        <w:t>If tafsir gives a general meaning without layer-specific evidence, mark it not relevant to this layer.</w:t>
      </w:r>
    </w:p>
    <w:p>
      <w:pPr>
        <w:pStyle w:val="ListNumber"/>
      </w:pPr>
      <w:r>
        <w:t>If an English explanation cannot carry the Arabic force, store translation_loss instead of forcing a misleading translation.</w:t>
      </w:r>
    </w:p>
    <w:p>
      <w:pPr>
        <w:pStyle w:val="ListNumber"/>
      </w:pPr>
      <w:r>
        <w:t>If a claim depends on another layer, link to that layer but do not duplicate its canonical table.</w:t>
      </w:r>
    </w:p>
    <w:p>
      <w:pPr>
        <w:pStyle w:val="Heading1"/>
      </w:pPr>
      <w:r>
        <w:t>7. Worked Examples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Example</w:t>
            </w:r>
          </w:p>
        </w:tc>
        <w:tc>
          <w:tcPr>
            <w:tcW w:type="dxa" w:w="5184"/>
            <w:shd w:fill="D9EAF7"/>
          </w:tcPr>
          <w:p>
            <w:pPr>
              <w:spacing w:after="0"/>
            </w:pPr>
            <w:r/>
            <w:r>
              <w:rPr>
                <w:b/>
                <w:sz w:val="17"/>
              </w:rPr>
              <w:t>Layer-Specific Handling</w:t>
            </w:r>
          </w:p>
        </w:tc>
      </w:tr>
      <w:tr>
        <w:tc>
          <w:tcPr>
            <w:tcW w:type="dxa" w:w="5184"/>
          </w:tcPr>
          <w:p>
            <w:pPr>
              <w:spacing w:after="0"/>
            </w:pPr>
            <w:r/>
            <w:r>
              <w:rPr>
                <w:b w:val="0"/>
                <w:sz w:val="17"/>
              </w:rPr>
              <w:t>الفاتحة: الحمد لله</w:t>
            </w:r>
          </w:p>
        </w:tc>
        <w:tc>
          <w:tcPr>
            <w:tcW w:type="dxa" w:w="5184"/>
          </w:tcPr>
          <w:p>
            <w:pPr>
              <w:spacing w:after="0"/>
            </w:pPr>
            <w:r/>
            <w:r>
              <w:rPr>
                <w:b w:val="0"/>
                <w:sz w:val="17"/>
              </w:rPr>
              <w:t>Records الحمد as mubtada, لله as khabar or related attachment according to source; Sarf owns root/form of حمد, Balāgha owns opening force.</w:t>
            </w:r>
          </w:p>
        </w:tc>
      </w:tr>
      <w:tr>
        <w:tc>
          <w:tcPr>
            <w:tcW w:type="dxa" w:w="5184"/>
          </w:tcPr>
          <w:p>
            <w:pPr>
              <w:spacing w:after="0"/>
            </w:pPr>
            <w:r/>
            <w:r>
              <w:rPr>
                <w:b w:val="0"/>
                <w:sz w:val="17"/>
              </w:rPr>
              <w:t>يوسف 12:3: نحن نقص عليك أحسن القصص</w:t>
            </w:r>
          </w:p>
        </w:tc>
        <w:tc>
          <w:tcPr>
            <w:tcW w:type="dxa" w:w="5184"/>
          </w:tcPr>
          <w:p>
            <w:pPr>
              <w:spacing w:after="0"/>
            </w:pPr>
            <w:r/>
            <w:r>
              <w:rPr>
                <w:b w:val="0"/>
                <w:sz w:val="17"/>
              </w:rPr>
              <w:t>Records sentence structure, verb/object/prepositional attachment, and debate around القصص role if source-backed; Sarf owns ق ص ص root force.</w:t>
            </w:r>
          </w:p>
        </w:tc>
      </w:tr>
      <w:tr>
        <w:tc>
          <w:tcPr>
            <w:tcW w:type="dxa" w:w="5184"/>
          </w:tcPr>
          <w:p>
            <w:pPr>
              <w:spacing w:after="0"/>
            </w:pPr>
            <w:r/>
            <w:r>
              <w:rPr>
                <w:b w:val="0"/>
                <w:sz w:val="17"/>
              </w:rPr>
              <w:t>المزمل 73:4: ورتل القرآن ترتيلا</w:t>
            </w:r>
          </w:p>
        </w:tc>
        <w:tc>
          <w:tcPr>
            <w:tcW w:type="dxa" w:w="5184"/>
          </w:tcPr>
          <w:p>
            <w:pPr>
              <w:spacing w:after="0"/>
            </w:pPr>
            <w:r/>
            <w:r>
              <w:rPr>
                <w:b w:val="0"/>
                <w:sz w:val="17"/>
              </w:rPr>
              <w:t>Records ترتيلا as final iʿrāb role; Sarf owns masdar morphology and Balāgha owns rhythmic/emphatic force.</w:t>
            </w:r>
          </w:p>
        </w:tc>
      </w:tr>
    </w:tbl>
    <w:p/>
    <w:p>
      <w:pPr>
        <w:pStyle w:val="Heading1"/>
      </w:pPr>
      <w:r>
        <w:t>8. Child-to-Scholar UI Levels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b/>
                <w:sz w:val="17"/>
              </w:rPr>
              <w:t>UI Level</w:t>
            </w:r>
          </w:p>
        </w:tc>
        <w:tc>
          <w:tcPr>
            <w:tcW w:type="dxa" w:w="3456"/>
            <w:shd w:fill="D9EAF7"/>
          </w:tcPr>
          <w:p>
            <w:pPr>
              <w:spacing w:after="0"/>
            </w:pPr>
            <w:r/>
            <w:r>
              <w:rPr>
                <w:b/>
                <w:sz w:val="17"/>
              </w:rPr>
              <w:t>Purpose</w:t>
            </w:r>
          </w:p>
        </w:tc>
        <w:tc>
          <w:tcPr>
            <w:tcW w:type="dxa" w:w="3456"/>
            <w:shd w:fill="D9EAF7"/>
          </w:tcPr>
          <w:p>
            <w:pPr>
              <w:spacing w:after="0"/>
            </w:pPr>
            <w:r/>
            <w:r>
              <w:rPr>
                <w:b/>
                <w:sz w:val="17"/>
              </w:rPr>
              <w:t>Display Example</w:t>
            </w:r>
          </w:p>
        </w:tc>
      </w:tr>
      <w:tr>
        <w:tc>
          <w:tcPr>
            <w:tcW w:type="dxa" w:w="3456"/>
          </w:tcPr>
          <w:p>
            <w:pPr>
              <w:spacing w:after="0"/>
            </w:pPr>
            <w:r/>
            <w:r>
              <w:rPr>
                <w:b w:val="0"/>
                <w:sz w:val="17"/>
              </w:rPr>
              <w:t>Level 1 — Child</w:t>
            </w:r>
          </w:p>
        </w:tc>
        <w:tc>
          <w:tcPr>
            <w:tcW w:type="dxa" w:w="3456"/>
          </w:tcPr>
          <w:p>
            <w:pPr>
              <w:spacing w:after="0"/>
            </w:pPr>
            <w:r/>
            <w:r>
              <w:rPr>
                <w:b w:val="0"/>
                <w:sz w:val="17"/>
              </w:rPr>
              <w:t>One simple role/effect line.</w:t>
            </w:r>
          </w:p>
        </w:tc>
        <w:tc>
          <w:tcPr>
            <w:tcW w:type="dxa" w:w="3456"/>
          </w:tcPr>
          <w:p>
            <w:pPr>
              <w:spacing w:after="0"/>
            </w:pPr>
            <w:r/>
            <w:r>
              <w:rPr>
                <w:b w:val="0"/>
                <w:sz w:val="17"/>
              </w:rPr>
              <w:t>“This word is the subject / doer / object.”</w:t>
            </w:r>
          </w:p>
        </w:tc>
      </w:tr>
      <w:tr>
        <w:tc>
          <w:tcPr>
            <w:tcW w:type="dxa" w:w="3456"/>
          </w:tcPr>
          <w:p>
            <w:pPr>
              <w:spacing w:after="0"/>
            </w:pPr>
            <w:r/>
            <w:r>
              <w:rPr>
                <w:b w:val="0"/>
                <w:sz w:val="17"/>
              </w:rPr>
              <w:t>Level 2 — Learner</w:t>
            </w:r>
          </w:p>
        </w:tc>
        <w:tc>
          <w:tcPr>
            <w:tcW w:type="dxa" w:w="3456"/>
          </w:tcPr>
          <w:p>
            <w:pPr>
              <w:spacing w:after="0"/>
            </w:pPr>
            <w:r/>
            <w:r>
              <w:rPr>
                <w:b w:val="0"/>
                <w:sz w:val="17"/>
              </w:rPr>
              <w:t>Show the structure/device with a short explanation.</w:t>
            </w:r>
          </w:p>
        </w:tc>
        <w:tc>
          <w:tcPr>
            <w:tcW w:type="dxa" w:w="3456"/>
          </w:tcPr>
          <w:p>
            <w:pPr>
              <w:spacing w:after="0"/>
            </w:pPr>
            <w:r/>
            <w:r>
              <w:rPr>
                <w:b w:val="0"/>
                <w:sz w:val="17"/>
              </w:rPr>
              <w:t>Label + source-backed example.</w:t>
            </w:r>
          </w:p>
        </w:tc>
      </w:tr>
      <w:tr>
        <w:tc>
          <w:tcPr>
            <w:tcW w:type="dxa" w:w="3456"/>
          </w:tcPr>
          <w:p>
            <w:pPr>
              <w:spacing w:after="0"/>
            </w:pPr>
            <w:r/>
            <w:r>
              <w:rPr>
                <w:b w:val="0"/>
                <w:sz w:val="17"/>
              </w:rPr>
              <w:t>Level 3 — Student</w:t>
            </w:r>
          </w:p>
        </w:tc>
        <w:tc>
          <w:tcPr>
            <w:tcW w:type="dxa" w:w="3456"/>
          </w:tcPr>
          <w:p>
            <w:pPr>
              <w:spacing w:after="0"/>
            </w:pPr>
            <w:r/>
            <w:r>
              <w:rPr>
                <w:b w:val="0"/>
                <w:sz w:val="17"/>
              </w:rPr>
              <w:t>Show tafsir-linked note and relation map.</w:t>
            </w:r>
          </w:p>
        </w:tc>
        <w:tc>
          <w:tcPr>
            <w:tcW w:type="dxa" w:w="3456"/>
          </w:tcPr>
          <w:p>
            <w:pPr>
              <w:spacing w:after="0"/>
            </w:pPr>
            <w:r/>
            <w:r>
              <w:rPr>
                <w:b w:val="0"/>
                <w:sz w:val="17"/>
              </w:rPr>
              <w:t>Why this grammar/effect matters in this ayah.</w:t>
            </w:r>
          </w:p>
        </w:tc>
      </w:tr>
      <w:tr>
        <w:tc>
          <w:tcPr>
            <w:tcW w:type="dxa" w:w="3456"/>
          </w:tcPr>
          <w:p>
            <w:pPr>
              <w:spacing w:after="0"/>
            </w:pPr>
            <w:r/>
            <w:r>
              <w:rPr>
                <w:b w:val="0"/>
                <w:sz w:val="17"/>
              </w:rPr>
              <w:t>Level 4 — Researcher</w:t>
            </w:r>
          </w:p>
        </w:tc>
        <w:tc>
          <w:tcPr>
            <w:tcW w:type="dxa" w:w="3456"/>
          </w:tcPr>
          <w:p>
            <w:pPr>
              <w:spacing w:after="0"/>
            </w:pPr>
            <w:r/>
            <w:r>
              <w:rPr>
                <w:b w:val="0"/>
                <w:sz w:val="17"/>
              </w:rPr>
              <w:t>Show disputes, qirāʾāt, source chain, exact quote.</w:t>
            </w:r>
          </w:p>
        </w:tc>
        <w:tc>
          <w:tcPr>
            <w:tcW w:type="dxa" w:w="3456"/>
          </w:tcPr>
          <w:p>
            <w:pPr>
              <w:spacing w:after="0"/>
            </w:pPr>
            <w:r/>
            <w:r>
              <w:rPr>
                <w:b w:val="0"/>
                <w:sz w:val="17"/>
              </w:rPr>
              <w:t>Alternative readings with locators.</w:t>
            </w:r>
          </w:p>
        </w:tc>
      </w:tr>
      <w:tr>
        <w:tc>
          <w:tcPr>
            <w:tcW w:type="dxa" w:w="3456"/>
          </w:tcPr>
          <w:p>
            <w:pPr>
              <w:spacing w:after="0"/>
            </w:pPr>
            <w:r/>
            <w:r>
              <w:rPr>
                <w:b w:val="0"/>
                <w:sz w:val="17"/>
              </w:rPr>
              <w:t>Level 5 — Reviewer</w:t>
            </w:r>
          </w:p>
        </w:tc>
        <w:tc>
          <w:tcPr>
            <w:tcW w:type="dxa" w:w="3456"/>
          </w:tcPr>
          <w:p>
            <w:pPr>
              <w:spacing w:after="0"/>
            </w:pPr>
            <w:r/>
            <w:r>
              <w:rPr>
                <w:b w:val="0"/>
                <w:sz w:val="17"/>
              </w:rPr>
              <w:t>Promotion/rejection tools.</w:t>
            </w:r>
          </w:p>
        </w:tc>
        <w:tc>
          <w:tcPr>
            <w:tcW w:type="dxa" w:w="3456"/>
          </w:tcPr>
          <w:p>
            <w:pPr>
              <w:spacing w:after="0"/>
            </w:pPr>
            <w:r/>
            <w:r>
              <w:rPr>
                <w:b w:val="0"/>
                <w:sz w:val="17"/>
              </w:rPr>
              <w:t>Claim id, chunk hash, validation gates, review notes.</w:t>
            </w:r>
          </w:p>
        </w:tc>
      </w:tr>
    </w:tbl>
    <w:p/>
    <w:p>
      <w:pPr>
        <w:pStyle w:val="Heading1"/>
      </w:pPr>
      <w:r>
        <w:t>9. Review and Release Rules</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7"/>
              </w:rPr>
              <w:t>Status</w:t>
            </w:r>
          </w:p>
        </w:tc>
        <w:tc>
          <w:tcPr>
            <w:tcW w:type="dxa" w:w="5184"/>
            <w:shd w:fill="D9EAF7"/>
          </w:tcPr>
          <w:p>
            <w:pPr>
              <w:spacing w:after="0"/>
            </w:pPr>
            <w:r/>
            <w:r>
              <w:rPr>
                <w:b/>
                <w:sz w:val="17"/>
              </w:rPr>
              <w:t>Meaning</w:t>
            </w:r>
          </w:p>
        </w:tc>
      </w:tr>
      <w:tr>
        <w:tc>
          <w:tcPr>
            <w:tcW w:type="dxa" w:w="5184"/>
          </w:tcPr>
          <w:p>
            <w:pPr>
              <w:spacing w:after="0"/>
            </w:pPr>
            <w:r/>
            <w:r>
              <w:rPr>
                <w:b w:val="0"/>
                <w:sz w:val="17"/>
              </w:rPr>
              <w:t>raw</w:t>
            </w:r>
          </w:p>
        </w:tc>
        <w:tc>
          <w:tcPr>
            <w:tcW w:type="dxa" w:w="5184"/>
          </w:tcPr>
          <w:p>
            <w:pPr>
              <w:spacing w:after="0"/>
            </w:pPr>
            <w:r/>
            <w:r>
              <w:rPr>
                <w:b w:val="0"/>
                <w:sz w:val="17"/>
              </w:rPr>
              <w:t>Imported text or dataset row, not yet interpreted.</w:t>
            </w:r>
          </w:p>
        </w:tc>
      </w:tr>
      <w:tr>
        <w:tc>
          <w:tcPr>
            <w:tcW w:type="dxa" w:w="5184"/>
          </w:tcPr>
          <w:p>
            <w:pPr>
              <w:spacing w:after="0"/>
            </w:pPr>
            <w:r/>
            <w:r>
              <w:rPr>
                <w:b w:val="0"/>
                <w:sz w:val="17"/>
              </w:rPr>
              <w:t>candidate</w:t>
            </w:r>
          </w:p>
        </w:tc>
        <w:tc>
          <w:tcPr>
            <w:tcW w:type="dxa" w:w="5184"/>
          </w:tcPr>
          <w:p>
            <w:pPr>
              <w:spacing w:after="0"/>
            </w:pPr>
            <w:r/>
            <w:r>
              <w:rPr>
                <w:b w:val="0"/>
                <w:sz w:val="17"/>
              </w:rPr>
              <w:t>LLM extracted claim with Arabic quote and locator.</w:t>
            </w:r>
          </w:p>
        </w:tc>
      </w:tr>
      <w:tr>
        <w:tc>
          <w:tcPr>
            <w:tcW w:type="dxa" w:w="5184"/>
          </w:tcPr>
          <w:p>
            <w:pPr>
              <w:spacing w:after="0"/>
            </w:pPr>
            <w:r/>
            <w:r>
              <w:rPr>
                <w:b w:val="0"/>
                <w:sz w:val="17"/>
              </w:rPr>
              <w:t>mapped</w:t>
            </w:r>
          </w:p>
        </w:tc>
        <w:tc>
          <w:tcPr>
            <w:tcW w:type="dxa" w:w="5184"/>
          </w:tcPr>
          <w:p>
            <w:pPr>
              <w:spacing w:after="0"/>
            </w:pPr>
            <w:r/>
            <w:r>
              <w:rPr>
                <w:b w:val="0"/>
                <w:sz w:val="17"/>
              </w:rPr>
              <w:t>Claim mapped to Quran scope and source chunk.</w:t>
            </w:r>
          </w:p>
        </w:tc>
      </w:tr>
      <w:tr>
        <w:tc>
          <w:tcPr>
            <w:tcW w:type="dxa" w:w="5184"/>
          </w:tcPr>
          <w:p>
            <w:pPr>
              <w:spacing w:after="0"/>
            </w:pPr>
            <w:r/>
            <w:r>
              <w:rPr>
                <w:b w:val="0"/>
                <w:sz w:val="17"/>
              </w:rPr>
              <w:t>corroborated</w:t>
            </w:r>
          </w:p>
        </w:tc>
        <w:tc>
          <w:tcPr>
            <w:tcW w:type="dxa" w:w="5184"/>
          </w:tcPr>
          <w:p>
            <w:pPr>
              <w:spacing w:after="0"/>
            </w:pPr>
            <w:r/>
            <w:r>
              <w:rPr>
                <w:b w:val="0"/>
                <w:sz w:val="17"/>
              </w:rPr>
              <w:t>At least two sources agree or one primary source is accepted.</w:t>
            </w:r>
          </w:p>
        </w:tc>
      </w:tr>
      <w:tr>
        <w:tc>
          <w:tcPr>
            <w:tcW w:type="dxa" w:w="5184"/>
          </w:tcPr>
          <w:p>
            <w:pPr>
              <w:spacing w:after="0"/>
            </w:pPr>
            <w:r/>
            <w:r>
              <w:rPr>
                <w:b w:val="0"/>
                <w:sz w:val="17"/>
              </w:rPr>
              <w:t>approved</w:t>
            </w:r>
          </w:p>
        </w:tc>
        <w:tc>
          <w:tcPr>
            <w:tcW w:type="dxa" w:w="5184"/>
          </w:tcPr>
          <w:p>
            <w:pPr>
              <w:spacing w:after="0"/>
            </w:pPr>
            <w:r/>
            <w:r>
              <w:rPr>
                <w:b w:val="0"/>
                <w:sz w:val="17"/>
              </w:rPr>
              <w:t>Accepted for public UI.</w:t>
            </w:r>
          </w:p>
        </w:tc>
      </w:tr>
      <w:tr>
        <w:tc>
          <w:tcPr>
            <w:tcW w:type="dxa" w:w="5184"/>
          </w:tcPr>
          <w:p>
            <w:pPr>
              <w:spacing w:after="0"/>
            </w:pPr>
            <w:r/>
            <w:r>
              <w:rPr>
                <w:b w:val="0"/>
                <w:sz w:val="17"/>
              </w:rPr>
              <w:t>disputed</w:t>
            </w:r>
          </w:p>
        </w:tc>
        <w:tc>
          <w:tcPr>
            <w:tcW w:type="dxa" w:w="5184"/>
          </w:tcPr>
          <w:p>
            <w:pPr>
              <w:spacing w:after="0"/>
            </w:pPr>
            <w:r/>
            <w:r>
              <w:rPr>
                <w:b w:val="0"/>
                <w:sz w:val="17"/>
              </w:rPr>
              <w:t>Valid disagreement; show only in advanced mode.</w:t>
            </w:r>
          </w:p>
        </w:tc>
      </w:tr>
      <w:tr>
        <w:tc>
          <w:tcPr>
            <w:tcW w:type="dxa" w:w="5184"/>
          </w:tcPr>
          <w:p>
            <w:pPr>
              <w:spacing w:after="0"/>
            </w:pPr>
            <w:r/>
            <w:r>
              <w:rPr>
                <w:b w:val="0"/>
                <w:sz w:val="17"/>
              </w:rPr>
              <w:t>rejected</w:t>
            </w:r>
          </w:p>
        </w:tc>
        <w:tc>
          <w:tcPr>
            <w:tcW w:type="dxa" w:w="5184"/>
          </w:tcPr>
          <w:p>
            <w:pPr>
              <w:spacing w:after="0"/>
            </w:pPr>
            <w:r/>
            <w:r>
              <w:rPr>
                <w:b w:val="0"/>
                <w:sz w:val="17"/>
              </w:rPr>
              <w:t>Stored in audit history, never public.</w:t>
            </w:r>
          </w:p>
        </w:tc>
      </w:tr>
    </w:tbl>
    <w:p/>
    <w:p>
      <w:pPr>
        <w:pStyle w:val="Heading1"/>
      </w:pPr>
      <w:r>
        <w:t>10. First Ingestion Strategy</w:t>
      </w:r>
    </w:p>
    <w:p>
      <w:pPr>
        <w:pStyle w:val="ListNumber"/>
      </w:pPr>
      <w:r>
        <w:t>Begin with Surah 1 using Safi + Darwish + Ukbari.</w:t>
      </w:r>
    </w:p>
    <w:p>
      <w:pPr>
        <w:pStyle w:val="ListNumber"/>
      </w:pPr>
      <w:r>
        <w:t>Create sentence, clause, phrase, and word scopes before extracting claims.</w:t>
      </w:r>
    </w:p>
    <w:p>
      <w:pPr>
        <w:pStyle w:val="ListNumber"/>
      </w:pPr>
      <w:r>
        <w:t>Load grammar concepts into ar_ling_nahw_concepts.</w:t>
      </w:r>
    </w:p>
    <w:p>
      <w:pPr>
        <w:pStyle w:val="ListNumber"/>
      </w:pPr>
      <w:r>
        <w:t>Extract iʿrāb claims with exact Arabic quotes and locators.</w:t>
      </w:r>
    </w:p>
    <w:p>
      <w:pPr>
        <w:pStyle w:val="ListNumber"/>
      </w:pPr>
      <w:r>
        <w:t>Build UI cards from approved rows only.</w:t>
      </w:r>
    </w:p>
    <w:p>
      <w:pPr>
        <w:pStyle w:val="ListNumber"/>
      </w:pPr>
      <w:r>
        <w:t>Move to Surah 12:1–7 for multi-clause narrative testing.</w:t>
      </w:r>
    </w:p>
    <w:p>
      <w:pPr>
        <w:pStyle w:val="Heading1"/>
      </w:pPr>
      <w:r>
        <w:t>11. End Doctrine</w:t>
      </w:r>
    </w:p>
    <w:p>
      <w:r>
        <w:t>إعراب becomes useful in K-Maps only when it remains disciplined: Quran scope first, Arabic source evidence second, layer boundary third, review before public display. It should feed the wider Quran/worldview graph, but it must not become an uncontrolled tafsir dump.</w:t>
      </w:r>
    </w:p>
    <w:p>
      <w:r>
        <w:br w:type="page"/>
      </w:r>
    </w:p>
    <w:p>
      <w:pPr>
        <w:pStyle w:val="Heading1"/>
      </w:pPr>
      <w:r>
        <w:t>12. Researcher Reading Questions</w:t>
      </w:r>
    </w:p>
    <w:p>
      <w:pPr>
        <w:pStyle w:val="ListNumber"/>
      </w:pPr>
      <w:r>
        <w:t>Where is the grammatical center of the sentence?</w:t>
      </w:r>
    </w:p>
    <w:p>
      <w:pPr>
        <w:pStyle w:val="ListNumber"/>
      </w:pPr>
      <w:r>
        <w:t>Which element is governing the case or role?</w:t>
      </w:r>
    </w:p>
    <w:p>
      <w:pPr>
        <w:pStyle w:val="ListNumber"/>
      </w:pPr>
      <w:r>
        <w:t>Which relationship is visible in Arabic but hidden in English?</w:t>
      </w:r>
    </w:p>
    <w:p>
      <w:pPr>
        <w:pStyle w:val="ListNumber"/>
      </w:pPr>
      <w:r>
        <w:t>Does an omitted element need to be supplied?</w:t>
      </w:r>
    </w:p>
    <w:p>
      <w:pPr>
        <w:pStyle w:val="ListNumber"/>
      </w:pPr>
      <w:r>
        <w:t>Does a different iʿrāb change meaning?</w:t>
      </w:r>
    </w:p>
    <w:p>
      <w:pPr>
        <w:pStyle w:val="ListNumber"/>
      </w:pPr>
      <w:r>
        <w:t>Does the syntactic structure serve a rhetorical effect routed to Balāgha?</w:t>
      </w:r>
    </w:p>
    <w:p>
      <w:pPr>
        <w:pStyle w:val="Heading1"/>
      </w:pPr>
      <w:r>
        <w:t>13. Pedagogy Doctrine</w:t>
      </w:r>
    </w:p>
    <w:p>
      <w:r>
        <w:t>The إعراب layer must serve a child, a learner, a student, a researcher, and a reviewer at the same time. The beginner should not see the full scholarly dispute by default. The reviewer should never lose access to the Arabic source chain, locator, confidence status, and rejected alternatives.</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sz w:val="16"/>
              </w:rPr>
              <w:t>Audience</w:t>
            </w:r>
          </w:p>
        </w:tc>
        <w:tc>
          <w:tcPr>
            <w:tcW w:type="dxa" w:w="3456"/>
          </w:tcPr>
          <w:p>
            <w:r>
              <w:rPr>
                <w:b/>
                <w:sz w:val="16"/>
              </w:rPr>
              <w:t>What They Need</w:t>
            </w:r>
          </w:p>
        </w:tc>
        <w:tc>
          <w:tcPr>
            <w:tcW w:type="dxa" w:w="3456"/>
          </w:tcPr>
          <w:p>
            <w:r>
              <w:rPr>
                <w:b/>
                <w:sz w:val="16"/>
              </w:rPr>
              <w:t>What To Hide by Default</w:t>
            </w:r>
          </w:p>
        </w:tc>
      </w:tr>
      <w:tr>
        <w:tc>
          <w:tcPr>
            <w:tcW w:type="dxa" w:w="3456"/>
          </w:tcPr>
          <w:p>
            <w:r>
              <w:rPr>
                <w:b w:val="0"/>
                <w:sz w:val="16"/>
              </w:rPr>
              <w:t>Child</w:t>
            </w:r>
          </w:p>
        </w:tc>
        <w:tc>
          <w:tcPr>
            <w:tcW w:type="dxa" w:w="3456"/>
          </w:tcPr>
          <w:p>
            <w:r>
              <w:rPr>
                <w:b w:val="0"/>
                <w:sz w:val="16"/>
              </w:rPr>
              <w:t>One clear meaning/role/effect line.</w:t>
            </w:r>
          </w:p>
        </w:tc>
        <w:tc>
          <w:tcPr>
            <w:tcW w:type="dxa" w:w="3456"/>
          </w:tcPr>
          <w:p>
            <w:r>
              <w:rPr>
                <w:b w:val="0"/>
                <w:sz w:val="16"/>
              </w:rPr>
              <w:t>Disputes, qirāʾāt, long source quotes.</w:t>
            </w:r>
          </w:p>
        </w:tc>
      </w:tr>
      <w:tr>
        <w:tc>
          <w:tcPr>
            <w:tcW w:type="dxa" w:w="3456"/>
          </w:tcPr>
          <w:p>
            <w:r>
              <w:rPr>
                <w:b w:val="0"/>
                <w:sz w:val="16"/>
              </w:rPr>
              <w:t>Learner</w:t>
            </w:r>
          </w:p>
        </w:tc>
        <w:tc>
          <w:tcPr>
            <w:tcW w:type="dxa" w:w="3456"/>
          </w:tcPr>
          <w:p>
            <w:r>
              <w:rPr>
                <w:b w:val="0"/>
                <w:sz w:val="16"/>
              </w:rPr>
              <w:t>Label + simple explanation + one Quran example.</w:t>
            </w:r>
          </w:p>
        </w:tc>
        <w:tc>
          <w:tcPr>
            <w:tcW w:type="dxa" w:w="3456"/>
          </w:tcPr>
          <w:p>
            <w:r>
              <w:rPr>
                <w:b w:val="0"/>
                <w:sz w:val="16"/>
              </w:rPr>
              <w:t>Deep source comparison.</w:t>
            </w:r>
          </w:p>
        </w:tc>
      </w:tr>
      <w:tr>
        <w:tc>
          <w:tcPr>
            <w:tcW w:type="dxa" w:w="3456"/>
          </w:tcPr>
          <w:p>
            <w:r>
              <w:rPr>
                <w:b w:val="0"/>
                <w:sz w:val="16"/>
              </w:rPr>
              <w:t>Student</w:t>
            </w:r>
          </w:p>
        </w:tc>
        <w:tc>
          <w:tcPr>
            <w:tcW w:type="dxa" w:w="3456"/>
          </w:tcPr>
          <w:p>
            <w:r>
              <w:rPr>
                <w:b w:val="0"/>
                <w:sz w:val="16"/>
              </w:rPr>
              <w:t>Why it matters in the ayah.</w:t>
            </w:r>
          </w:p>
        </w:tc>
        <w:tc>
          <w:tcPr>
            <w:tcW w:type="dxa" w:w="3456"/>
          </w:tcPr>
          <w:p>
            <w:r>
              <w:rPr>
                <w:b w:val="0"/>
                <w:sz w:val="16"/>
              </w:rPr>
              <w:t>Raw extraction logs.</w:t>
            </w:r>
          </w:p>
        </w:tc>
      </w:tr>
      <w:tr>
        <w:tc>
          <w:tcPr>
            <w:tcW w:type="dxa" w:w="3456"/>
          </w:tcPr>
          <w:p>
            <w:r>
              <w:rPr>
                <w:b w:val="0"/>
                <w:sz w:val="16"/>
              </w:rPr>
              <w:t>Researcher</w:t>
            </w:r>
          </w:p>
        </w:tc>
        <w:tc>
          <w:tcPr>
            <w:tcW w:type="dxa" w:w="3456"/>
          </w:tcPr>
          <w:p>
            <w:r>
              <w:rPr>
                <w:b w:val="0"/>
                <w:sz w:val="16"/>
              </w:rPr>
              <w:t>Alternative readings, sources, route_out links.</w:t>
            </w:r>
          </w:p>
        </w:tc>
        <w:tc>
          <w:tcPr>
            <w:tcW w:type="dxa" w:w="3456"/>
          </w:tcPr>
          <w:p>
            <w:r>
              <w:rPr>
                <w:b w:val="0"/>
                <w:sz w:val="16"/>
              </w:rPr>
              <w:t>Nothing essential; show filters.</w:t>
            </w:r>
          </w:p>
        </w:tc>
      </w:tr>
      <w:tr>
        <w:tc>
          <w:tcPr>
            <w:tcW w:type="dxa" w:w="3456"/>
          </w:tcPr>
          <w:p>
            <w:r>
              <w:rPr>
                <w:b w:val="0"/>
                <w:sz w:val="16"/>
              </w:rPr>
              <w:t>Reviewer</w:t>
            </w:r>
          </w:p>
        </w:tc>
        <w:tc>
          <w:tcPr>
            <w:tcW w:type="dxa" w:w="3456"/>
          </w:tcPr>
          <w:p>
            <w:r>
              <w:rPr>
                <w:b w:val="0"/>
                <w:sz w:val="16"/>
              </w:rPr>
              <w:t>Full claim/chunk/source/hash/validation chain.</w:t>
            </w:r>
          </w:p>
        </w:tc>
        <w:tc>
          <w:tcPr>
            <w:tcW w:type="dxa" w:w="3456"/>
          </w:tcPr>
          <w:p>
            <w:r>
              <w:rPr>
                <w:b w:val="0"/>
                <w:sz w:val="16"/>
              </w:rPr>
              <w:t>Nothing.</w:t>
            </w:r>
          </w:p>
        </w:tc>
      </w:tr>
    </w:tbl>
    <w:p/>
    <w:p>
      <w:pPr>
        <w:pStyle w:val="Heading1"/>
      </w:pPr>
      <w:r>
        <w:t>14. Common Pitfalls</w:t>
      </w:r>
    </w:p>
    <w:p>
      <w:pPr>
        <w:pStyle w:val="ListNumber"/>
      </w:pPr>
      <w:r>
        <w:t>Reducing إعراب to case endings.</w:t>
      </w:r>
    </w:p>
    <w:p>
      <w:pPr>
        <w:pStyle w:val="ListNumber"/>
      </w:pPr>
      <w:r>
        <w:t>Showing too many alternatives to beginners.</w:t>
      </w:r>
    </w:p>
    <w:p>
      <w:pPr>
        <w:pStyle w:val="ListNumber"/>
      </w:pPr>
      <w:r>
        <w:t>Hiding the source chain from reviewers.</w:t>
      </w:r>
    </w:p>
    <w:p>
      <w:pPr>
        <w:pStyle w:val="ListNumber"/>
      </w:pPr>
      <w:r>
        <w:t>Confusing syntax role with morphology form.</w:t>
      </w:r>
    </w:p>
    <w:p>
      <w:pPr>
        <w:pStyle w:val="ListNumber"/>
      </w:pPr>
      <w:r>
        <w:t>Confusing syntactic ellipsis with rhetorical ellipsis effect.</w:t>
      </w:r>
    </w:p>
    <w:p>
      <w:pPr>
        <w:pStyle w:val="Heading1"/>
      </w:pPr>
      <w:r>
        <w:t>15. Cross-Layer Boundary Examples</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Case</w:t>
            </w:r>
          </w:p>
        </w:tc>
        <w:tc>
          <w:tcPr>
            <w:tcW w:type="dxa" w:w="5184"/>
          </w:tcPr>
          <w:p>
            <w:r>
              <w:rPr>
                <w:b/>
                <w:sz w:val="16"/>
              </w:rPr>
              <w:t>Boundary Rule</w:t>
            </w:r>
          </w:p>
        </w:tc>
      </w:tr>
      <w:tr>
        <w:tc>
          <w:tcPr>
            <w:tcW w:type="dxa" w:w="5184"/>
          </w:tcPr>
          <w:p>
            <w:r>
              <w:rPr>
                <w:b w:val="0"/>
                <w:sz w:val="16"/>
              </w:rPr>
              <w:t>مفعول مطلق</w:t>
            </w:r>
          </w:p>
        </w:tc>
        <w:tc>
          <w:tcPr>
            <w:tcW w:type="dxa" w:w="5184"/>
          </w:tcPr>
          <w:p>
            <w:r>
              <w:rPr>
                <w:b w:val="0"/>
                <w:sz w:val="16"/>
              </w:rPr>
              <w:t>Iʿrāb stores final syntactic role; Sarf stores masdar morphology; Balāgha stores force/effect.</w:t>
            </w:r>
          </w:p>
        </w:tc>
      </w:tr>
      <w:tr>
        <w:tc>
          <w:tcPr>
            <w:tcW w:type="dxa" w:w="5184"/>
          </w:tcPr>
          <w:p>
            <w:r>
              <w:rPr>
                <w:b w:val="0"/>
                <w:sz w:val="16"/>
              </w:rPr>
              <w:t>تقديم المفعول</w:t>
            </w:r>
          </w:p>
        </w:tc>
        <w:tc>
          <w:tcPr>
            <w:tcW w:type="dxa" w:w="5184"/>
          </w:tcPr>
          <w:p>
            <w:r>
              <w:rPr>
                <w:b w:val="0"/>
                <w:sz w:val="16"/>
              </w:rPr>
              <w:t>Iʿrāb stores object-fronting structure; Balāgha stores qasr/focus effect.</w:t>
            </w:r>
          </w:p>
        </w:tc>
      </w:tr>
      <w:tr>
        <w:tc>
          <w:tcPr>
            <w:tcW w:type="dxa" w:w="5184"/>
          </w:tcPr>
          <w:p>
            <w:r>
              <w:rPr>
                <w:b w:val="0"/>
                <w:sz w:val="16"/>
              </w:rPr>
              <w:t>حذف الخبر</w:t>
            </w:r>
          </w:p>
        </w:tc>
        <w:tc>
          <w:tcPr>
            <w:tcW w:type="dxa" w:w="5184"/>
          </w:tcPr>
          <w:p>
            <w:r>
              <w:rPr>
                <w:b w:val="0"/>
                <w:sz w:val="16"/>
              </w:rPr>
              <w:t>Iʿrāb stores omitted khabar; Balāgha stores compression/suspense effect if source-backed.</w:t>
            </w:r>
          </w:p>
        </w:tc>
      </w:tr>
    </w:tbl>
    <w:p/>
    <w:p>
      <w:pPr>
        <w:pStyle w:val="Heading1"/>
      </w:pPr>
      <w:r>
        <w:t>16. Glossary</w:t>
      </w:r>
    </w:p>
    <w:tbl>
      <w:tblPr>
        <w:tblStyle w:val="TableGrid"/>
        <w:tblW w:type="auto" w:w="0"/>
        <w:tblLook w:firstColumn="1" w:firstRow="1" w:lastColumn="0" w:lastRow="0" w:noHBand="0" w:noVBand="1" w:val="04A0"/>
      </w:tblPr>
      <w:tblGrid>
        <w:gridCol w:w="5184"/>
        <w:gridCol w:w="5184"/>
      </w:tblGrid>
      <w:tr>
        <w:tc>
          <w:tcPr>
            <w:tcW w:type="dxa" w:w="5184"/>
          </w:tcPr>
          <w:p>
            <w:r>
              <w:rPr>
                <w:b/>
                <w:sz w:val="16"/>
              </w:rPr>
              <w:t>Term</w:t>
            </w:r>
          </w:p>
        </w:tc>
        <w:tc>
          <w:tcPr>
            <w:tcW w:type="dxa" w:w="5184"/>
          </w:tcPr>
          <w:p>
            <w:r>
              <w:rPr>
                <w:b/>
                <w:sz w:val="16"/>
              </w:rPr>
              <w:t>K-Maps Meaning</w:t>
            </w:r>
          </w:p>
        </w:tc>
      </w:tr>
      <w:tr>
        <w:tc>
          <w:tcPr>
            <w:tcW w:type="dxa" w:w="5184"/>
          </w:tcPr>
          <w:p>
            <w:r>
              <w:rPr>
                <w:b w:val="0"/>
                <w:sz w:val="16"/>
              </w:rPr>
              <w:t>عامل</w:t>
            </w:r>
          </w:p>
        </w:tc>
        <w:tc>
          <w:tcPr>
            <w:tcW w:type="dxa" w:w="5184"/>
          </w:tcPr>
          <w:p>
            <w:r>
              <w:rPr>
                <w:b w:val="0"/>
                <w:sz w:val="16"/>
              </w:rPr>
              <w:t>Governor/cause of grammatical dependency or case.</w:t>
            </w:r>
          </w:p>
        </w:tc>
      </w:tr>
      <w:tr>
        <w:tc>
          <w:tcPr>
            <w:tcW w:type="dxa" w:w="5184"/>
          </w:tcPr>
          <w:p>
            <w:r>
              <w:rPr>
                <w:b w:val="0"/>
                <w:sz w:val="16"/>
              </w:rPr>
              <w:t>متعلّق</w:t>
            </w:r>
          </w:p>
        </w:tc>
        <w:tc>
          <w:tcPr>
            <w:tcW w:type="dxa" w:w="5184"/>
          </w:tcPr>
          <w:p>
            <w:r>
              <w:rPr>
                <w:b w:val="0"/>
                <w:sz w:val="16"/>
              </w:rPr>
              <w:t>Attachment target of a prepositional/adverbial phrase.</w:t>
            </w:r>
          </w:p>
        </w:tc>
      </w:tr>
      <w:tr>
        <w:tc>
          <w:tcPr>
            <w:tcW w:type="dxa" w:w="5184"/>
          </w:tcPr>
          <w:p>
            <w:r>
              <w:rPr>
                <w:b w:val="0"/>
                <w:sz w:val="16"/>
              </w:rPr>
              <w:t>محذوف</w:t>
            </w:r>
          </w:p>
        </w:tc>
        <w:tc>
          <w:tcPr>
            <w:tcW w:type="dxa" w:w="5184"/>
          </w:tcPr>
          <w:p>
            <w:r>
              <w:rPr>
                <w:b w:val="0"/>
                <w:sz w:val="16"/>
              </w:rPr>
              <w:t>Omitted element supplied by grammar or context.</w:t>
            </w:r>
          </w:p>
        </w:tc>
      </w:tr>
      <w:tr>
        <w:tc>
          <w:tcPr>
            <w:tcW w:type="dxa" w:w="5184"/>
          </w:tcPr>
          <w:p>
            <w:r>
              <w:rPr>
                <w:b w:val="0"/>
                <w:sz w:val="16"/>
              </w:rPr>
              <w:t>جملة لها محل</w:t>
            </w:r>
          </w:p>
        </w:tc>
        <w:tc>
          <w:tcPr>
            <w:tcW w:type="dxa" w:w="5184"/>
          </w:tcPr>
          <w:p>
            <w:r>
              <w:rPr>
                <w:b w:val="0"/>
                <w:sz w:val="16"/>
              </w:rPr>
              <w:t>Clause with syntactic position.</w:t>
            </w:r>
          </w:p>
        </w:tc>
      </w:tr>
      <w:tr>
        <w:tc>
          <w:tcPr>
            <w:tcW w:type="dxa" w:w="5184"/>
          </w:tcPr>
          <w:p>
            <w:r>
              <w:rPr>
                <w:b w:val="0"/>
                <w:sz w:val="16"/>
              </w:rPr>
              <w:t>جملة لا محل لها</w:t>
            </w:r>
          </w:p>
        </w:tc>
        <w:tc>
          <w:tcPr>
            <w:tcW w:type="dxa" w:w="5184"/>
          </w:tcPr>
          <w:p>
            <w:r>
              <w:rPr>
                <w:b w:val="0"/>
                <w:sz w:val="16"/>
              </w:rPr>
              <w:t>Clause without syntactic position.</w:t>
            </w:r>
          </w:p>
        </w:tc>
      </w:tr>
      <w:tr>
        <w:tc>
          <w:tcPr>
            <w:tcW w:type="dxa" w:w="5184"/>
          </w:tcPr>
          <w:p>
            <w:r>
              <w:rPr>
                <w:b w:val="0"/>
                <w:sz w:val="16"/>
              </w:rPr>
              <w:t>وجه إعرابي</w:t>
            </w:r>
          </w:p>
        </w:tc>
        <w:tc>
          <w:tcPr>
            <w:tcW w:type="dxa" w:w="5184"/>
          </w:tcPr>
          <w:p>
            <w:r>
              <w:rPr>
                <w:b w:val="0"/>
                <w:sz w:val="16"/>
              </w:rPr>
              <w:t>A possible grammatical analysis.</w:t>
            </w:r>
          </w:p>
        </w:tc>
      </w:tr>
    </w:tbl>
    <w:p/>
    <w:p>
      <w:pPr>
        <w:pStyle w:val="Heading1"/>
      </w:pPr>
      <w:r>
        <w:t>17. Source Trust Model</w:t>
      </w:r>
    </w:p>
    <w:p>
      <w:pPr>
        <w:pStyle w:val="ListNumber"/>
      </w:pPr>
      <w:r>
        <w:t>Primary layer sources define the label and boundaries.</w:t>
      </w:r>
    </w:p>
    <w:p>
      <w:pPr>
        <w:pStyle w:val="ListNumber"/>
      </w:pPr>
      <w:r>
        <w:t>Tafsir sources activate the label in Quranic context.</w:t>
      </w:r>
    </w:p>
    <w:p>
      <w:pPr>
        <w:pStyle w:val="ListNumber"/>
      </w:pPr>
      <w:r>
        <w:t>Modern academic sources may clarify history or translation loss but should be marked separately.</w:t>
      </w:r>
    </w:p>
    <w:p>
      <w:pPr>
        <w:pStyle w:val="ListNumber"/>
      </w:pPr>
      <w:r>
        <w:t>Where sources disagree, preserve a dispute record.</w:t>
      </w:r>
    </w:p>
    <w:p>
      <w:pPr>
        <w:pStyle w:val="ListNumber"/>
      </w:pPr>
      <w:r>
        <w:t>No claim becomes public until approved, corroborated, or intentionally marked disputed for advanced mode.</w:t>
      </w:r>
    </w:p>
    <w:p>
      <w:pPr>
        <w:pStyle w:val="Heading1"/>
      </w:pPr>
      <w:r>
        <w:t>18. Final Principle</w:t>
      </w:r>
    </w:p>
    <w:p>
      <w:r>
        <w:t>إعراب should become a living map of Quranic reading, not a dump of labels. It must preserve Arabic evidence, respect layer boundaries, and show the learner why the structure or effect matters in this exact Quranic location.</w:t>
      </w:r>
    </w:p>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إعراب — grammar roles and structure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K-Maps Iʿrāb Layer — Master Philosophy Document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264972"/>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73491C"/>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eastAsia="Arial"/>
      <w:b/>
      <w:bCs/>
      <w:color w:val="5A5A5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26497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before="0"/>
      <w:ind w:left="216" w:right="72"/>
    </w:pPr>
    <w:rPr>
      <w:rFonts w:ascii="Courier New" w:hAnsi="Courier New" w:eastAsia="Courier New"/>
      <w:sz w:val="14"/>
    </w:rPr>
  </w:style>
  <w:style w:type="paragraph" w:customStyle="1" w:styleId="SmallNote">
    <w:name w:val="SmallNote"/>
    <w:pPr>
      <w:spacing w:after="40"/>
    </w:pPr>
    <w:rPr>
      <w:rFonts w:ascii="Arial" w:hAnsi="Arial" w:eastAsia="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