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K-Maps Balāgha Layer — Master Philosophy Document — Version 1.0</w:t>
      </w:r>
    </w:p>
    <w:p>
      <w:pPr>
        <w:jc w:val="center"/>
      </w:pPr>
      <w:r>
        <w:rPr>
          <w:b/>
          <w:color w:val="5A5A5A"/>
          <w:sz w:val="24"/>
        </w:rPr>
        <w:t>K-Maps Quran بلاغة Layer</w:t>
        <w:br/>
        <w:t>Master Philosophy Document</w:t>
        <w:br/>
        <w:t>Philosophy — Research Doctrine — Tafsir-Balāgha Integration — Quran-Grounded UI Model</w:t>
      </w:r>
    </w:p>
    <w:p>
      <w:pPr>
        <w:jc w:val="center"/>
      </w:pPr>
      <w:r>
        <w:rPr>
          <w:i/>
          <w:color w:val="5A5A5A"/>
          <w:sz w:val="19"/>
        </w:rPr>
        <w:t>Version 1.0 — Created for K-Maps — April 2026</w:t>
      </w:r>
    </w:p>
    <w:tbl>
      <w:tblPr>
        <w:tblW w:type="auto" w:w="0"/>
        <w:jc w:val="center"/>
        <w:tblLook w:firstColumn="1" w:firstRow="1" w:lastColumn="0" w:lastRow="0" w:noHBand="0" w:noVBand="1" w:val="04A0"/>
      </w:tblPr>
      <w:tblGrid>
        <w:gridCol w:w="10368"/>
      </w:tblGrid>
      <w:tr>
        <w:tc>
          <w:tcPr>
            <w:tcW w:type="dxa" w:w="10368"/>
            <w:shd w:fill="FFF2CC"/>
            <w:vAlign w:val="center"/>
          </w:tcPr>
          <w:p>
            <w:pPr>
              <w:spacing w:after="0"/>
            </w:pPr>
            <w:r>
              <w:rPr>
                <w:b/>
                <w:sz w:val="20"/>
              </w:rPr>
              <w:t>⚠️ Boundary Rule</w:t>
              <w:br/>
            </w:r>
            <w:r>
              <w:rPr>
                <w:sz w:val="18"/>
              </w:rPr>
              <w:t>This document covers بلاغة only. صرف and إعراب are separate documents and must not be merged here. Tafsir is used only where it explains rhetorical force, effect, imagery, emphasis, restriction, coherence, or discourse movement.</w:t>
            </w:r>
          </w:p>
        </w:tc>
      </w:tr>
    </w:tbl>
    <w:p/>
    <w:p>
      <w:pPr>
        <w:pStyle w:val="Heading1"/>
      </w:pPr>
      <w:r>
        <w:t>1. Scope and Doctrine</w:t>
      </w:r>
    </w:p>
    <w:p>
      <w:r>
        <w:t>بلاغة is not decoration. In K-Maps it is the disciplined study of how the Quranic wording produces force: order, omission, emphasis, restriction, image, sound, contrast, transition, and surah movement.</w:t>
      </w:r>
    </w:p>
    <w:p>
      <w:pPr>
        <w:pStyle w:val="Heading2"/>
      </w:pPr>
      <w:r>
        <w:t>1.1 Non-Negotiable Doctrine</w:t>
      </w:r>
    </w:p>
    <w:p>
      <w:pPr>
        <w:pStyle w:val="ListNumber"/>
      </w:pPr>
      <w:r>
        <w:t>Quran-driven only: every بلاغة entry begins from an actual Quran scope, not from an abstract textbook example.</w:t>
      </w:r>
    </w:p>
    <w:p>
      <w:pPr>
        <w:pStyle w:val="ListNumber"/>
      </w:pPr>
      <w:r>
        <w:t>Arabic source text is the evidence; English is only a helper explanation.</w:t>
      </w:r>
    </w:p>
    <w:p>
      <w:pPr>
        <w:pStyle w:val="ListNumber"/>
      </w:pPr>
      <w:r>
        <w:t>Do not silently overwrite the locked Quran spine or other layers.</w:t>
      </w:r>
    </w:p>
    <w:p>
      <w:pPr>
        <w:pStyle w:val="ListNumber"/>
      </w:pPr>
      <w:r>
        <w:t>No public UI row appears without source evidence, locator, confidence, and review status.</w:t>
      </w:r>
    </w:p>
    <w:p>
      <w:pPr>
        <w:pStyle w:val="ListNumber"/>
      </w:pPr>
      <w:r>
        <w:t>Tafsir is a first-class source only when it explains the layer-specific meaning.</w:t>
      </w:r>
    </w:p>
    <w:p>
      <w:pPr>
        <w:pStyle w:val="ListNumber"/>
      </w:pPr>
      <w:r>
        <w:t>Disputes are stored as disputes; the system does not choose silently.</w:t>
      </w:r>
    </w:p>
    <w:p>
      <w:pPr>
        <w:pStyle w:val="ListNumber"/>
      </w:pPr>
      <w:r>
        <w:t>Vector retrieval supports discovery. Canonical truth lives in D1.</w:t>
      </w:r>
    </w:p>
    <w:p>
      <w:pPr>
        <w:pStyle w:val="Heading2"/>
      </w:pPr>
      <w:r>
        <w:t>1.2 What بلاغة Owns vs. Does Not Own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Owned by Balāgha</w:t>
            </w:r>
          </w:p>
        </w:tc>
        <w:tc>
          <w:tcPr>
            <w:tcW w:type="dxa" w:w="5184"/>
            <w:shd w:fill="D9EAF7"/>
          </w:tcPr>
          <w:p>
            <w:pPr>
              <w:spacing w:after="0"/>
            </w:pPr>
            <w:r/>
            <w:r>
              <w:rPr>
                <w:b/>
                <w:sz w:val="17"/>
              </w:rPr>
              <w:t>Not Owned by Balāgha</w:t>
            </w:r>
          </w:p>
        </w:tc>
      </w:tr>
      <w:tr>
        <w:tc>
          <w:tcPr>
            <w:tcW w:type="dxa" w:w="5184"/>
          </w:tcPr>
          <w:p>
            <w:pPr>
              <w:spacing w:after="0"/>
            </w:pPr>
            <w:r/>
            <w:r>
              <w:rPr>
                <w:b w:val="0"/>
                <w:sz w:val="17"/>
              </w:rPr>
              <w:t>Rhetorical force, device, effect, imagery, coherence</w:t>
            </w:r>
          </w:p>
        </w:tc>
        <w:tc>
          <w:tcPr>
            <w:tcW w:type="dxa" w:w="5184"/>
          </w:tcPr>
          <w:p>
            <w:pPr>
              <w:spacing w:after="0"/>
            </w:pPr>
            <w:r/>
            <w:r>
              <w:rPr>
                <w:b w:val="0"/>
                <w:sz w:val="17"/>
              </w:rPr>
              <w:t>Root/form derivation as final Sarf truth</w:t>
            </w:r>
          </w:p>
        </w:tc>
      </w:tr>
      <w:tr>
        <w:tc>
          <w:tcPr>
            <w:tcW w:type="dxa" w:w="5184"/>
          </w:tcPr>
          <w:p>
            <w:pPr>
              <w:spacing w:after="0"/>
            </w:pPr>
            <w:r/>
            <w:r>
              <w:rPr>
                <w:b w:val="0"/>
                <w:sz w:val="17"/>
              </w:rPr>
              <w:t>Word order effect, qasr, emphasis, ellipsis effect</w:t>
            </w:r>
          </w:p>
        </w:tc>
        <w:tc>
          <w:tcPr>
            <w:tcW w:type="dxa" w:w="5184"/>
          </w:tcPr>
          <w:p>
            <w:pPr>
              <w:spacing w:after="0"/>
            </w:pPr>
            <w:r/>
            <w:r>
              <w:rPr>
                <w:b w:val="0"/>
                <w:sz w:val="17"/>
              </w:rPr>
              <w:t>Final grammatical role as Iʿrāb truth</w:t>
            </w:r>
          </w:p>
        </w:tc>
      </w:tr>
      <w:tr>
        <w:tc>
          <w:tcPr>
            <w:tcW w:type="dxa" w:w="5184"/>
          </w:tcPr>
          <w:p>
            <w:pPr>
              <w:spacing w:after="0"/>
            </w:pPr>
            <w:r/>
            <w:r>
              <w:rPr>
                <w:b w:val="0"/>
                <w:sz w:val="17"/>
              </w:rPr>
              <w:t>Metaphor, simile, kināyah, badīʿ patterns when meaningful</w:t>
            </w:r>
          </w:p>
        </w:tc>
        <w:tc>
          <w:tcPr>
            <w:tcW w:type="dxa" w:w="5184"/>
          </w:tcPr>
          <w:p>
            <w:pPr>
              <w:spacing w:after="0"/>
            </w:pPr>
            <w:r/>
            <w:r>
              <w:rPr>
                <w:b w:val="0"/>
                <w:sz w:val="17"/>
              </w:rPr>
              <w:t>General tafsir doctrine without rhetorical mechanism</w:t>
            </w:r>
          </w:p>
        </w:tc>
      </w:tr>
      <w:tr>
        <w:tc>
          <w:tcPr>
            <w:tcW w:type="dxa" w:w="5184"/>
          </w:tcPr>
          <w:p>
            <w:pPr>
              <w:spacing w:after="0"/>
            </w:pPr>
            <w:r/>
            <w:r>
              <w:rPr>
                <w:b w:val="0"/>
                <w:sz w:val="17"/>
              </w:rPr>
              <w:t>Surah-level openings, closings, transitions, motif force</w:t>
            </w:r>
          </w:p>
        </w:tc>
        <w:tc>
          <w:tcPr>
            <w:tcW w:type="dxa" w:w="5184"/>
          </w:tcPr>
          <w:p>
            <w:pPr>
              <w:spacing w:after="0"/>
            </w:pPr>
            <w:r/>
            <w:r>
              <w:rPr>
                <w:b w:val="0"/>
                <w:sz w:val="17"/>
              </w:rPr>
              <w:t>Parser output or morphology labels without effect</w:t>
            </w:r>
          </w:p>
        </w:tc>
      </w:tr>
      <w:tr>
        <w:tc>
          <w:tcPr>
            <w:tcW w:type="dxa" w:w="5184"/>
          </w:tcPr>
          <w:p>
            <w:pPr>
              <w:spacing w:after="0"/>
            </w:pPr>
            <w:r/>
            <w:r>
              <w:rPr>
                <w:b w:val="0"/>
                <w:sz w:val="17"/>
              </w:rPr>
              <w:t>Translation loss from rhetoric and discourse force</w:t>
            </w:r>
          </w:p>
        </w:tc>
        <w:tc>
          <w:tcPr>
            <w:tcW w:type="dxa" w:w="5184"/>
          </w:tcPr>
          <w:p>
            <w:pPr>
              <w:spacing w:after="0"/>
            </w:pPr>
            <w:r/>
            <w:r>
              <w:rPr>
                <w:b w:val="0"/>
                <w:sz w:val="17"/>
              </w:rPr>
              <w:t>Unsupported aesthetic impressions</w:t>
            </w:r>
          </w:p>
        </w:tc>
      </w:tr>
    </w:tbl>
    <w:p/>
    <w:p>
      <w:pPr>
        <w:pStyle w:val="Heading1"/>
      </w:pPr>
      <w:r>
        <w:t>2. Balāgha Meaning Model</w:t>
      </w:r>
    </w:p>
    <w:p>
      <w:r>
        <w:t>K-Maps should not present بلاغة as a dry label. The UI should answer: what structure/effect is present, why it matters here, what source supports it, and what is lost if the reader only sees a flat translation.</w:t>
      </w:r>
    </w:p>
    <w:p>
      <w:pPr>
        <w:pStyle w:val="Heading2"/>
      </w:pPr>
      <w:r>
        <w:t>2.1 Five Levels of Meaning</w:t>
      </w:r>
    </w:p>
    <w:p>
      <w:pPr>
        <w:pStyle w:val="ListNumber"/>
      </w:pPr>
      <w:r>
        <w:t>Surface wording: exact Quran phrase, order, pause, sound, and recurrence.</w:t>
      </w:r>
    </w:p>
    <w:p>
      <w:pPr>
        <w:pStyle w:val="ListNumber"/>
      </w:pPr>
      <w:r>
        <w:t>Support from Sarf/Iʿrāb: form and syntax as prerequisites, not final rhetoric.</w:t>
      </w:r>
    </w:p>
    <w:p>
      <w:pPr>
        <w:pStyle w:val="ListNumber"/>
      </w:pPr>
      <w:r>
        <w:t>Device or pattern: recognized balāgha mechanism with branch and definition.</w:t>
      </w:r>
    </w:p>
    <w:p>
      <w:pPr>
        <w:pStyle w:val="ListNumber"/>
      </w:pPr>
      <w:r>
        <w:t>Rhetorical effect: what the device does to meaning, attention, emotion, argument, or discourse.</w:t>
      </w:r>
    </w:p>
    <w:p>
      <w:pPr>
        <w:pStyle w:val="ListNumber"/>
      </w:pPr>
      <w:r>
        <w:t>Surah movement: how the effect contributes to passage and surah-level coherence.</w:t>
      </w:r>
    </w:p>
    <w:p>
      <w:pPr>
        <w:pStyle w:val="Heading2"/>
      </w:pPr>
      <w:r>
        <w:t>2.2 Required UI Display Order</w:t>
      </w:r>
    </w:p>
    <w:p>
      <w:pPr>
        <w:pStyle w:val="ListNumber"/>
      </w:pPr>
      <w:r>
        <w:t>Scope Header — word/phrase/clause/ayah/passage/surah.</w:t>
      </w:r>
    </w:p>
    <w:p>
      <w:pPr>
        <w:pStyle w:val="ListNumber"/>
      </w:pPr>
      <w:r>
        <w:t>Device Label — simple but source-backed.</w:t>
      </w:r>
    </w:p>
    <w:p>
      <w:pPr>
        <w:pStyle w:val="ListNumber"/>
      </w:pPr>
      <w:r>
        <w:t>Effect Statement — what the device does.</w:t>
      </w:r>
    </w:p>
    <w:p>
      <w:pPr>
        <w:pStyle w:val="ListNumber"/>
      </w:pPr>
      <w:r>
        <w:t>Dependency Notes — required Sarf/Iʿrāb references.</w:t>
      </w:r>
    </w:p>
    <w:p>
      <w:pPr>
        <w:pStyle w:val="ListNumber"/>
      </w:pPr>
      <w:r>
        <w:t>Tafsir Rhetorical Note — why source sees this effect.</w:t>
      </w:r>
    </w:p>
    <w:p>
      <w:pPr>
        <w:pStyle w:val="ListNumber"/>
      </w:pPr>
      <w:r>
        <w:t>Surah Movement — how it fits the passage.</w:t>
      </w:r>
    </w:p>
    <w:p>
      <w:pPr>
        <w:pStyle w:val="ListNumber"/>
      </w:pPr>
      <w:r>
        <w:t>Dispute Panel — valid alternative effects.</w:t>
      </w:r>
    </w:p>
    <w:p>
      <w:pPr>
        <w:pStyle w:val="ListNumber"/>
      </w:pPr>
      <w:r>
        <w:t>Translation Loss — what English collapses.</w:t>
      </w:r>
    </w:p>
    <w:p>
      <w:pPr>
        <w:pStyle w:val="ListNumber"/>
      </w:pPr>
      <w:r>
        <w:t>Source Evidence — Arabic quote, locator, status.</w:t>
      </w:r>
    </w:p>
    <w:p>
      <w:pPr>
        <w:pStyle w:val="Heading2"/>
      </w:pPr>
      <w:r>
        <w:t>2.3 Minimal UI Card JSON Concept</w:t>
      </w:r>
    </w:p>
    <w:p>
      <w:pPr>
        <w:pStyle w:val="CodeBlock"/>
      </w:pPr>
      <w:r>
        <w:t>{</w:t>
      </w:r>
    </w:p>
    <w:p>
      <w:pPr>
        <w:pStyle w:val="CodeBlock"/>
      </w:pPr>
      <w:r>
        <w:t xml:space="preserve">  "card_type": "balagha_scope_card",</w:t>
      </w:r>
    </w:p>
    <w:p>
      <w:pPr>
        <w:pStyle w:val="CodeBlock"/>
      </w:pPr>
      <w:r>
        <w:t xml:space="preserve">  "ref": "1:5:PHRASE:IYYAKA",</w:t>
      </w:r>
    </w:p>
    <w:p>
      <w:pPr>
        <w:pStyle w:val="CodeBlock"/>
      </w:pPr>
      <w:r>
        <w:t xml:space="preserve">  "scope": { "type": "phrase", "text_ar": "إياك نعبد", "ayah": "1:5" },</w:t>
      </w:r>
    </w:p>
    <w:p>
      <w:pPr>
        <w:pStyle w:val="CodeBlock"/>
      </w:pPr>
      <w:r>
        <w:t xml:space="preserve">  "device": { "key": "taqdim_takhir_qasr", "branch": "maani", "status": "checked" },</w:t>
      </w:r>
    </w:p>
    <w:p>
      <w:pPr>
        <w:pStyle w:val="CodeBlock"/>
      </w:pPr>
      <w:r>
        <w:t xml:space="preserve">  "effect": "Fronting directs exclusivity and devotional focus.",</w:t>
      </w:r>
    </w:p>
    <w:p>
      <w:pPr>
        <w:pStyle w:val="CodeBlock"/>
      </w:pPr>
      <w:r>
        <w:t xml:space="preserve">  "depends_on": { "irab_ref": "...", "sarf_ref": null },</w:t>
      </w:r>
    </w:p>
    <w:p>
      <w:pPr>
        <w:pStyle w:val="CodeBlock"/>
      </w:pPr>
      <w:r>
        <w:t xml:space="preserve">  "tafsir_balagha": { "note": "source-backed rhetorical effect", "not_general_tafsir": true },</w:t>
      </w:r>
    </w:p>
    <w:p>
      <w:pPr>
        <w:pStyle w:val="CodeBlock"/>
      </w:pPr>
      <w:r>
        <w:t xml:space="preserve">  "translation_loss": ["English word order cannot fully preserve the restriction force"],</w:t>
      </w:r>
    </w:p>
    <w:p>
      <w:pPr>
        <w:pStyle w:val="CodeBlock"/>
      </w:pPr>
      <w:r>
        <w:t xml:space="preserve">  "evidence": [{ "source": "...", "quote_ar": "...", "loc": "...", "status": "checked" }]</w:t>
      </w:r>
    </w:p>
    <w:p>
      <w:pPr>
        <w:pStyle w:val="CodeBlock"/>
      </w:pPr>
      <w:r>
        <w:t>}</w:t>
      </w:r>
    </w:p>
    <w:p>
      <w:pPr>
        <w:pStyle w:val="Heading1"/>
      </w:pPr>
      <w:r>
        <w:t>3. Complete Balāgha Lens Inventory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Lens</w:t>
            </w:r>
          </w:p>
        </w:tc>
        <w:tc>
          <w:tcPr>
            <w:tcW w:type="dxa" w:w="5184"/>
            <w:shd w:fill="D9EAF7"/>
          </w:tcPr>
          <w:p>
            <w:pPr>
              <w:spacing w:after="0"/>
            </w:pPr>
            <w:r/>
            <w:r>
              <w:rPr>
                <w:b/>
                <w:sz w:val="17"/>
              </w:rPr>
              <w:t>Meaning / Extraction Rule</w:t>
            </w:r>
          </w:p>
        </w:tc>
      </w:tr>
      <w:tr>
        <w:tc>
          <w:tcPr>
            <w:tcW w:type="dxa" w:w="5184"/>
          </w:tcPr>
          <w:p>
            <w:pPr>
              <w:spacing w:after="0"/>
            </w:pPr>
            <w:r/>
            <w:r>
              <w:rPr>
                <w:b w:val="0"/>
                <w:sz w:val="17"/>
              </w:rPr>
              <w:t>ʿIlm al-Maʿānī</w:t>
            </w:r>
          </w:p>
        </w:tc>
        <w:tc>
          <w:tcPr>
            <w:tcW w:type="dxa" w:w="5184"/>
          </w:tcPr>
          <w:p>
            <w:pPr>
              <w:spacing w:after="0"/>
            </w:pPr>
            <w:r/>
            <w:r>
              <w:rPr>
                <w:b w:val="0"/>
                <w:sz w:val="17"/>
              </w:rPr>
              <w:t>Word order, qasr, emphasis, ellipsis, condition, command, prohibition, interrogation, transition.</w:t>
            </w:r>
          </w:p>
        </w:tc>
      </w:tr>
      <w:tr>
        <w:tc>
          <w:tcPr>
            <w:tcW w:type="dxa" w:w="5184"/>
          </w:tcPr>
          <w:p>
            <w:pPr>
              <w:spacing w:after="0"/>
            </w:pPr>
            <w:r/>
            <w:r>
              <w:rPr>
                <w:b w:val="0"/>
                <w:sz w:val="17"/>
              </w:rPr>
              <w:t>ʿIlm al-Bayān</w:t>
            </w:r>
          </w:p>
        </w:tc>
        <w:tc>
          <w:tcPr>
            <w:tcW w:type="dxa" w:w="5184"/>
          </w:tcPr>
          <w:p>
            <w:pPr>
              <w:spacing w:after="0"/>
            </w:pPr>
            <w:r/>
            <w:r>
              <w:rPr>
                <w:b w:val="0"/>
                <w:sz w:val="17"/>
              </w:rPr>
              <w:t>Tashbīh, istiʿārah, majāz, kināyah, representation, image and semantic transfer.</w:t>
            </w:r>
          </w:p>
        </w:tc>
      </w:tr>
      <w:tr>
        <w:tc>
          <w:tcPr>
            <w:tcW w:type="dxa" w:w="5184"/>
          </w:tcPr>
          <w:p>
            <w:pPr>
              <w:spacing w:after="0"/>
            </w:pPr>
            <w:r/>
            <w:r>
              <w:rPr>
                <w:b w:val="0"/>
                <w:sz w:val="17"/>
              </w:rPr>
              <w:t>ʿIlm al-Badīʿ</w:t>
            </w:r>
          </w:p>
        </w:tc>
        <w:tc>
          <w:tcPr>
            <w:tcW w:type="dxa" w:w="5184"/>
          </w:tcPr>
          <w:p>
            <w:pPr>
              <w:spacing w:after="0"/>
            </w:pPr>
            <w:r/>
            <w:r>
              <w:rPr>
                <w:b w:val="0"/>
                <w:sz w:val="17"/>
              </w:rPr>
              <w:t>Ṭibāq, muqābalah, jinās, sajʿ, sound/rhythm patterns, intensifying beauty where meaningful.</w:t>
            </w:r>
          </w:p>
        </w:tc>
      </w:tr>
      <w:tr>
        <w:tc>
          <w:tcPr>
            <w:tcW w:type="dxa" w:w="5184"/>
          </w:tcPr>
          <w:p>
            <w:pPr>
              <w:spacing w:after="0"/>
            </w:pPr>
            <w:r/>
            <w:r>
              <w:rPr>
                <w:b w:val="0"/>
                <w:sz w:val="17"/>
              </w:rPr>
              <w:t>Nazm</w:t>
            </w:r>
          </w:p>
        </w:tc>
        <w:tc>
          <w:tcPr>
            <w:tcW w:type="dxa" w:w="5184"/>
          </w:tcPr>
          <w:p>
            <w:pPr>
              <w:spacing w:after="0"/>
            </w:pPr>
            <w:r/>
            <w:r>
              <w:rPr>
                <w:b w:val="0"/>
                <w:sz w:val="17"/>
              </w:rPr>
              <w:t>How syntax and ordering create meaning; depends on Iʿrāb but stores rhetorical effect.</w:t>
            </w:r>
          </w:p>
        </w:tc>
      </w:tr>
      <w:tr>
        <w:tc>
          <w:tcPr>
            <w:tcW w:type="dxa" w:w="5184"/>
          </w:tcPr>
          <w:p>
            <w:pPr>
              <w:spacing w:after="0"/>
            </w:pPr>
            <w:r/>
            <w:r>
              <w:rPr>
                <w:b w:val="0"/>
                <w:sz w:val="17"/>
              </w:rPr>
              <w:t>Iltifāt</w:t>
            </w:r>
          </w:p>
        </w:tc>
        <w:tc>
          <w:tcPr>
            <w:tcW w:type="dxa" w:w="5184"/>
          </w:tcPr>
          <w:p>
            <w:pPr>
              <w:spacing w:after="0"/>
            </w:pPr>
            <w:r/>
            <w:r>
              <w:rPr>
                <w:b w:val="0"/>
                <w:sz w:val="17"/>
              </w:rPr>
              <w:t>Shift in person, tense, address, perspective, or discourse plane.</w:t>
            </w:r>
          </w:p>
        </w:tc>
      </w:tr>
      <w:tr>
        <w:tc>
          <w:tcPr>
            <w:tcW w:type="dxa" w:w="5184"/>
          </w:tcPr>
          <w:p>
            <w:pPr>
              <w:spacing w:after="0"/>
            </w:pPr>
            <w:r/>
            <w:r>
              <w:rPr>
                <w:b w:val="0"/>
                <w:sz w:val="17"/>
              </w:rPr>
              <w:t>Ḥadhf effect</w:t>
            </w:r>
          </w:p>
        </w:tc>
        <w:tc>
          <w:tcPr>
            <w:tcW w:type="dxa" w:w="5184"/>
          </w:tcPr>
          <w:p>
            <w:pPr>
              <w:spacing w:after="0"/>
            </w:pPr>
            <w:r/>
            <w:r>
              <w:rPr>
                <w:b w:val="0"/>
                <w:sz w:val="17"/>
              </w:rPr>
              <w:t>Omission not as grammar only but as suspense, compression, universality, or force.</w:t>
            </w:r>
          </w:p>
        </w:tc>
      </w:tr>
      <w:tr>
        <w:tc>
          <w:tcPr>
            <w:tcW w:type="dxa" w:w="5184"/>
          </w:tcPr>
          <w:p>
            <w:pPr>
              <w:spacing w:after="0"/>
            </w:pPr>
            <w:r/>
            <w:r>
              <w:rPr>
                <w:b w:val="0"/>
                <w:sz w:val="17"/>
              </w:rPr>
              <w:t>Taqdīm/Taʾkhīr</w:t>
            </w:r>
          </w:p>
        </w:tc>
        <w:tc>
          <w:tcPr>
            <w:tcW w:type="dxa" w:w="5184"/>
          </w:tcPr>
          <w:p>
            <w:pPr>
              <w:spacing w:after="0"/>
            </w:pPr>
            <w:r/>
            <w:r>
              <w:rPr>
                <w:b w:val="0"/>
                <w:sz w:val="17"/>
              </w:rPr>
              <w:t>Fronting/delay effect: restriction, attention, emotional focus, thematic primacy.</w:t>
            </w:r>
          </w:p>
        </w:tc>
      </w:tr>
      <w:tr>
        <w:tc>
          <w:tcPr>
            <w:tcW w:type="dxa" w:w="5184"/>
          </w:tcPr>
          <w:p>
            <w:pPr>
              <w:spacing w:after="0"/>
            </w:pPr>
            <w:r/>
            <w:r>
              <w:rPr>
                <w:b w:val="0"/>
                <w:sz w:val="17"/>
              </w:rPr>
              <w:t>Qasr</w:t>
            </w:r>
          </w:p>
        </w:tc>
        <w:tc>
          <w:tcPr>
            <w:tcW w:type="dxa" w:w="5184"/>
          </w:tcPr>
          <w:p>
            <w:pPr>
              <w:spacing w:after="0"/>
            </w:pPr>
            <w:r/>
            <w:r>
              <w:rPr>
                <w:b w:val="0"/>
                <w:sz w:val="17"/>
              </w:rPr>
              <w:t>Restriction/exclusivity by order, negation-exception, pronoun separation, or context.</w:t>
            </w:r>
          </w:p>
        </w:tc>
      </w:tr>
      <w:tr>
        <w:tc>
          <w:tcPr>
            <w:tcW w:type="dxa" w:w="5184"/>
          </w:tcPr>
          <w:p>
            <w:pPr>
              <w:spacing w:after="0"/>
            </w:pPr>
            <w:r/>
            <w:r>
              <w:rPr>
                <w:b w:val="0"/>
                <w:sz w:val="17"/>
              </w:rPr>
              <w:t>Coherence and transitions</w:t>
            </w:r>
          </w:p>
        </w:tc>
        <w:tc>
          <w:tcPr>
            <w:tcW w:type="dxa" w:w="5184"/>
          </w:tcPr>
          <w:p>
            <w:pPr>
              <w:spacing w:after="0"/>
            </w:pPr>
            <w:r/>
            <w:r>
              <w:rPr>
                <w:b w:val="0"/>
                <w:sz w:val="17"/>
              </w:rPr>
              <w:t>Opening, closure, pivots, ring/parallel/contrast patterns; surah-first.</w:t>
            </w:r>
          </w:p>
        </w:tc>
      </w:tr>
      <w:tr>
        <w:tc>
          <w:tcPr>
            <w:tcW w:type="dxa" w:w="5184"/>
          </w:tcPr>
          <w:p>
            <w:pPr>
              <w:spacing w:after="0"/>
            </w:pPr>
            <w:r/>
            <w:r>
              <w:rPr>
                <w:b w:val="0"/>
                <w:sz w:val="17"/>
              </w:rPr>
              <w:t>Translation loss</w:t>
            </w:r>
          </w:p>
        </w:tc>
        <w:tc>
          <w:tcPr>
            <w:tcW w:type="dxa" w:w="5184"/>
          </w:tcPr>
          <w:p>
            <w:pPr>
              <w:spacing w:after="0"/>
            </w:pPr>
            <w:r/>
            <w:r>
              <w:rPr>
                <w:b w:val="0"/>
                <w:sz w:val="17"/>
              </w:rPr>
              <w:t>English loses order, compactness, repetition, sound, ambiguity, or layered effect.</w:t>
            </w:r>
          </w:p>
        </w:tc>
      </w:tr>
    </w:tbl>
    <w:p/>
    <w:p>
      <w:pPr>
        <w:pStyle w:val="Heading1"/>
      </w:pPr>
      <w:r>
        <w:t>4. What Tafsir Contributes to Balāgha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Tafsir Contribution</w:t>
            </w:r>
          </w:p>
        </w:tc>
        <w:tc>
          <w:tcPr>
            <w:tcW w:type="dxa" w:w="3456"/>
            <w:shd w:fill="D9EAF7"/>
          </w:tcPr>
          <w:p>
            <w:pPr>
              <w:spacing w:after="0"/>
            </w:pPr>
            <w:r/>
            <w:r>
              <w:rPr>
                <w:b/>
                <w:sz w:val="17"/>
              </w:rPr>
              <w:t>Meaning</w:t>
            </w:r>
          </w:p>
        </w:tc>
        <w:tc>
          <w:tcPr>
            <w:tcW w:type="dxa" w:w="3456"/>
            <w:shd w:fill="D9EAF7"/>
          </w:tcPr>
          <w:p>
            <w:pPr>
              <w:spacing w:after="0"/>
            </w:pPr>
            <w:r/>
            <w:r>
              <w:rPr>
                <w:b/>
                <w:sz w:val="17"/>
              </w:rPr>
              <w:t>Storage</w:t>
            </w:r>
          </w:p>
        </w:tc>
      </w:tr>
      <w:tr>
        <w:tc>
          <w:tcPr>
            <w:tcW w:type="dxa" w:w="3456"/>
          </w:tcPr>
          <w:p>
            <w:pPr>
              <w:spacing w:after="0"/>
            </w:pPr>
            <w:r/>
            <w:r>
              <w:rPr>
                <w:b w:val="0"/>
                <w:sz w:val="17"/>
              </w:rPr>
              <w:t>Rhetorical force</w:t>
            </w:r>
          </w:p>
        </w:tc>
        <w:tc>
          <w:tcPr>
            <w:tcW w:type="dxa" w:w="3456"/>
          </w:tcPr>
          <w:p>
            <w:pPr>
              <w:spacing w:after="0"/>
            </w:pPr>
            <w:r/>
            <w:r>
              <w:rPr>
                <w:b w:val="0"/>
                <w:sz w:val="17"/>
              </w:rPr>
              <w:t>Mufassir states why expression is forceful, exclusive, emphatic, threatening, consoling, etc.</w:t>
            </w:r>
          </w:p>
        </w:tc>
        <w:tc>
          <w:tcPr>
            <w:tcW w:type="dxa" w:w="3456"/>
          </w:tcPr>
          <w:p>
            <w:pPr>
              <w:spacing w:after="0"/>
            </w:pPr>
            <w:r/>
            <w:r>
              <w:rPr>
                <w:b w:val="0"/>
                <w:sz w:val="17"/>
              </w:rPr>
              <w:t>balagha_tafsir_note</w:t>
            </w:r>
          </w:p>
        </w:tc>
      </w:tr>
      <w:tr>
        <w:tc>
          <w:tcPr>
            <w:tcW w:type="dxa" w:w="3456"/>
          </w:tcPr>
          <w:p>
            <w:pPr>
              <w:spacing w:after="0"/>
            </w:pPr>
            <w:r/>
            <w:r>
              <w:rPr>
                <w:b w:val="0"/>
                <w:sz w:val="17"/>
              </w:rPr>
              <w:t>Word order effect</w:t>
            </w:r>
          </w:p>
        </w:tc>
        <w:tc>
          <w:tcPr>
            <w:tcW w:type="dxa" w:w="3456"/>
          </w:tcPr>
          <w:p>
            <w:pPr>
              <w:spacing w:after="0"/>
            </w:pPr>
            <w:r/>
            <w:r>
              <w:rPr>
                <w:b w:val="0"/>
                <w:sz w:val="17"/>
              </w:rPr>
              <w:t>Source explains taqdim/takhir or arrangement.</w:t>
            </w:r>
          </w:p>
        </w:tc>
        <w:tc>
          <w:tcPr>
            <w:tcW w:type="dxa" w:w="3456"/>
          </w:tcPr>
          <w:p>
            <w:pPr>
              <w:spacing w:after="0"/>
            </w:pPr>
            <w:r/>
            <w:r>
              <w:rPr>
                <w:b w:val="0"/>
                <w:sz w:val="17"/>
              </w:rPr>
              <w:t>balagha_note + scope link</w:t>
            </w:r>
          </w:p>
        </w:tc>
      </w:tr>
      <w:tr>
        <w:tc>
          <w:tcPr>
            <w:tcW w:type="dxa" w:w="3456"/>
          </w:tcPr>
          <w:p>
            <w:pPr>
              <w:spacing w:after="0"/>
            </w:pPr>
            <w:r/>
            <w:r>
              <w:rPr>
                <w:b w:val="0"/>
                <w:sz w:val="17"/>
              </w:rPr>
              <w:t>Ellipsis effect</w:t>
            </w:r>
          </w:p>
        </w:tc>
        <w:tc>
          <w:tcPr>
            <w:tcW w:type="dxa" w:w="3456"/>
          </w:tcPr>
          <w:p>
            <w:pPr>
              <w:spacing w:after="0"/>
            </w:pPr>
            <w:r/>
            <w:r>
              <w:rPr>
                <w:b w:val="0"/>
                <w:sz w:val="17"/>
              </w:rPr>
              <w:t>Omission produces compression, awe, suspense, universality, or intensity.</w:t>
            </w:r>
          </w:p>
        </w:tc>
        <w:tc>
          <w:tcPr>
            <w:tcW w:type="dxa" w:w="3456"/>
          </w:tcPr>
          <w:p>
            <w:pPr>
              <w:spacing w:after="0"/>
            </w:pPr>
            <w:r/>
            <w:r>
              <w:rPr>
                <w:b w:val="0"/>
                <w:sz w:val="17"/>
              </w:rPr>
              <w:t>balagha_note + ellipsis event link</w:t>
            </w:r>
          </w:p>
        </w:tc>
      </w:tr>
      <w:tr>
        <w:tc>
          <w:tcPr>
            <w:tcW w:type="dxa" w:w="3456"/>
          </w:tcPr>
          <w:p>
            <w:pPr>
              <w:spacing w:after="0"/>
            </w:pPr>
            <w:r/>
            <w:r>
              <w:rPr>
                <w:b w:val="0"/>
                <w:sz w:val="17"/>
              </w:rPr>
              <w:t>Imagery</w:t>
            </w:r>
          </w:p>
        </w:tc>
        <w:tc>
          <w:tcPr>
            <w:tcW w:type="dxa" w:w="3456"/>
          </w:tcPr>
          <w:p>
            <w:pPr>
              <w:spacing w:after="0"/>
            </w:pPr>
            <w:r/>
            <w:r>
              <w:rPr>
                <w:b w:val="0"/>
                <w:sz w:val="17"/>
              </w:rPr>
              <w:t>Metaphor, simile, kināyah, representation.</w:t>
            </w:r>
          </w:p>
        </w:tc>
        <w:tc>
          <w:tcPr>
            <w:tcW w:type="dxa" w:w="3456"/>
          </w:tcPr>
          <w:p>
            <w:pPr>
              <w:spacing w:after="0"/>
            </w:pPr>
            <w:r/>
            <w:r>
              <w:rPr>
                <w:b w:val="0"/>
                <w:sz w:val="17"/>
              </w:rPr>
              <w:t>balagha device instance</w:t>
            </w:r>
          </w:p>
        </w:tc>
      </w:tr>
      <w:tr>
        <w:tc>
          <w:tcPr>
            <w:tcW w:type="dxa" w:w="3456"/>
          </w:tcPr>
          <w:p>
            <w:pPr>
              <w:spacing w:after="0"/>
            </w:pPr>
            <w:r/>
            <w:r>
              <w:rPr>
                <w:b w:val="0"/>
                <w:sz w:val="17"/>
              </w:rPr>
              <w:t>Coherence</w:t>
            </w:r>
          </w:p>
        </w:tc>
        <w:tc>
          <w:tcPr>
            <w:tcW w:type="dxa" w:w="3456"/>
          </w:tcPr>
          <w:p>
            <w:pPr>
              <w:spacing w:after="0"/>
            </w:pPr>
            <w:r/>
            <w:r>
              <w:rPr>
                <w:b w:val="0"/>
                <w:sz w:val="17"/>
              </w:rPr>
              <w:t>Source explains relation between ayahs/passages/surah movements.</w:t>
            </w:r>
          </w:p>
        </w:tc>
        <w:tc>
          <w:tcPr>
            <w:tcW w:type="dxa" w:w="3456"/>
          </w:tcPr>
          <w:p>
            <w:pPr>
              <w:spacing w:after="0"/>
            </w:pPr>
            <w:r/>
            <w:r>
              <w:rPr>
                <w:b w:val="0"/>
                <w:sz w:val="17"/>
              </w:rPr>
              <w:t>surah coherence signals</w:t>
            </w:r>
          </w:p>
        </w:tc>
      </w:tr>
      <w:tr>
        <w:tc>
          <w:tcPr>
            <w:tcW w:type="dxa" w:w="3456"/>
          </w:tcPr>
          <w:p>
            <w:pPr>
              <w:spacing w:after="0"/>
            </w:pPr>
            <w:r/>
            <w:r>
              <w:rPr>
                <w:b w:val="0"/>
                <w:sz w:val="17"/>
              </w:rPr>
              <w:t>Translation loss</w:t>
            </w:r>
          </w:p>
        </w:tc>
        <w:tc>
          <w:tcPr>
            <w:tcW w:type="dxa" w:w="3456"/>
          </w:tcPr>
          <w:p>
            <w:pPr>
              <w:spacing w:after="0"/>
            </w:pPr>
            <w:r/>
            <w:r>
              <w:rPr>
                <w:b w:val="0"/>
                <w:sz w:val="17"/>
              </w:rPr>
              <w:t>English loses device/effect/sound/order.</w:t>
            </w:r>
          </w:p>
        </w:tc>
        <w:tc>
          <w:tcPr>
            <w:tcW w:type="dxa" w:w="3456"/>
          </w:tcPr>
          <w:p>
            <w:pPr>
              <w:spacing w:after="0"/>
            </w:pPr>
            <w:r/>
            <w:r>
              <w:rPr>
                <w:b w:val="0"/>
                <w:sz w:val="17"/>
              </w:rPr>
              <w:t>balagha_translation_loss</w:t>
            </w:r>
          </w:p>
        </w:tc>
      </w:tr>
    </w:tbl>
    <w:p/>
    <w:p>
      <w:pPr>
        <w:pStyle w:val="Heading2"/>
      </w:pPr>
      <w:r>
        <w:t>4.1 Forbidden Tafsir-Balāgha Extractions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Forbidden Item</w:t>
            </w:r>
          </w:p>
        </w:tc>
        <w:tc>
          <w:tcPr>
            <w:tcW w:type="dxa" w:w="5184"/>
            <w:shd w:fill="D9EAF7"/>
          </w:tcPr>
          <w:p>
            <w:pPr>
              <w:spacing w:after="0"/>
            </w:pPr>
            <w:r/>
            <w:r>
              <w:rPr>
                <w:b/>
                <w:sz w:val="17"/>
              </w:rPr>
              <w:t>Rule</w:t>
            </w:r>
          </w:p>
        </w:tc>
      </w:tr>
      <w:tr>
        <w:tc>
          <w:tcPr>
            <w:tcW w:type="dxa" w:w="5184"/>
          </w:tcPr>
          <w:p>
            <w:pPr>
              <w:spacing w:after="0"/>
            </w:pPr>
            <w:r/>
            <w:r>
              <w:rPr>
                <w:b w:val="0"/>
                <w:sz w:val="17"/>
              </w:rPr>
              <w:t>General doctrine</w:t>
            </w:r>
          </w:p>
        </w:tc>
        <w:tc>
          <w:tcPr>
            <w:tcW w:type="dxa" w:w="5184"/>
          </w:tcPr>
          <w:p>
            <w:pPr>
              <w:spacing w:after="0"/>
            </w:pPr>
            <w:r/>
            <w:r>
              <w:rPr>
                <w:b w:val="0"/>
                <w:sz w:val="17"/>
              </w:rPr>
              <w:t>Do not store as بلاغة; route to tafsir/Quran/worldview layer.</w:t>
            </w:r>
          </w:p>
        </w:tc>
      </w:tr>
      <w:tr>
        <w:tc>
          <w:tcPr>
            <w:tcW w:type="dxa" w:w="5184"/>
          </w:tcPr>
          <w:p>
            <w:pPr>
              <w:spacing w:after="0"/>
            </w:pPr>
            <w:r/>
            <w:r>
              <w:rPr>
                <w:b w:val="0"/>
                <w:sz w:val="17"/>
              </w:rPr>
              <w:t>Other-layer final claims</w:t>
            </w:r>
          </w:p>
        </w:tc>
        <w:tc>
          <w:tcPr>
            <w:tcW w:type="dxa" w:w="5184"/>
          </w:tcPr>
          <w:p>
            <w:pPr>
              <w:spacing w:after="0"/>
            </w:pPr>
            <w:r/>
            <w:r>
              <w:rPr>
                <w:b w:val="0"/>
                <w:sz w:val="17"/>
              </w:rPr>
              <w:t>Store route_out hint only; do not promote.</w:t>
            </w:r>
          </w:p>
        </w:tc>
      </w:tr>
      <w:tr>
        <w:tc>
          <w:tcPr>
            <w:tcW w:type="dxa" w:w="5184"/>
          </w:tcPr>
          <w:p>
            <w:pPr>
              <w:spacing w:after="0"/>
            </w:pPr>
            <w:r/>
            <w:r>
              <w:rPr>
                <w:b w:val="0"/>
                <w:sz w:val="17"/>
              </w:rPr>
              <w:t>Unsupported paraphrase</w:t>
            </w:r>
          </w:p>
        </w:tc>
        <w:tc>
          <w:tcPr>
            <w:tcW w:type="dxa" w:w="5184"/>
          </w:tcPr>
          <w:p>
            <w:pPr>
              <w:spacing w:after="0"/>
            </w:pPr>
            <w:r/>
            <w:r>
              <w:rPr>
                <w:b w:val="0"/>
                <w:sz w:val="17"/>
              </w:rPr>
              <w:t>No Arabic quote + locator means no promotion.</w:t>
            </w:r>
          </w:p>
        </w:tc>
      </w:tr>
      <w:tr>
        <w:tc>
          <w:tcPr>
            <w:tcW w:type="dxa" w:w="5184"/>
          </w:tcPr>
          <w:p>
            <w:pPr>
              <w:spacing w:after="0"/>
            </w:pPr>
            <w:r/>
            <w:r>
              <w:rPr>
                <w:b w:val="0"/>
                <w:sz w:val="17"/>
              </w:rPr>
              <w:t>LLM inference without source</w:t>
            </w:r>
          </w:p>
        </w:tc>
        <w:tc>
          <w:tcPr>
            <w:tcW w:type="dxa" w:w="5184"/>
          </w:tcPr>
          <w:p>
            <w:pPr>
              <w:spacing w:after="0"/>
            </w:pPr>
            <w:r/>
            <w:r>
              <w:rPr>
                <w:b w:val="0"/>
                <w:sz w:val="17"/>
              </w:rPr>
              <w:t>Allowed only as review note, never canonical.</w:t>
            </w:r>
          </w:p>
        </w:tc>
      </w:tr>
    </w:tbl>
    <w:p/>
    <w:p>
      <w:pPr>
        <w:pStyle w:val="Heading1"/>
      </w:pPr>
      <w:r>
        <w:t>5. Source Hierarchy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Level</w:t>
            </w:r>
          </w:p>
        </w:tc>
        <w:tc>
          <w:tcPr>
            <w:tcW w:type="dxa" w:w="3456"/>
            <w:shd w:fill="D9EAF7"/>
          </w:tcPr>
          <w:p>
            <w:pPr>
              <w:spacing w:after="0"/>
            </w:pPr>
            <w:r/>
            <w:r>
              <w:rPr>
                <w:b/>
                <w:sz w:val="17"/>
              </w:rPr>
              <w:t>Sources</w:t>
            </w:r>
          </w:p>
        </w:tc>
        <w:tc>
          <w:tcPr>
            <w:tcW w:type="dxa" w:w="3456"/>
            <w:shd w:fill="D9EAF7"/>
          </w:tcPr>
          <w:p>
            <w:pPr>
              <w:spacing w:after="0"/>
            </w:pPr>
            <w:r/>
            <w:r>
              <w:rPr>
                <w:b/>
                <w:sz w:val="17"/>
              </w:rPr>
              <w:t>Use</w:t>
            </w:r>
          </w:p>
        </w:tc>
      </w:tr>
      <w:tr>
        <w:tc>
          <w:tcPr>
            <w:tcW w:type="dxa" w:w="3456"/>
          </w:tcPr>
          <w:p>
            <w:pPr>
              <w:spacing w:after="0"/>
            </w:pPr>
            <w:r/>
            <w:r>
              <w:rPr>
                <w:b w:val="0"/>
                <w:sz w:val="17"/>
              </w:rPr>
              <w:t>0. Locked Quran spine</w:t>
            </w:r>
          </w:p>
        </w:tc>
        <w:tc>
          <w:tcPr>
            <w:tcW w:type="dxa" w:w="3456"/>
          </w:tcPr>
          <w:p>
            <w:pPr>
              <w:spacing w:after="0"/>
            </w:pPr>
            <w:r/>
            <w:r>
              <w:rPr>
                <w:b w:val="0"/>
                <w:sz w:val="17"/>
              </w:rPr>
              <w:t>Quran text, word occurrences, surah/ayah/passages</w:t>
            </w:r>
          </w:p>
        </w:tc>
        <w:tc>
          <w:tcPr>
            <w:tcW w:type="dxa" w:w="3456"/>
          </w:tcPr>
          <w:p>
            <w:pPr>
              <w:spacing w:after="0"/>
            </w:pPr>
            <w:r/>
            <w:r>
              <w:rPr>
                <w:b w:val="0"/>
                <w:sz w:val="17"/>
              </w:rPr>
              <w:t>Scope and exact wording; never overwritten.</w:t>
            </w:r>
          </w:p>
        </w:tc>
      </w:tr>
      <w:tr>
        <w:tc>
          <w:tcPr>
            <w:tcW w:type="dxa" w:w="3456"/>
          </w:tcPr>
          <w:p>
            <w:pPr>
              <w:spacing w:after="0"/>
            </w:pPr>
            <w:r/>
            <w:r>
              <w:rPr>
                <w:b w:val="0"/>
                <w:sz w:val="17"/>
              </w:rPr>
              <w:t>1. Support layer</w:t>
            </w:r>
          </w:p>
        </w:tc>
        <w:tc>
          <w:tcPr>
            <w:tcW w:type="dxa" w:w="3456"/>
          </w:tcPr>
          <w:p>
            <w:pPr>
              <w:spacing w:after="0"/>
            </w:pPr>
            <w:r/>
            <w:r>
              <w:rPr>
                <w:b w:val="0"/>
                <w:sz w:val="17"/>
              </w:rPr>
              <w:t>Sarf + Iʿrāb dependencies as needed</w:t>
            </w:r>
          </w:p>
        </w:tc>
        <w:tc>
          <w:tcPr>
            <w:tcW w:type="dxa" w:w="3456"/>
          </w:tcPr>
          <w:p>
            <w:pPr>
              <w:spacing w:after="0"/>
            </w:pPr>
            <w:r/>
            <w:r>
              <w:rPr>
                <w:b w:val="0"/>
                <w:sz w:val="17"/>
              </w:rPr>
              <w:t>Prerequisite context, not final claim in this layer.</w:t>
            </w:r>
          </w:p>
        </w:tc>
      </w:tr>
      <w:tr>
        <w:tc>
          <w:tcPr>
            <w:tcW w:type="dxa" w:w="3456"/>
          </w:tcPr>
          <w:p>
            <w:pPr>
              <w:spacing w:after="0"/>
            </w:pPr>
            <w:r/>
            <w:r>
              <w:rPr>
                <w:b w:val="0"/>
                <w:sz w:val="17"/>
              </w:rPr>
              <w:t>2. Primary layer sources</w:t>
            </w:r>
          </w:p>
        </w:tc>
        <w:tc>
          <w:tcPr>
            <w:tcW w:type="dxa" w:w="3456"/>
          </w:tcPr>
          <w:p>
            <w:pPr>
              <w:spacing w:after="0"/>
            </w:pPr>
            <w:r/>
            <w:r>
              <w:rPr>
                <w:b w:val="0"/>
                <w:sz w:val="17"/>
              </w:rPr>
              <w:t>Dedicated grammar/rhetoric sources</w:t>
            </w:r>
          </w:p>
        </w:tc>
        <w:tc>
          <w:tcPr>
            <w:tcW w:type="dxa" w:w="3456"/>
          </w:tcPr>
          <w:p>
            <w:pPr>
              <w:spacing w:after="0"/>
            </w:pPr>
            <w:r/>
            <w:r>
              <w:rPr>
                <w:b w:val="0"/>
                <w:sz w:val="17"/>
              </w:rPr>
              <w:t>Core labels, definitions, disputes.</w:t>
            </w:r>
          </w:p>
        </w:tc>
      </w:tr>
      <w:tr>
        <w:tc>
          <w:tcPr>
            <w:tcW w:type="dxa" w:w="3456"/>
          </w:tcPr>
          <w:p>
            <w:pPr>
              <w:spacing w:after="0"/>
            </w:pPr>
            <w:r/>
            <w:r>
              <w:rPr>
                <w:b w:val="0"/>
                <w:sz w:val="17"/>
              </w:rPr>
              <w:t>3. Tafsir support</w:t>
            </w:r>
          </w:p>
        </w:tc>
        <w:tc>
          <w:tcPr>
            <w:tcW w:type="dxa" w:w="3456"/>
          </w:tcPr>
          <w:p>
            <w:pPr>
              <w:spacing w:after="0"/>
            </w:pPr>
            <w:r/>
            <w:r>
              <w:rPr>
                <w:b w:val="0"/>
                <w:sz w:val="17"/>
              </w:rPr>
              <w:t>Ibn ʿĀshūr, Kashshāf, Baḥr, Rāzī, Alūsī, Ṭabarī, etc.</w:t>
            </w:r>
          </w:p>
        </w:tc>
        <w:tc>
          <w:tcPr>
            <w:tcW w:type="dxa" w:w="3456"/>
          </w:tcPr>
          <w:p>
            <w:pPr>
              <w:spacing w:after="0"/>
            </w:pPr>
            <w:r/>
            <w:r>
              <w:rPr>
                <w:b w:val="0"/>
                <w:sz w:val="17"/>
              </w:rPr>
              <w:t>Contextual activation and meaning effect.</w:t>
            </w:r>
          </w:p>
        </w:tc>
      </w:tr>
      <w:tr>
        <w:tc>
          <w:tcPr>
            <w:tcW w:type="dxa" w:w="3456"/>
          </w:tcPr>
          <w:p>
            <w:pPr>
              <w:spacing w:after="0"/>
            </w:pPr>
            <w:r/>
            <w:r>
              <w:rPr>
                <w:b w:val="0"/>
                <w:sz w:val="17"/>
              </w:rPr>
              <w:t>4. Modern academic</w:t>
            </w:r>
          </w:p>
        </w:tc>
        <w:tc>
          <w:tcPr>
            <w:tcW w:type="dxa" w:w="3456"/>
          </w:tcPr>
          <w:p>
            <w:pPr>
              <w:spacing w:after="0"/>
            </w:pPr>
            <w:r/>
            <w:r>
              <w:rPr>
                <w:b w:val="0"/>
                <w:sz w:val="17"/>
              </w:rPr>
              <w:t>Academic terms and discourse studies</w:t>
            </w:r>
          </w:p>
        </w:tc>
        <w:tc>
          <w:tcPr>
            <w:tcW w:type="dxa" w:w="3456"/>
          </w:tcPr>
          <w:p>
            <w:pPr>
              <w:spacing w:after="0"/>
            </w:pPr>
            <w:r/>
            <w:r>
              <w:rPr>
                <w:b w:val="0"/>
                <w:sz w:val="17"/>
              </w:rPr>
              <w:t>Optional reconstruction/translation-loss layer, kept separate.</w:t>
            </w:r>
          </w:p>
        </w:tc>
      </w:tr>
    </w:tbl>
    <w:p/>
    <w:p>
      <w:pPr>
        <w:pStyle w:val="Heading1"/>
      </w:pPr>
      <w:r>
        <w:t>6. Conflict Doctrine</w:t>
      </w:r>
    </w:p>
    <w:p>
      <w:pPr>
        <w:pStyle w:val="ListNumber"/>
      </w:pPr>
      <w:r>
        <w:t>If two sources disagree, store a dispute rather than overwriting one with the other.</w:t>
      </w:r>
    </w:p>
    <w:p>
      <w:pPr>
        <w:pStyle w:val="ListNumber"/>
      </w:pPr>
      <w:r>
        <w:t>If a source gives a qirāʾah-based variant, keep it separate from the Hafs spine.</w:t>
      </w:r>
    </w:p>
    <w:p>
      <w:pPr>
        <w:pStyle w:val="ListNumber"/>
      </w:pPr>
      <w:r>
        <w:t>If tafsir gives a general meaning without layer-specific evidence, mark it not relevant to this layer.</w:t>
      </w:r>
    </w:p>
    <w:p>
      <w:pPr>
        <w:pStyle w:val="ListNumber"/>
      </w:pPr>
      <w:r>
        <w:t>If an English explanation cannot carry the Arabic force, store translation_loss instead of forcing a misleading translation.</w:t>
      </w:r>
    </w:p>
    <w:p>
      <w:pPr>
        <w:pStyle w:val="ListNumber"/>
      </w:pPr>
      <w:r>
        <w:t>If a claim depends on another layer, link to that layer but do not duplicate its canonical table.</w:t>
      </w:r>
    </w:p>
    <w:p>
      <w:pPr>
        <w:pStyle w:val="Heading1"/>
      </w:pPr>
      <w:r>
        <w:t>7. Worked Examples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Example</w:t>
            </w:r>
          </w:p>
        </w:tc>
        <w:tc>
          <w:tcPr>
            <w:tcW w:type="dxa" w:w="5184"/>
            <w:shd w:fill="D9EAF7"/>
          </w:tcPr>
          <w:p>
            <w:pPr>
              <w:spacing w:after="0"/>
            </w:pPr>
            <w:r/>
            <w:r>
              <w:rPr>
                <w:b/>
                <w:sz w:val="17"/>
              </w:rPr>
              <w:t>Layer-Specific Handling</w:t>
            </w:r>
          </w:p>
        </w:tc>
      </w:tr>
      <w:tr>
        <w:tc>
          <w:tcPr>
            <w:tcW w:type="dxa" w:w="5184"/>
          </w:tcPr>
          <w:p>
            <w:pPr>
              <w:spacing w:after="0"/>
            </w:pPr>
            <w:r/>
            <w:r>
              <w:rPr>
                <w:b w:val="0"/>
                <w:sz w:val="17"/>
              </w:rPr>
              <w:t>الفاتحة: إياك نعبد وإياك نستعين</w:t>
            </w:r>
          </w:p>
        </w:tc>
        <w:tc>
          <w:tcPr>
            <w:tcW w:type="dxa" w:w="5184"/>
          </w:tcPr>
          <w:p>
            <w:pPr>
              <w:spacing w:after="0"/>
            </w:pPr>
            <w:r/>
            <w:r>
              <w:rPr>
                <w:b w:val="0"/>
                <w:sz w:val="17"/>
              </w:rPr>
              <w:t>Records qasr/fronting force and devotional focus; Iʿrāb owns object-fronting syntax.</w:t>
            </w:r>
          </w:p>
        </w:tc>
      </w:tr>
      <w:tr>
        <w:tc>
          <w:tcPr>
            <w:tcW w:type="dxa" w:w="5184"/>
          </w:tcPr>
          <w:p>
            <w:pPr>
              <w:spacing w:after="0"/>
            </w:pPr>
            <w:r/>
            <w:r>
              <w:rPr>
                <w:b w:val="0"/>
                <w:sz w:val="17"/>
              </w:rPr>
              <w:t>يوسف 12:3: أحسن القصص</w:t>
            </w:r>
          </w:p>
        </w:tc>
        <w:tc>
          <w:tcPr>
            <w:tcW w:type="dxa" w:w="5184"/>
          </w:tcPr>
          <w:p>
            <w:pPr>
              <w:spacing w:after="0"/>
            </w:pPr>
            <w:r/>
            <w:r>
              <w:rPr>
                <w:b w:val="0"/>
                <w:sz w:val="17"/>
              </w:rPr>
              <w:t>Records rhetorical opening, narrative elevation, and attention-direction if source-backed; Sarf owns قصص root/form.</w:t>
            </w:r>
          </w:p>
        </w:tc>
      </w:tr>
      <w:tr>
        <w:tc>
          <w:tcPr>
            <w:tcW w:type="dxa" w:w="5184"/>
          </w:tcPr>
          <w:p>
            <w:pPr>
              <w:spacing w:after="0"/>
            </w:pPr>
            <w:r/>
            <w:r>
              <w:rPr>
                <w:b w:val="0"/>
                <w:sz w:val="17"/>
              </w:rPr>
              <w:t>المزمل 73:4: ورتل القرآن ترتيلا</w:t>
            </w:r>
          </w:p>
        </w:tc>
        <w:tc>
          <w:tcPr>
            <w:tcW w:type="dxa" w:w="5184"/>
          </w:tcPr>
          <w:p>
            <w:pPr>
              <w:spacing w:after="0"/>
            </w:pPr>
            <w:r/>
            <w:r>
              <w:rPr>
                <w:b w:val="0"/>
                <w:sz w:val="17"/>
              </w:rPr>
              <w:t>Records emphatic/rhythmic discourse force; Iʿrāb owns مفعول مطلق role and Sarf owns masdar mechanics.</w:t>
            </w:r>
          </w:p>
        </w:tc>
      </w:tr>
    </w:tbl>
    <w:p/>
    <w:p>
      <w:pPr>
        <w:pStyle w:val="Heading1"/>
      </w:pPr>
      <w:r>
        <w:t>8. Child-to-Scholar UI Levels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UI Level</w:t>
            </w:r>
          </w:p>
        </w:tc>
        <w:tc>
          <w:tcPr>
            <w:tcW w:type="dxa" w:w="3456"/>
            <w:shd w:fill="D9EAF7"/>
          </w:tcPr>
          <w:p>
            <w:pPr>
              <w:spacing w:after="0"/>
            </w:pPr>
            <w:r/>
            <w:r>
              <w:rPr>
                <w:b/>
                <w:sz w:val="17"/>
              </w:rPr>
              <w:t>Purpose</w:t>
            </w:r>
          </w:p>
        </w:tc>
        <w:tc>
          <w:tcPr>
            <w:tcW w:type="dxa" w:w="3456"/>
            <w:shd w:fill="D9EAF7"/>
          </w:tcPr>
          <w:p>
            <w:pPr>
              <w:spacing w:after="0"/>
            </w:pPr>
            <w:r/>
            <w:r>
              <w:rPr>
                <w:b/>
                <w:sz w:val="17"/>
              </w:rPr>
              <w:t>Display Example</w:t>
            </w:r>
          </w:p>
        </w:tc>
      </w:tr>
      <w:tr>
        <w:tc>
          <w:tcPr>
            <w:tcW w:type="dxa" w:w="3456"/>
          </w:tcPr>
          <w:p>
            <w:pPr>
              <w:spacing w:after="0"/>
            </w:pPr>
            <w:r/>
            <w:r>
              <w:rPr>
                <w:b w:val="0"/>
                <w:sz w:val="17"/>
              </w:rPr>
              <w:t>Level 1 — Child</w:t>
            </w:r>
          </w:p>
        </w:tc>
        <w:tc>
          <w:tcPr>
            <w:tcW w:type="dxa" w:w="3456"/>
          </w:tcPr>
          <w:p>
            <w:pPr>
              <w:spacing w:after="0"/>
            </w:pPr>
            <w:r/>
            <w:r>
              <w:rPr>
                <w:b w:val="0"/>
                <w:sz w:val="17"/>
              </w:rPr>
              <w:t>One simple role/effect line.</w:t>
            </w:r>
          </w:p>
        </w:tc>
        <w:tc>
          <w:tcPr>
            <w:tcW w:type="dxa" w:w="3456"/>
          </w:tcPr>
          <w:p>
            <w:pPr>
              <w:spacing w:after="0"/>
            </w:pPr>
            <w:r/>
            <w:r>
              <w:rPr>
                <w:b w:val="0"/>
                <w:sz w:val="17"/>
              </w:rPr>
              <w:t>“This phrase comes first to focus attention.”</w:t>
            </w:r>
          </w:p>
        </w:tc>
      </w:tr>
      <w:tr>
        <w:tc>
          <w:tcPr>
            <w:tcW w:type="dxa" w:w="3456"/>
          </w:tcPr>
          <w:p>
            <w:pPr>
              <w:spacing w:after="0"/>
            </w:pPr>
            <w:r/>
            <w:r>
              <w:rPr>
                <w:b w:val="0"/>
                <w:sz w:val="17"/>
              </w:rPr>
              <w:t>Level 2 — Learner</w:t>
            </w:r>
          </w:p>
        </w:tc>
        <w:tc>
          <w:tcPr>
            <w:tcW w:type="dxa" w:w="3456"/>
          </w:tcPr>
          <w:p>
            <w:pPr>
              <w:spacing w:after="0"/>
            </w:pPr>
            <w:r/>
            <w:r>
              <w:rPr>
                <w:b w:val="0"/>
                <w:sz w:val="17"/>
              </w:rPr>
              <w:t>Show the structure/device with a short explanation.</w:t>
            </w:r>
          </w:p>
        </w:tc>
        <w:tc>
          <w:tcPr>
            <w:tcW w:type="dxa" w:w="3456"/>
          </w:tcPr>
          <w:p>
            <w:pPr>
              <w:spacing w:after="0"/>
            </w:pPr>
            <w:r/>
            <w:r>
              <w:rPr>
                <w:b w:val="0"/>
                <w:sz w:val="17"/>
              </w:rPr>
              <w:t>Label + source-backed example.</w:t>
            </w:r>
          </w:p>
        </w:tc>
      </w:tr>
      <w:tr>
        <w:tc>
          <w:tcPr>
            <w:tcW w:type="dxa" w:w="3456"/>
          </w:tcPr>
          <w:p>
            <w:pPr>
              <w:spacing w:after="0"/>
            </w:pPr>
            <w:r/>
            <w:r>
              <w:rPr>
                <w:b w:val="0"/>
                <w:sz w:val="17"/>
              </w:rPr>
              <w:t>Level 3 — Student</w:t>
            </w:r>
          </w:p>
        </w:tc>
        <w:tc>
          <w:tcPr>
            <w:tcW w:type="dxa" w:w="3456"/>
          </w:tcPr>
          <w:p>
            <w:pPr>
              <w:spacing w:after="0"/>
            </w:pPr>
            <w:r/>
            <w:r>
              <w:rPr>
                <w:b w:val="0"/>
                <w:sz w:val="17"/>
              </w:rPr>
              <w:t>Show tafsir-linked note and relation map.</w:t>
            </w:r>
          </w:p>
        </w:tc>
        <w:tc>
          <w:tcPr>
            <w:tcW w:type="dxa" w:w="3456"/>
          </w:tcPr>
          <w:p>
            <w:pPr>
              <w:spacing w:after="0"/>
            </w:pPr>
            <w:r/>
            <w:r>
              <w:rPr>
                <w:b w:val="0"/>
                <w:sz w:val="17"/>
              </w:rPr>
              <w:t>Why this grammar/effect matters in this ayah.</w:t>
            </w:r>
          </w:p>
        </w:tc>
      </w:tr>
      <w:tr>
        <w:tc>
          <w:tcPr>
            <w:tcW w:type="dxa" w:w="3456"/>
          </w:tcPr>
          <w:p>
            <w:pPr>
              <w:spacing w:after="0"/>
            </w:pPr>
            <w:r/>
            <w:r>
              <w:rPr>
                <w:b w:val="0"/>
                <w:sz w:val="17"/>
              </w:rPr>
              <w:t>Level 4 — Researcher</w:t>
            </w:r>
          </w:p>
        </w:tc>
        <w:tc>
          <w:tcPr>
            <w:tcW w:type="dxa" w:w="3456"/>
          </w:tcPr>
          <w:p>
            <w:pPr>
              <w:spacing w:after="0"/>
            </w:pPr>
            <w:r/>
            <w:r>
              <w:rPr>
                <w:b w:val="0"/>
                <w:sz w:val="17"/>
              </w:rPr>
              <w:t>Show disputes, qirāʾāt, source chain, exact quote.</w:t>
            </w:r>
          </w:p>
        </w:tc>
        <w:tc>
          <w:tcPr>
            <w:tcW w:type="dxa" w:w="3456"/>
          </w:tcPr>
          <w:p>
            <w:pPr>
              <w:spacing w:after="0"/>
            </w:pPr>
            <w:r/>
            <w:r>
              <w:rPr>
                <w:b w:val="0"/>
                <w:sz w:val="17"/>
              </w:rPr>
              <w:t>Alternative readings with locators.</w:t>
            </w:r>
          </w:p>
        </w:tc>
      </w:tr>
      <w:tr>
        <w:tc>
          <w:tcPr>
            <w:tcW w:type="dxa" w:w="3456"/>
          </w:tcPr>
          <w:p>
            <w:pPr>
              <w:spacing w:after="0"/>
            </w:pPr>
            <w:r/>
            <w:r>
              <w:rPr>
                <w:b w:val="0"/>
                <w:sz w:val="17"/>
              </w:rPr>
              <w:t>Level 5 — Reviewer</w:t>
            </w:r>
          </w:p>
        </w:tc>
        <w:tc>
          <w:tcPr>
            <w:tcW w:type="dxa" w:w="3456"/>
          </w:tcPr>
          <w:p>
            <w:pPr>
              <w:spacing w:after="0"/>
            </w:pPr>
            <w:r/>
            <w:r>
              <w:rPr>
                <w:b w:val="0"/>
                <w:sz w:val="17"/>
              </w:rPr>
              <w:t>Promotion/rejection tools.</w:t>
            </w:r>
          </w:p>
        </w:tc>
        <w:tc>
          <w:tcPr>
            <w:tcW w:type="dxa" w:w="3456"/>
          </w:tcPr>
          <w:p>
            <w:pPr>
              <w:spacing w:after="0"/>
            </w:pPr>
            <w:r/>
            <w:r>
              <w:rPr>
                <w:b w:val="0"/>
                <w:sz w:val="17"/>
              </w:rPr>
              <w:t>Claim id, chunk hash, validation gates, review notes.</w:t>
            </w:r>
          </w:p>
        </w:tc>
      </w:tr>
    </w:tbl>
    <w:p/>
    <w:p>
      <w:pPr>
        <w:pStyle w:val="Heading1"/>
      </w:pPr>
      <w:r>
        <w:t>9. Review and Release Rules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Status</w:t>
            </w:r>
          </w:p>
        </w:tc>
        <w:tc>
          <w:tcPr>
            <w:tcW w:type="dxa" w:w="5184"/>
            <w:shd w:fill="D9EAF7"/>
          </w:tcPr>
          <w:p>
            <w:pPr>
              <w:spacing w:after="0"/>
            </w:pPr>
            <w:r/>
            <w:r>
              <w:rPr>
                <w:b/>
                <w:sz w:val="17"/>
              </w:rPr>
              <w:t>Meaning</w:t>
            </w:r>
          </w:p>
        </w:tc>
      </w:tr>
      <w:tr>
        <w:tc>
          <w:tcPr>
            <w:tcW w:type="dxa" w:w="5184"/>
          </w:tcPr>
          <w:p>
            <w:pPr>
              <w:spacing w:after="0"/>
            </w:pPr>
            <w:r/>
            <w:r>
              <w:rPr>
                <w:b w:val="0"/>
                <w:sz w:val="17"/>
              </w:rPr>
              <w:t>raw</w:t>
            </w:r>
          </w:p>
        </w:tc>
        <w:tc>
          <w:tcPr>
            <w:tcW w:type="dxa" w:w="5184"/>
          </w:tcPr>
          <w:p>
            <w:pPr>
              <w:spacing w:after="0"/>
            </w:pPr>
            <w:r/>
            <w:r>
              <w:rPr>
                <w:b w:val="0"/>
                <w:sz w:val="17"/>
              </w:rPr>
              <w:t>Imported text or dataset row, not yet interpreted.</w:t>
            </w:r>
          </w:p>
        </w:tc>
      </w:tr>
      <w:tr>
        <w:tc>
          <w:tcPr>
            <w:tcW w:type="dxa" w:w="5184"/>
          </w:tcPr>
          <w:p>
            <w:pPr>
              <w:spacing w:after="0"/>
            </w:pPr>
            <w:r/>
            <w:r>
              <w:rPr>
                <w:b w:val="0"/>
                <w:sz w:val="17"/>
              </w:rPr>
              <w:t>candidate</w:t>
            </w:r>
          </w:p>
        </w:tc>
        <w:tc>
          <w:tcPr>
            <w:tcW w:type="dxa" w:w="5184"/>
          </w:tcPr>
          <w:p>
            <w:pPr>
              <w:spacing w:after="0"/>
            </w:pPr>
            <w:r/>
            <w:r>
              <w:rPr>
                <w:b w:val="0"/>
                <w:sz w:val="17"/>
              </w:rPr>
              <w:t>LLM extracted claim with Arabic quote and locator.</w:t>
            </w:r>
          </w:p>
        </w:tc>
      </w:tr>
      <w:tr>
        <w:tc>
          <w:tcPr>
            <w:tcW w:type="dxa" w:w="5184"/>
          </w:tcPr>
          <w:p>
            <w:pPr>
              <w:spacing w:after="0"/>
            </w:pPr>
            <w:r/>
            <w:r>
              <w:rPr>
                <w:b w:val="0"/>
                <w:sz w:val="17"/>
              </w:rPr>
              <w:t>mapped</w:t>
            </w:r>
          </w:p>
        </w:tc>
        <w:tc>
          <w:tcPr>
            <w:tcW w:type="dxa" w:w="5184"/>
          </w:tcPr>
          <w:p>
            <w:pPr>
              <w:spacing w:after="0"/>
            </w:pPr>
            <w:r/>
            <w:r>
              <w:rPr>
                <w:b w:val="0"/>
                <w:sz w:val="17"/>
              </w:rPr>
              <w:t>Claim mapped to Quran scope and source chunk.</w:t>
            </w:r>
          </w:p>
        </w:tc>
      </w:tr>
      <w:tr>
        <w:tc>
          <w:tcPr>
            <w:tcW w:type="dxa" w:w="5184"/>
          </w:tcPr>
          <w:p>
            <w:pPr>
              <w:spacing w:after="0"/>
            </w:pPr>
            <w:r/>
            <w:r>
              <w:rPr>
                <w:b w:val="0"/>
                <w:sz w:val="17"/>
              </w:rPr>
              <w:t>corroborated</w:t>
            </w:r>
          </w:p>
        </w:tc>
        <w:tc>
          <w:tcPr>
            <w:tcW w:type="dxa" w:w="5184"/>
          </w:tcPr>
          <w:p>
            <w:pPr>
              <w:spacing w:after="0"/>
            </w:pPr>
            <w:r/>
            <w:r>
              <w:rPr>
                <w:b w:val="0"/>
                <w:sz w:val="17"/>
              </w:rPr>
              <w:t>At least two sources agree or one primary source is accepted.</w:t>
            </w:r>
          </w:p>
        </w:tc>
      </w:tr>
      <w:tr>
        <w:tc>
          <w:tcPr>
            <w:tcW w:type="dxa" w:w="5184"/>
          </w:tcPr>
          <w:p>
            <w:pPr>
              <w:spacing w:after="0"/>
            </w:pPr>
            <w:r/>
            <w:r>
              <w:rPr>
                <w:b w:val="0"/>
                <w:sz w:val="17"/>
              </w:rPr>
              <w:t>approved</w:t>
            </w:r>
          </w:p>
        </w:tc>
        <w:tc>
          <w:tcPr>
            <w:tcW w:type="dxa" w:w="5184"/>
          </w:tcPr>
          <w:p>
            <w:pPr>
              <w:spacing w:after="0"/>
            </w:pPr>
            <w:r/>
            <w:r>
              <w:rPr>
                <w:b w:val="0"/>
                <w:sz w:val="17"/>
              </w:rPr>
              <w:t>Accepted for public UI.</w:t>
            </w:r>
          </w:p>
        </w:tc>
      </w:tr>
      <w:tr>
        <w:tc>
          <w:tcPr>
            <w:tcW w:type="dxa" w:w="5184"/>
          </w:tcPr>
          <w:p>
            <w:pPr>
              <w:spacing w:after="0"/>
            </w:pPr>
            <w:r/>
            <w:r>
              <w:rPr>
                <w:b w:val="0"/>
                <w:sz w:val="17"/>
              </w:rPr>
              <w:t>disputed</w:t>
            </w:r>
          </w:p>
        </w:tc>
        <w:tc>
          <w:tcPr>
            <w:tcW w:type="dxa" w:w="5184"/>
          </w:tcPr>
          <w:p>
            <w:pPr>
              <w:spacing w:after="0"/>
            </w:pPr>
            <w:r/>
            <w:r>
              <w:rPr>
                <w:b w:val="0"/>
                <w:sz w:val="17"/>
              </w:rPr>
              <w:t>Valid disagreement; show only in advanced mode.</w:t>
            </w:r>
          </w:p>
        </w:tc>
      </w:tr>
      <w:tr>
        <w:tc>
          <w:tcPr>
            <w:tcW w:type="dxa" w:w="5184"/>
          </w:tcPr>
          <w:p>
            <w:pPr>
              <w:spacing w:after="0"/>
            </w:pPr>
            <w:r/>
            <w:r>
              <w:rPr>
                <w:b w:val="0"/>
                <w:sz w:val="17"/>
              </w:rPr>
              <w:t>rejected</w:t>
            </w:r>
          </w:p>
        </w:tc>
        <w:tc>
          <w:tcPr>
            <w:tcW w:type="dxa" w:w="5184"/>
          </w:tcPr>
          <w:p>
            <w:pPr>
              <w:spacing w:after="0"/>
            </w:pPr>
            <w:r/>
            <w:r>
              <w:rPr>
                <w:b w:val="0"/>
                <w:sz w:val="17"/>
              </w:rPr>
              <w:t>Stored in audit history, never public.</w:t>
            </w:r>
          </w:p>
        </w:tc>
      </w:tr>
    </w:tbl>
    <w:p/>
    <w:p>
      <w:pPr>
        <w:pStyle w:val="Heading1"/>
      </w:pPr>
      <w:r>
        <w:t>10. First Ingestion Strategy</w:t>
      </w:r>
    </w:p>
    <w:p>
      <w:pPr>
        <w:pStyle w:val="ListNumber"/>
      </w:pPr>
      <w:r>
        <w:t>Begin with Surah 1 using Kashshāf + Ibn ʿĀshūr + Safi/Darwish bayan notes.</w:t>
      </w:r>
    </w:p>
    <w:p>
      <w:pPr>
        <w:pStyle w:val="ListNumber"/>
      </w:pPr>
      <w:r>
        <w:t>Load branch/device taxonomy into ar_ling_balagha_branches and concepts.</w:t>
      </w:r>
    </w:p>
    <w:p>
      <w:pPr>
        <w:pStyle w:val="ListNumber"/>
      </w:pPr>
      <w:r>
        <w:t>Require each device instance to state effect, not just label.</w:t>
      </w:r>
    </w:p>
    <w:p>
      <w:pPr>
        <w:pStyle w:val="ListNumber"/>
      </w:pPr>
      <w:r>
        <w:t>Link effects to Sarf/Iʿrāb dependencies when necessary.</w:t>
      </w:r>
    </w:p>
    <w:p>
      <w:pPr>
        <w:pStyle w:val="ListNumber"/>
      </w:pPr>
      <w:r>
        <w:t>Build UI cards from approved rows only.</w:t>
      </w:r>
    </w:p>
    <w:p>
      <w:pPr>
        <w:pStyle w:val="ListNumber"/>
      </w:pPr>
      <w:r>
        <w:t>Move to Surah 12:1–7 for narrative suspense/coherence testing.</w:t>
      </w:r>
    </w:p>
    <w:p>
      <w:pPr>
        <w:pStyle w:val="Heading1"/>
      </w:pPr>
      <w:r>
        <w:t>11. End Doctrine</w:t>
      </w:r>
    </w:p>
    <w:p>
      <w:r>
        <w:t>بلاغة becomes useful in K-Maps only when it remains disciplined: Quran scope first, Arabic source evidence second, layer boundary third, review before public display. It should feed the wider Quran/worldview graph, but it must not become an uncontrolled tafsir dump.</w:t>
      </w:r>
    </w:p>
    <w:p>
      <w:r>
        <w:br w:type="page"/>
      </w:r>
    </w:p>
    <w:p>
      <w:pPr>
        <w:pStyle w:val="Heading1"/>
      </w:pPr>
      <w:r>
        <w:t>12. Researcher Reading Questions</w:t>
      </w:r>
    </w:p>
    <w:p>
      <w:pPr>
        <w:pStyle w:val="ListNumber"/>
      </w:pPr>
      <w:r>
        <w:t>What is the rhetorical mechanism?</w:t>
      </w:r>
    </w:p>
    <w:p>
      <w:pPr>
        <w:pStyle w:val="ListNumber"/>
      </w:pPr>
      <w:r>
        <w:t>What exact Quranic wording triggers it?</w:t>
      </w:r>
    </w:p>
    <w:p>
      <w:pPr>
        <w:pStyle w:val="ListNumber"/>
      </w:pPr>
      <w:r>
        <w:t>What effect does it produce in the reader/listener?</w:t>
      </w:r>
    </w:p>
    <w:p>
      <w:pPr>
        <w:pStyle w:val="ListNumber"/>
      </w:pPr>
      <w:r>
        <w:t>Does it depend on Sarf or Iʿrāb?</w:t>
      </w:r>
    </w:p>
    <w:p>
      <w:pPr>
        <w:pStyle w:val="ListNumber"/>
      </w:pPr>
      <w:r>
        <w:t>Is the effect local or surah-wide?</w:t>
      </w:r>
    </w:p>
    <w:p>
      <w:pPr>
        <w:pStyle w:val="ListNumber"/>
      </w:pPr>
      <w:r>
        <w:t>What does a translation fail to preserve?</w:t>
      </w:r>
    </w:p>
    <w:p>
      <w:pPr>
        <w:pStyle w:val="Heading1"/>
      </w:pPr>
      <w:r>
        <w:t>13. Pedagogy Doctrine</w:t>
      </w:r>
    </w:p>
    <w:p>
      <w:r>
        <w:t>The بلاغة layer must serve a child, a learner, a student, a researcher, and a reviewer at the same time. The beginner should not see the full scholarly dispute by default. The reviewer should never lose access to the Arabic source chain, locator, confidence status, and rejected alternatives.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Audience</w:t>
            </w:r>
          </w:p>
        </w:tc>
        <w:tc>
          <w:tcPr>
            <w:tcW w:type="dxa" w:w="3456"/>
          </w:tcPr>
          <w:p>
            <w:r>
              <w:rPr>
                <w:b/>
                <w:sz w:val="16"/>
              </w:rPr>
              <w:t>What They Need</w:t>
            </w:r>
          </w:p>
        </w:tc>
        <w:tc>
          <w:tcPr>
            <w:tcW w:type="dxa" w:w="3456"/>
          </w:tcPr>
          <w:p>
            <w:r>
              <w:rPr>
                <w:b/>
                <w:sz w:val="16"/>
              </w:rPr>
              <w:t>What To Hide by Default</w:t>
            </w:r>
          </w:p>
        </w:tc>
      </w:tr>
      <w:tr>
        <w:tc>
          <w:tcPr>
            <w:tcW w:type="dxa" w:w="3456"/>
          </w:tcPr>
          <w:p>
            <w:r>
              <w:rPr>
                <w:b w:val="0"/>
                <w:sz w:val="16"/>
              </w:rPr>
              <w:t>Child</w:t>
            </w:r>
          </w:p>
        </w:tc>
        <w:tc>
          <w:tcPr>
            <w:tcW w:type="dxa" w:w="3456"/>
          </w:tcPr>
          <w:p>
            <w:r>
              <w:rPr>
                <w:b w:val="0"/>
                <w:sz w:val="16"/>
              </w:rPr>
              <w:t>One clear meaning/role/effect line.</w:t>
            </w:r>
          </w:p>
        </w:tc>
        <w:tc>
          <w:tcPr>
            <w:tcW w:type="dxa" w:w="3456"/>
          </w:tcPr>
          <w:p>
            <w:r>
              <w:rPr>
                <w:b w:val="0"/>
                <w:sz w:val="16"/>
              </w:rPr>
              <w:t>Disputes, qirāʾāt, long source quotes.</w:t>
            </w:r>
          </w:p>
        </w:tc>
      </w:tr>
      <w:tr>
        <w:tc>
          <w:tcPr>
            <w:tcW w:type="dxa" w:w="3456"/>
          </w:tcPr>
          <w:p>
            <w:r>
              <w:rPr>
                <w:b w:val="0"/>
                <w:sz w:val="16"/>
              </w:rPr>
              <w:t>Learner</w:t>
            </w:r>
          </w:p>
        </w:tc>
        <w:tc>
          <w:tcPr>
            <w:tcW w:type="dxa" w:w="3456"/>
          </w:tcPr>
          <w:p>
            <w:r>
              <w:rPr>
                <w:b w:val="0"/>
                <w:sz w:val="16"/>
              </w:rPr>
              <w:t>Label + simple explanation + one Quran example.</w:t>
            </w:r>
          </w:p>
        </w:tc>
        <w:tc>
          <w:tcPr>
            <w:tcW w:type="dxa" w:w="3456"/>
          </w:tcPr>
          <w:p>
            <w:r>
              <w:rPr>
                <w:b w:val="0"/>
                <w:sz w:val="16"/>
              </w:rPr>
              <w:t>Deep source comparison.</w:t>
            </w:r>
          </w:p>
        </w:tc>
      </w:tr>
      <w:tr>
        <w:tc>
          <w:tcPr>
            <w:tcW w:type="dxa" w:w="3456"/>
          </w:tcPr>
          <w:p>
            <w:r>
              <w:rPr>
                <w:b w:val="0"/>
                <w:sz w:val="16"/>
              </w:rPr>
              <w:t>Student</w:t>
            </w:r>
          </w:p>
        </w:tc>
        <w:tc>
          <w:tcPr>
            <w:tcW w:type="dxa" w:w="3456"/>
          </w:tcPr>
          <w:p>
            <w:r>
              <w:rPr>
                <w:b w:val="0"/>
                <w:sz w:val="16"/>
              </w:rPr>
              <w:t>Why it matters in the ayah.</w:t>
            </w:r>
          </w:p>
        </w:tc>
        <w:tc>
          <w:tcPr>
            <w:tcW w:type="dxa" w:w="3456"/>
          </w:tcPr>
          <w:p>
            <w:r>
              <w:rPr>
                <w:b w:val="0"/>
                <w:sz w:val="16"/>
              </w:rPr>
              <w:t>Raw extraction logs.</w:t>
            </w:r>
          </w:p>
        </w:tc>
      </w:tr>
      <w:tr>
        <w:tc>
          <w:tcPr>
            <w:tcW w:type="dxa" w:w="3456"/>
          </w:tcPr>
          <w:p>
            <w:r>
              <w:rPr>
                <w:b w:val="0"/>
                <w:sz w:val="16"/>
              </w:rPr>
              <w:t>Researcher</w:t>
            </w:r>
          </w:p>
        </w:tc>
        <w:tc>
          <w:tcPr>
            <w:tcW w:type="dxa" w:w="3456"/>
          </w:tcPr>
          <w:p>
            <w:r>
              <w:rPr>
                <w:b w:val="0"/>
                <w:sz w:val="16"/>
              </w:rPr>
              <w:t>Alternative readings, sources, route_out links.</w:t>
            </w:r>
          </w:p>
        </w:tc>
        <w:tc>
          <w:tcPr>
            <w:tcW w:type="dxa" w:w="3456"/>
          </w:tcPr>
          <w:p>
            <w:r>
              <w:rPr>
                <w:b w:val="0"/>
                <w:sz w:val="16"/>
              </w:rPr>
              <w:t>Nothing essential; show filters.</w:t>
            </w:r>
          </w:p>
        </w:tc>
      </w:tr>
      <w:tr>
        <w:tc>
          <w:tcPr>
            <w:tcW w:type="dxa" w:w="3456"/>
          </w:tcPr>
          <w:p>
            <w:r>
              <w:rPr>
                <w:b w:val="0"/>
                <w:sz w:val="16"/>
              </w:rPr>
              <w:t>Reviewer</w:t>
            </w:r>
          </w:p>
        </w:tc>
        <w:tc>
          <w:tcPr>
            <w:tcW w:type="dxa" w:w="3456"/>
          </w:tcPr>
          <w:p>
            <w:r>
              <w:rPr>
                <w:b w:val="0"/>
                <w:sz w:val="16"/>
              </w:rPr>
              <w:t>Full claim/chunk/source/hash/validation chain.</w:t>
            </w:r>
          </w:p>
        </w:tc>
        <w:tc>
          <w:tcPr>
            <w:tcW w:type="dxa" w:w="3456"/>
          </w:tcPr>
          <w:p>
            <w:r>
              <w:rPr>
                <w:b w:val="0"/>
                <w:sz w:val="16"/>
              </w:rPr>
              <w:t>Nothing.</w:t>
            </w:r>
          </w:p>
        </w:tc>
      </w:tr>
    </w:tbl>
    <w:p/>
    <w:p>
      <w:pPr>
        <w:pStyle w:val="Heading1"/>
      </w:pPr>
      <w:r>
        <w:t>14. Common Pitfalls</w:t>
      </w:r>
    </w:p>
    <w:p>
      <w:pPr>
        <w:pStyle w:val="ListNumber"/>
      </w:pPr>
      <w:r>
        <w:t>Treating beauty as a vague feeling.</w:t>
      </w:r>
    </w:p>
    <w:p>
      <w:pPr>
        <w:pStyle w:val="ListNumber"/>
      </w:pPr>
      <w:r>
        <w:t>Labelling a device without an effect.</w:t>
      </w:r>
    </w:p>
    <w:p>
      <w:pPr>
        <w:pStyle w:val="ListNumber"/>
      </w:pPr>
      <w:r>
        <w:t>Ignoring Sarf/Iʿrāb dependencies.</w:t>
      </w:r>
    </w:p>
    <w:p>
      <w:pPr>
        <w:pStyle w:val="ListNumber"/>
      </w:pPr>
      <w:r>
        <w:t>Turning tafsir doctrine into rhetoric without a rhetorical mechanism.</w:t>
      </w:r>
    </w:p>
    <w:p>
      <w:pPr>
        <w:pStyle w:val="ListNumber"/>
      </w:pPr>
      <w:r>
        <w:t>Forcing one device label when sources present multiple possibilities.</w:t>
      </w:r>
    </w:p>
    <w:p>
      <w:pPr>
        <w:pStyle w:val="Heading1"/>
      </w:pPr>
      <w:r>
        <w:t>15. Cross-Layer Boundary Examples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Case</w:t>
            </w:r>
          </w:p>
        </w:tc>
        <w:tc>
          <w:tcPr>
            <w:tcW w:type="dxa" w:w="5184"/>
          </w:tcPr>
          <w:p>
            <w:r>
              <w:rPr>
                <w:b/>
                <w:sz w:val="16"/>
              </w:rPr>
              <w:t>Boundary Rule</w:t>
            </w:r>
          </w:p>
        </w:tc>
      </w:tr>
      <w:tr>
        <w:tc>
          <w:tcPr>
            <w:tcW w:type="dxa" w:w="5184"/>
          </w:tcPr>
          <w:p>
            <w:r>
              <w:rPr>
                <w:b w:val="0"/>
                <w:sz w:val="16"/>
              </w:rPr>
              <w:t>مفعول مطلق</w:t>
            </w:r>
          </w:p>
        </w:tc>
        <w:tc>
          <w:tcPr>
            <w:tcW w:type="dxa" w:w="5184"/>
          </w:tcPr>
          <w:p>
            <w:r>
              <w:rPr>
                <w:b w:val="0"/>
                <w:sz w:val="16"/>
              </w:rPr>
              <w:t>Balāgha stores emphatic/rhythmic force only; Iʿrāb stores role; Sarf stores masdar mechanics.</w:t>
            </w:r>
          </w:p>
        </w:tc>
      </w:tr>
      <w:tr>
        <w:tc>
          <w:tcPr>
            <w:tcW w:type="dxa" w:w="5184"/>
          </w:tcPr>
          <w:p>
            <w:r>
              <w:rPr>
                <w:b w:val="0"/>
                <w:sz w:val="16"/>
              </w:rPr>
              <w:t>تقديم المفعول</w:t>
            </w:r>
          </w:p>
        </w:tc>
        <w:tc>
          <w:tcPr>
            <w:tcW w:type="dxa" w:w="5184"/>
          </w:tcPr>
          <w:p>
            <w:r>
              <w:rPr>
                <w:b w:val="0"/>
                <w:sz w:val="16"/>
              </w:rPr>
              <w:t>Balāgha stores focus/restriction effect; Iʿrāb stores syntactic fronting.</w:t>
            </w:r>
          </w:p>
        </w:tc>
      </w:tr>
      <w:tr>
        <w:tc>
          <w:tcPr>
            <w:tcW w:type="dxa" w:w="5184"/>
          </w:tcPr>
          <w:p>
            <w:r>
              <w:rPr>
                <w:b w:val="0"/>
                <w:sz w:val="16"/>
              </w:rPr>
              <w:t>حذف</w:t>
            </w:r>
          </w:p>
        </w:tc>
        <w:tc>
          <w:tcPr>
            <w:tcW w:type="dxa" w:w="5184"/>
          </w:tcPr>
          <w:p>
            <w:r>
              <w:rPr>
                <w:b w:val="0"/>
                <w:sz w:val="16"/>
              </w:rPr>
              <w:t>Balāgha stores effect of omission; Iʿrāb stores supplied omitted element.</w:t>
            </w:r>
          </w:p>
        </w:tc>
      </w:tr>
    </w:tbl>
    <w:p/>
    <w:p>
      <w:pPr>
        <w:pStyle w:val="Heading1"/>
      </w:pPr>
      <w:r>
        <w:t>16. Glossary</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Term</w:t>
            </w:r>
          </w:p>
        </w:tc>
        <w:tc>
          <w:tcPr>
            <w:tcW w:type="dxa" w:w="5184"/>
          </w:tcPr>
          <w:p>
            <w:r>
              <w:rPr>
                <w:b/>
                <w:sz w:val="16"/>
              </w:rPr>
              <w:t>K-Maps Meaning</w:t>
            </w:r>
          </w:p>
        </w:tc>
      </w:tr>
      <w:tr>
        <w:tc>
          <w:tcPr>
            <w:tcW w:type="dxa" w:w="5184"/>
          </w:tcPr>
          <w:p>
            <w:r>
              <w:rPr>
                <w:b w:val="0"/>
                <w:sz w:val="16"/>
              </w:rPr>
              <w:t>نظم</w:t>
            </w:r>
          </w:p>
        </w:tc>
        <w:tc>
          <w:tcPr>
            <w:tcW w:type="dxa" w:w="5184"/>
          </w:tcPr>
          <w:p>
            <w:r>
              <w:rPr>
                <w:b w:val="0"/>
                <w:sz w:val="16"/>
              </w:rPr>
              <w:t>Relational arrangement of words and meanings.</w:t>
            </w:r>
          </w:p>
        </w:tc>
      </w:tr>
      <w:tr>
        <w:tc>
          <w:tcPr>
            <w:tcW w:type="dxa" w:w="5184"/>
          </w:tcPr>
          <w:p>
            <w:r>
              <w:rPr>
                <w:b w:val="0"/>
                <w:sz w:val="16"/>
              </w:rPr>
              <w:t>قصر</w:t>
            </w:r>
          </w:p>
        </w:tc>
        <w:tc>
          <w:tcPr>
            <w:tcW w:type="dxa" w:w="5184"/>
          </w:tcPr>
          <w:p>
            <w:r>
              <w:rPr>
                <w:b w:val="0"/>
                <w:sz w:val="16"/>
              </w:rPr>
              <w:t>Restriction/exclusivity effect.</w:t>
            </w:r>
          </w:p>
        </w:tc>
      </w:tr>
      <w:tr>
        <w:tc>
          <w:tcPr>
            <w:tcW w:type="dxa" w:w="5184"/>
          </w:tcPr>
          <w:p>
            <w:r>
              <w:rPr>
                <w:b w:val="0"/>
                <w:sz w:val="16"/>
              </w:rPr>
              <w:t>تقديم وتأخير</w:t>
            </w:r>
          </w:p>
        </w:tc>
        <w:tc>
          <w:tcPr>
            <w:tcW w:type="dxa" w:w="5184"/>
          </w:tcPr>
          <w:p>
            <w:r>
              <w:rPr>
                <w:b w:val="0"/>
                <w:sz w:val="16"/>
              </w:rPr>
              <w:t>Fronting/delay for focus, restriction, or discourse purpose.</w:t>
            </w:r>
          </w:p>
        </w:tc>
      </w:tr>
      <w:tr>
        <w:tc>
          <w:tcPr>
            <w:tcW w:type="dxa" w:w="5184"/>
          </w:tcPr>
          <w:p>
            <w:r>
              <w:rPr>
                <w:b w:val="0"/>
                <w:sz w:val="16"/>
              </w:rPr>
              <w:t>حذف</w:t>
            </w:r>
          </w:p>
        </w:tc>
        <w:tc>
          <w:tcPr>
            <w:tcW w:type="dxa" w:w="5184"/>
          </w:tcPr>
          <w:p>
            <w:r>
              <w:rPr>
                <w:b w:val="0"/>
                <w:sz w:val="16"/>
              </w:rPr>
              <w:t>Omission; Balāgha stores effect, Iʿrāb stores supplied element.</w:t>
            </w:r>
          </w:p>
        </w:tc>
      </w:tr>
      <w:tr>
        <w:tc>
          <w:tcPr>
            <w:tcW w:type="dxa" w:w="5184"/>
          </w:tcPr>
          <w:p>
            <w:r>
              <w:rPr>
                <w:b w:val="0"/>
                <w:sz w:val="16"/>
              </w:rPr>
              <w:t>استعارة</w:t>
            </w:r>
          </w:p>
        </w:tc>
        <w:tc>
          <w:tcPr>
            <w:tcW w:type="dxa" w:w="5184"/>
          </w:tcPr>
          <w:p>
            <w:r>
              <w:rPr>
                <w:b w:val="0"/>
                <w:sz w:val="16"/>
              </w:rPr>
              <w:t>Metaphorical transfer.</w:t>
            </w:r>
          </w:p>
        </w:tc>
      </w:tr>
      <w:tr>
        <w:tc>
          <w:tcPr>
            <w:tcW w:type="dxa" w:w="5184"/>
          </w:tcPr>
          <w:p>
            <w:r>
              <w:rPr>
                <w:b w:val="0"/>
                <w:sz w:val="16"/>
              </w:rPr>
              <w:t>التفات</w:t>
            </w:r>
          </w:p>
        </w:tc>
        <w:tc>
          <w:tcPr>
            <w:tcW w:type="dxa" w:w="5184"/>
          </w:tcPr>
          <w:p>
            <w:r>
              <w:rPr>
                <w:b w:val="0"/>
                <w:sz w:val="16"/>
              </w:rPr>
              <w:t>Shift in person/address/perspective for effect.</w:t>
            </w:r>
          </w:p>
        </w:tc>
      </w:tr>
    </w:tbl>
    <w:p/>
    <w:p>
      <w:pPr>
        <w:pStyle w:val="Heading1"/>
      </w:pPr>
      <w:r>
        <w:t>17. Source Trust Model</w:t>
      </w:r>
    </w:p>
    <w:p>
      <w:pPr>
        <w:pStyle w:val="ListNumber"/>
      </w:pPr>
      <w:r>
        <w:t>Primary layer sources define the label and boundaries.</w:t>
      </w:r>
    </w:p>
    <w:p>
      <w:pPr>
        <w:pStyle w:val="ListNumber"/>
      </w:pPr>
      <w:r>
        <w:t>Tafsir sources activate the label in Quranic context.</w:t>
      </w:r>
    </w:p>
    <w:p>
      <w:pPr>
        <w:pStyle w:val="ListNumber"/>
      </w:pPr>
      <w:r>
        <w:t>Modern academic sources may clarify history or translation loss but should be marked separately.</w:t>
      </w:r>
    </w:p>
    <w:p>
      <w:pPr>
        <w:pStyle w:val="ListNumber"/>
      </w:pPr>
      <w:r>
        <w:t>Where sources disagree, preserve a dispute record.</w:t>
      </w:r>
    </w:p>
    <w:p>
      <w:pPr>
        <w:pStyle w:val="ListNumber"/>
      </w:pPr>
      <w:r>
        <w:t>No claim becomes public until approved, corroborated, or intentionally marked disputed for advanced mode.</w:t>
      </w:r>
    </w:p>
    <w:p>
      <w:pPr>
        <w:pStyle w:val="Heading1"/>
      </w:pPr>
      <w:r>
        <w:t>18. Final Principle</w:t>
      </w:r>
    </w:p>
    <w:p>
      <w:r>
        <w:t>بلاغة should become a living map of Quranic reading, not a dump of labels. It must preserve Arabic evidence, respect layer boundaries, and show the learner why the structure or effect matters in this exact Quranic location.</w:t>
      </w:r>
    </w:p>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بلاغة — rhetoric, force, and effect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K-Maps Balāgha Layer — Master Philosophy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26497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73491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A5A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649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before="0"/>
      <w:ind w:left="216" w:right="72"/>
    </w:pPr>
    <w:rPr>
      <w:rFonts w:ascii="Courier New" w:hAnsi="Courier New" w:eastAsia="Courier New"/>
      <w:sz w:val="14"/>
    </w:rPr>
  </w:style>
  <w:style w:type="paragraph" w:customStyle="1" w:styleId="SmallNote">
    <w:name w:val="SmallNote"/>
    <w:pPr>
      <w:spacing w:after="40"/>
    </w:pPr>
    <w:rPr>
      <w:rFonts w:ascii="Arial" w:hAnsi="Arial" w:eastAsia="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