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Project Phase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Names of the Team members: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Hasibullah Mahmood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Ahmed Hassan Mohamed Hussein Ibrahim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Project topic:</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Farmers Products Selling App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Description: </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Our app will give local farmers the opportunity to sell their products directly to end Customers, offering different payment methods and shipping options. Our aim is to ensure that farmers grow and succeed. For this, we have a profit policy that enables farmers to earn more income and buyers to shop at more affordable prices.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Sample scenario:</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John</w:t>
      </w:r>
      <w:r w:rsidDel="00000000" w:rsidR="00000000" w:rsidRPr="00000000">
        <w:rPr>
          <w:rtl w:val="0"/>
        </w:rPr>
        <w:t xml:space="preserve"> logins/register using (Google,Facebook account) or using Email.</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John browse the app for different agricultural products.</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John adds some products to his Favourites to order them later.</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John adds some products to the shopping cart to order them now.</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John adds and deletes some products in his shopping cart before shipment.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John purchases each vendor's products separately. </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John pays by his Credit-card securely to each Vendor.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John can cancel his order but if the order has been shipped, he needs to pay the shipment fee.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John gives feedback for vendor and evaluate the app.</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Use Cases: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system displays the logging/registration options to user.</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user chooses the logging option that fits him.</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The system displays the recent added products according to his location.</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The user chooses the product he wants to buy and add it to his shipping cart.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 user checks his shipping cart to complete the purchase or delete the items.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user chooses between methods of payments and enters his card details to purchase the products separately according to the product's vendor.</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The system pops up the state of payment if succeeded or not.</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system notifies the farmers about the products which were purchased.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