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A175" w14:textId="77777777" w:rsidR="0000054B" w:rsidRDefault="00000000">
      <w:pPr>
        <w:jc w:val="center"/>
      </w:pPr>
      <w:r>
        <w:rPr>
          <w:b/>
          <w:sz w:val="32"/>
        </w:rPr>
        <w:t>VocabARy: An AR/VR-Based Multilingual Object Recognition and Gesture-Driven Language Learning System</w:t>
      </w:r>
    </w:p>
    <w:p w14:paraId="670020F1" w14:textId="3627E6C1" w:rsidR="0000054B" w:rsidRDefault="00000000">
      <w:pPr>
        <w:jc w:val="center"/>
      </w:pPr>
      <w:r>
        <w:rPr>
          <w:b/>
          <w:sz w:val="22"/>
        </w:rPr>
        <w:t xml:space="preserve">Hasika MD (23MID0228) and </w:t>
      </w:r>
      <w:proofErr w:type="spellStart"/>
      <w:r w:rsidR="00FB373B" w:rsidRPr="00FB373B">
        <w:rPr>
          <w:b/>
          <w:sz w:val="22"/>
        </w:rPr>
        <w:t>Dhishitha</w:t>
      </w:r>
      <w:proofErr w:type="spellEnd"/>
      <w:r w:rsidR="00FB373B" w:rsidRPr="00FB373B">
        <w:rPr>
          <w:b/>
          <w:sz w:val="22"/>
        </w:rPr>
        <w:t xml:space="preserve"> M(23MID373)</w:t>
      </w:r>
    </w:p>
    <w:p w14:paraId="0AFC9884" w14:textId="77777777" w:rsidR="0000054B" w:rsidRDefault="00000000">
      <w:pPr>
        <w:jc w:val="center"/>
      </w:pPr>
      <w:r>
        <w:rPr>
          <w:i/>
          <w:sz w:val="18"/>
        </w:rPr>
        <w:t xml:space="preserve">Integrated </w:t>
      </w:r>
      <w:proofErr w:type="gramStart"/>
      <w:r>
        <w:rPr>
          <w:i/>
          <w:sz w:val="18"/>
        </w:rPr>
        <w:t>M.Tech</w:t>
      </w:r>
      <w:proofErr w:type="gramEnd"/>
      <w:r>
        <w:rPr>
          <w:i/>
          <w:sz w:val="18"/>
        </w:rPr>
        <w:t xml:space="preserve"> Computer Science and Engineering, School of Computer Science and Engineering (SCOPE), Vellore Institute of Technology, Vellore, India</w:t>
      </w:r>
    </w:p>
    <w:p w14:paraId="1773C710" w14:textId="77777777" w:rsidR="0000054B" w:rsidRDefault="00000000">
      <w:pPr>
        <w:jc w:val="both"/>
      </w:pPr>
      <w:r>
        <w:rPr>
          <w:b/>
        </w:rPr>
        <w:t>ABSTRACT—</w:t>
      </w:r>
      <w:r>
        <w:t>Vocabulary learning can be difficult when words are taught in isolation from the objects and situations to which they refer. This project presents VocabARy, a browser-based prototype that combines computer vision and multimodal interaction to support contextual vocabulary practice. The documented design combines YOLOv5s object detection, a tiered translation approach, Indic-script and Japanese romanization support, browser speech interfaces, MediaPipe hand-landmark tracking, canvas-based air-writing, and Tesseract OCR. A Django application provides the web layer, while a local dictionary is intended to reduce dependence on external translation services for common object classes. The proposed learning sequence is: detect a visible object, display its translated label and pronunciation aid, let the learner practise speaking, and optionally practise writing through a fingertip-controlled canvas. The supplied draft reports prototype figures of 32.4 ms per detection frame, 91.2% mAP@0.5, 95.6% transliteration fidelity, 89.4% speech-recognition accuracy, and 82.6% air-writing character-match accuracy. These values are retained as reported results, not treated as independently verified measurements, because the supplied materials do not include the complete test dataset, sample counts, scripts, or repeatable evaluation protocol. The report therefore distinguishes implemented design, reported measurements, limitations, and a reproducible validation plan. VocabARy's main contribution is the integration of object-centred vocabulary, pronunciation practice, and gesture-based writing in one accessible web prototype; its educational effectiveness must be established through a controlled learner study.</w:t>
      </w:r>
    </w:p>
    <w:p w14:paraId="4FA872C0" w14:textId="77777777" w:rsidR="0000054B" w:rsidRDefault="00000000">
      <w:pPr>
        <w:jc w:val="both"/>
      </w:pPr>
      <w:r>
        <w:rPr>
          <w:b/>
        </w:rPr>
        <w:t>Keywords—</w:t>
      </w:r>
      <w:r>
        <w:t>Augmented Reality; language learning; YOLOv5s; multilingual translation; transliteration; MediaPipe Hands; air-writing; OCR; speech recognition; Django</w:t>
      </w:r>
    </w:p>
    <w:p w14:paraId="0C470399" w14:textId="77777777" w:rsidR="0000054B" w:rsidRDefault="00000000">
      <w:r>
        <w:t>REPORT FORMAT NOTE: This is a polished single-column chapter-style report, one of the formats permitted in the faculty brief. Apply the department's exact cover-page, page-numbering, and citation rules if a prescribed template exists.</w:t>
      </w:r>
    </w:p>
    <w:p w14:paraId="1B61C1E0" w14:textId="77777777" w:rsidR="0000054B" w:rsidRDefault="00000000">
      <w:pPr>
        <w:pStyle w:val="Heading1"/>
      </w:pPr>
      <w:r>
        <w:t>System Workflow</w:t>
      </w:r>
    </w:p>
    <w:tbl>
      <w:tblPr>
        <w:tblW w:w="0" w:type="auto"/>
        <w:jc w:val="center"/>
        <w:tblLook w:val="04A0" w:firstRow="1" w:lastRow="0" w:firstColumn="1" w:lastColumn="0" w:noHBand="0" w:noVBand="1"/>
      </w:tblPr>
      <w:tblGrid>
        <w:gridCol w:w="9936"/>
      </w:tblGrid>
      <w:tr w:rsidR="0000054B" w14:paraId="06AA5355" w14:textId="77777777">
        <w:trPr>
          <w:jc w:val="center"/>
        </w:trPr>
        <w:tc>
          <w:tcPr>
            <w:tcW w:w="9936" w:type="dxa"/>
            <w:vAlign w:val="center"/>
          </w:tcPr>
          <w:p w14:paraId="1057782F" w14:textId="77777777" w:rsidR="0000054B" w:rsidRDefault="00000000">
            <w:pPr>
              <w:jc w:val="center"/>
            </w:pPr>
            <w:r>
              <w:rPr>
                <w:b/>
                <w:color w:val="1F3A5F"/>
                <w:sz w:val="20"/>
              </w:rPr>
              <w:t>Camera Input → YOLOv5s Object Detection → Translation / Transliteration → Label + Audio Feedback → Speech Practice / Air-Writing → OCR Comparison → Learner Feedback</w:t>
            </w:r>
          </w:p>
        </w:tc>
      </w:tr>
    </w:tbl>
    <w:p w14:paraId="4F4B9674" w14:textId="77777777" w:rsidR="0000054B" w:rsidRDefault="00000000">
      <w:pPr>
        <w:pStyle w:val="Heading1"/>
      </w:pPr>
      <w:r>
        <w:t>1. INTRODUCTION</w:t>
      </w:r>
    </w:p>
    <w:p w14:paraId="21D7D149" w14:textId="77777777" w:rsidR="0000054B" w:rsidRDefault="00000000">
      <w:pPr>
        <w:pStyle w:val="Heading2"/>
      </w:pPr>
      <w:r>
        <w:t>1.1 Background</w:t>
      </w:r>
    </w:p>
    <w:p w14:paraId="6F849BA2" w14:textId="77777777" w:rsidR="0000054B" w:rsidRDefault="00000000">
      <w:pPr>
        <w:jc w:val="both"/>
      </w:pPr>
      <w:r>
        <w:t>Learning a new language requires learners to connect a word's written form, sound, meaning, and real-world referent. Flashcards and word lists can support recall, but they may not provide a strong link between vocabulary and the learner's immediate environment. Camera-based object recognition offers a way to introduce a word in context: a learner points a camera at an everyday object and receives a label in the target language.</w:t>
      </w:r>
    </w:p>
    <w:p w14:paraId="4D5385F2" w14:textId="77777777" w:rsidR="0000054B" w:rsidRDefault="00000000">
      <w:pPr>
        <w:pStyle w:val="Heading2"/>
      </w:pPr>
      <w:r>
        <w:t>1.2 Problem Statement</w:t>
      </w:r>
    </w:p>
    <w:p w14:paraId="18466491" w14:textId="77777777" w:rsidR="0000054B" w:rsidRDefault="00000000">
      <w:pPr>
        <w:jc w:val="both"/>
      </w:pPr>
      <w:r>
        <w:t xml:space="preserve">Many entry-level vocabulary tools focus on translation or passive label display. Some AR learning experiences depend on pre-authored scenes, markers, or dedicated applications. Learners who are unfamiliar with a target script may also need romanized pronunciation guidance, opportunities to speak, and a way to practise spelling. VocabARy </w:t>
      </w:r>
      <w:r>
        <w:lastRenderedPageBreak/>
        <w:t>addresses this design problem by combining object recognition, multilingual label presentation, speech practice, and gesture-driven writing in a browser-oriented prototype.</w:t>
      </w:r>
    </w:p>
    <w:p w14:paraId="5F8CC55F" w14:textId="77777777" w:rsidR="0000054B" w:rsidRDefault="00000000">
      <w:pPr>
        <w:pStyle w:val="Heading2"/>
      </w:pPr>
      <w:r>
        <w:t>1.3 Aim and Objectives</w:t>
      </w:r>
    </w:p>
    <w:p w14:paraId="367CBE48" w14:textId="77777777" w:rsidR="0000054B" w:rsidRDefault="00000000">
      <w:pPr>
        <w:jc w:val="both"/>
      </w:pPr>
      <w:r>
        <w:t>The aim is to develop a camera-based, multimodal vocabulary-learning prototype. The objectives are to: (i) identify common objects from a live camera stream; (ii) map detected labels to supported target languages; (iii) provide romanized pronunciation aids where supported; (iv) offer browser-based speech input/output for practice; (v) let learners trace words using fingertip movement; and (vi) provide a modular web interface that can be evaluated and extended.</w:t>
      </w:r>
    </w:p>
    <w:p w14:paraId="6A9C91CB" w14:textId="77777777" w:rsidR="0000054B" w:rsidRDefault="00000000">
      <w:pPr>
        <w:pStyle w:val="Heading2"/>
      </w:pPr>
      <w:r>
        <w:t>1.4 Scope</w:t>
      </w:r>
    </w:p>
    <w:p w14:paraId="1391F715" w14:textId="77777777" w:rsidR="0000054B" w:rsidRDefault="00000000">
      <w:pPr>
        <w:jc w:val="both"/>
      </w:pPr>
      <w:r>
        <w:t>The documented prototype targets common objects represented by the model's class vocabulary and six language options listed in the supplied project materials: Tamil, Telugu, Kannada, Hindi, French, and Japanese. Performance and language quality depend on the detection model, translation source, browser speech implementation, camera conditions, and the test environment. The current project should be described as an AR-inspired camera-overlay and gesture-learning prototype unless true spatial anchoring through WebXR is implemented and demonstrated.</w:t>
      </w:r>
    </w:p>
    <w:p w14:paraId="61C0AE67" w14:textId="77777777" w:rsidR="0000054B" w:rsidRDefault="00000000">
      <w:pPr>
        <w:pStyle w:val="Heading1"/>
      </w:pPr>
      <w:r>
        <w:t>2. LITERATURE SURVEY AND RESEARCH GAP</w:t>
      </w:r>
    </w:p>
    <w:p w14:paraId="37EF9416" w14:textId="77777777" w:rsidR="0000054B" w:rsidRDefault="00000000">
      <w:pPr>
        <w:pStyle w:val="Heading2"/>
      </w:pPr>
      <w:r>
        <w:t>2.1 Thematic review</w:t>
      </w:r>
    </w:p>
    <w:p w14:paraId="7D10F4B1" w14:textId="77777777" w:rsidR="0000054B" w:rsidRDefault="00000000">
      <w:pPr>
        <w:jc w:val="both"/>
      </w:pPr>
      <w:r>
        <w:t>The supplied paper connects VocabARy to five research themes: augmented reality in education; computer vision and YOLO-family object detection; speech interfaces for language practice; hand tracking and gesture interaction; and OCR for text recognition. These themes motivate the system design, but they do not by themselves establish that VocabARy improves learning outcomes.</w:t>
      </w:r>
    </w:p>
    <w:p w14:paraId="0E882F4D" w14:textId="77777777" w:rsidR="0000054B" w:rsidRDefault="00000000">
      <w:pPr>
        <w:pStyle w:val="Heading2"/>
      </w:pPr>
      <w:r>
        <w:t>2.2 Synthesis</w:t>
      </w:r>
    </w:p>
    <w:p w14:paraId="198B6056" w14:textId="77777777" w:rsidR="0000054B" w:rsidRDefault="00000000">
      <w:pPr>
        <w:jc w:val="both"/>
      </w:pPr>
      <w:r>
        <w:t>Prior AR-learning work motivates contextual presentation and engagement. YOLOv5 provides a practical real-time object-detection component; MediaPipe provides hand-landmark tracking; Tesseract provides OCR functionality; and dual-coding theory offers a rationale for combining visual and verbal cues. The integration challenge is to coordinate these components while keeping response time manageable and communicating uncertainty to the learner.</w:t>
      </w:r>
    </w:p>
    <w:p w14:paraId="12FB8209" w14:textId="77777777" w:rsidR="0000054B" w:rsidRDefault="00000000">
      <w:pPr>
        <w:pStyle w:val="Heading2"/>
      </w:pPr>
      <w:r>
        <w:t>2.3 Research gap addressed</w:t>
      </w:r>
    </w:p>
    <w:p w14:paraId="55B84EFD" w14:textId="77777777" w:rsidR="0000054B" w:rsidRDefault="00000000">
      <w:pPr>
        <w:jc w:val="both"/>
      </w:pPr>
      <w:r>
        <w:t>The proposed contribution is an integrated workflow rather than a new object-detection or OCR algorithm: live object recognition is combined with target-language labels, romanization, pronunciation practice, and air-writing. The project also prioritizes regional Indian languages alongside French and Japanese. These are design goals; comparative and educational claims require a fair, reproducible evaluation.</w:t>
      </w:r>
    </w:p>
    <w:p w14:paraId="1ABB10D6" w14:textId="77777777" w:rsidR="0000054B" w:rsidRDefault="00000000">
      <w:pPr>
        <w:pStyle w:val="Heading2"/>
      </w:pPr>
      <w:r>
        <w:t>2.4 Literature-survey requirement</w:t>
      </w:r>
    </w:p>
    <w:p w14:paraId="15819BD1" w14:textId="77777777" w:rsidR="0000054B" w:rsidRDefault="00000000">
      <w:pPr>
        <w:jc w:val="both"/>
      </w:pPr>
      <w:r>
        <w:t>The faculty brief requires 30 research papers for the team (15 per student). The supplied draft contains 20 reference entries, while only a smaller subset is discussed in the survey table. Before submission, expand the survey to 30 distinct, verified papers, assign 15 papers to each team member, and cite each paper in the body. Verify every title, author list, venue, year, page range, and DOI/URL using the publisher or a scholarly index. Do not submit a citation that cannot be located.</w:t>
      </w:r>
    </w:p>
    <w:p w14:paraId="28434BA3" w14:textId="77777777" w:rsidR="0000054B" w:rsidRDefault="00000000">
      <w:pPr>
        <w:pStyle w:val="Heading1"/>
      </w:pPr>
      <w:r>
        <w:lastRenderedPageBreak/>
        <w:t>3. SYSTEM DESIGN AND METHODOLOGY</w:t>
      </w:r>
    </w:p>
    <w:p w14:paraId="38B97439" w14:textId="77777777" w:rsidR="0000054B" w:rsidRDefault="00000000">
      <w:pPr>
        <w:pStyle w:val="Heading2"/>
      </w:pPr>
      <w:r>
        <w:t>3.1 Architecture overview</w:t>
      </w:r>
    </w:p>
    <w:p w14:paraId="3DAC778A" w14:textId="77777777" w:rsidR="0000054B" w:rsidRDefault="00000000">
      <w:pPr>
        <w:jc w:val="both"/>
      </w:pPr>
      <w:r>
        <w:t>The intended flow is: camera capture → frame conversion → YOLOv5s inference → object label and confidence → target-language lookup/translation → transliteration where applicable → browser label/audio → optional speech comparison → optional fingertip air-writing → OCR-based text comparison → learner feedback. Django provides the server-side application structure; JavaScript/browser APIs support camera-facing interaction and hand tracking; SQLite is listed in the project notes for persistent scores.</w:t>
      </w:r>
    </w:p>
    <w:p w14:paraId="1C72B1E4" w14:textId="77777777" w:rsidR="0000054B" w:rsidRDefault="00000000">
      <w:pPr>
        <w:pStyle w:val="Heading2"/>
      </w:pPr>
      <w:r>
        <w:t>3.2 Object detection</w:t>
      </w:r>
    </w:p>
    <w:p w14:paraId="771F399D" w14:textId="77777777" w:rsidR="0000054B" w:rsidRDefault="00000000">
      <w:pPr>
        <w:jc w:val="both"/>
      </w:pPr>
      <w:r>
        <w:t>The supplied implementation description uses OpenCV to capture camera frames at 640×480, converts BGR frames to RGB, and passes frames to YOLOv5s. The model returns class labels, bounding boxes, and confidence values. A confidence threshold of 0.35 is stated in the draft. The browser receives an annotated stream or overlay. Detection quality is affected by object size, occlusion, lighting, camera quality, and the model's fixed class vocabulary.</w:t>
      </w:r>
    </w:p>
    <w:p w14:paraId="03F2284F" w14:textId="77777777" w:rsidR="0000054B" w:rsidRDefault="00000000">
      <w:pPr>
        <w:pStyle w:val="Heading2"/>
      </w:pPr>
      <w:r>
        <w:t>3.3 Translation and transliteration</w:t>
      </w:r>
    </w:p>
    <w:p w14:paraId="7C01244E" w14:textId="77777777" w:rsidR="0000054B" w:rsidRDefault="00000000">
      <w:pPr>
        <w:jc w:val="both"/>
      </w:pPr>
      <w:r>
        <w:t>The documented translation design uses a tiered approach: (1) a local dictionary for common detected classes; (2) a GoogleTranslator-based fallback; and (3) a MyMemory fallback. The local tier can work without a network for entries it contains, but external tiers require connectivity. Therefore, the system should not be described as fully offline or as guaranteeing 100% availability. Translation results should be cached and labelled with their source where practical. Transliteration is a pronunciation aid, not a guarantee of correct pronunciation; language-specific review is required.</w:t>
      </w:r>
    </w:p>
    <w:p w14:paraId="52DABAB9" w14:textId="77777777" w:rsidR="0000054B" w:rsidRDefault="00000000">
      <w:pPr>
        <w:pStyle w:val="Heading2"/>
      </w:pPr>
      <w:r>
        <w:t>3.4 Speech practice</w:t>
      </w:r>
    </w:p>
    <w:p w14:paraId="2C3A24BF" w14:textId="77777777" w:rsidR="0000054B" w:rsidRDefault="00000000">
      <w:pPr>
        <w:jc w:val="both"/>
      </w:pPr>
      <w:r>
        <w:t>The supplied draft uses browser speech recognition and text-to-speech capabilities. A normalized edit-distance score is described for comparing recognized text with a target string: score = [1 − distance(reference, hypothesis) / max(length(reference), length(hypothesis))] × 100. This is a text-similarity proxy, not a validated phonetic pronunciation score. It can penalize acceptable variants and can be affected by the speech recognizer, locale support, noise, and accent. A production system should use language-specific normalization and report this limitation clearly.</w:t>
      </w:r>
    </w:p>
    <w:p w14:paraId="4DA08F8C" w14:textId="77777777" w:rsidR="0000054B" w:rsidRDefault="00000000">
      <w:pPr>
        <w:pStyle w:val="Heading2"/>
      </w:pPr>
      <w:r>
        <w:t>3.5 Gesture-driven air-writing</w:t>
      </w:r>
    </w:p>
    <w:p w14:paraId="23AFD7BC" w14:textId="77777777" w:rsidR="0000054B" w:rsidRDefault="00000000">
      <w:pPr>
        <w:jc w:val="both"/>
      </w:pPr>
      <w:r>
        <w:t>MediaPipe Hands tracks 21 landmarks; landmark 8 is used as the index-finger tip. Its coordinates can be sampled while drawing mode is active and rendered to an HTML canvas. The resulting raster may be passed to Tesseract OCR and compared with a target string. OCR is primarily designed for image text and may perform poorly on sparse, noisy, mid-air strokes. Stroke smoothing, scale normalization, thresholding, a clear/undo control, and fallback mouse/touch input improve usability.</w:t>
      </w:r>
    </w:p>
    <w:p w14:paraId="2BF41406" w14:textId="77777777" w:rsidR="0000054B" w:rsidRDefault="00000000">
      <w:pPr>
        <w:pStyle w:val="Heading2"/>
      </w:pPr>
      <w:r>
        <w:t>3.6 Data and privacy</w:t>
      </w:r>
    </w:p>
    <w:p w14:paraId="4DB10405" w14:textId="77777777" w:rsidR="0000054B" w:rsidRDefault="00000000">
      <w:pPr>
        <w:jc w:val="both"/>
      </w:pPr>
      <w:r>
        <w:t>Camera and microphone permissions should be requested only when needed, with clear status indicators and a visible stop control. The application should avoid retaining raw video or audio unless explicitly necessary and consented to. If scores are saved, document what is stored, where it is stored, how a learner can clear it, and whether identifiers are collected. A classroom deployment should follow the institution's privacy and consent requirements.</w:t>
      </w:r>
    </w:p>
    <w:p w14:paraId="1AF4057E" w14:textId="77777777" w:rsidR="0000054B" w:rsidRDefault="00000000">
      <w:pPr>
        <w:pStyle w:val="Heading2"/>
      </w:pPr>
      <w:r>
        <w:t>3.7 Implementation stack</w:t>
      </w:r>
    </w:p>
    <w:p w14:paraId="1E8365CD" w14:textId="77777777" w:rsidR="0000054B" w:rsidRDefault="00000000">
      <w:pPr>
        <w:jc w:val="both"/>
      </w:pPr>
      <w:r>
        <w:t>The supplied materials identify Django, Python, OpenCV, PyTorch/YOLOv5s, JavaScript, MediaPipe Hands, Tesseract OCR, browser speech APIs, a local dictionary, external translation fallbacks, and SQLite. The final report should include exact package versions, operating system, browser, processor, RAM, model weights/source, and run instructions from the working project. Where a component is planned rather than working, label it as future work.</w:t>
      </w:r>
    </w:p>
    <w:p w14:paraId="31E537B3" w14:textId="77777777" w:rsidR="0000054B" w:rsidRDefault="00000000">
      <w:pPr>
        <w:pStyle w:val="Heading1"/>
      </w:pPr>
      <w:r>
        <w:lastRenderedPageBreak/>
        <w:t>4. EXPERIMENTAL SETUP AND EVALUATION</w:t>
      </w:r>
    </w:p>
    <w:p w14:paraId="419699C8" w14:textId="77777777" w:rsidR="0000054B" w:rsidRDefault="00000000">
      <w:pPr>
        <w:pStyle w:val="Heading2"/>
      </w:pPr>
      <w:r>
        <w:t>4.1 What the current evidence supports</w:t>
      </w:r>
    </w:p>
    <w:p w14:paraId="499659A2" w14:textId="77777777" w:rsidR="0000054B" w:rsidRDefault="00000000">
      <w:pPr>
        <w:jc w:val="both"/>
      </w:pPr>
      <w:r>
        <w:t>The existing draft reports numerical results but does not provide enough protocol detail to independently reproduce them. The figures below must be presented as reported prototype measurements until the team can provide the dataset, number of trials, hardware/browser details, calculation scripts, and raw results.</w:t>
      </w:r>
    </w:p>
    <w:p w14:paraId="27F97CBC" w14:textId="77777777" w:rsidR="0000054B" w:rsidRDefault="00000000">
      <w:pPr>
        <w:pStyle w:val="Heading2"/>
      </w:pPr>
      <w:r>
        <w:t>4.2 Reported measurements</w:t>
      </w:r>
    </w:p>
    <w:p w14:paraId="29330CD1" w14:textId="77777777" w:rsidR="0000054B" w:rsidRDefault="00000000">
      <w:pPr>
        <w:jc w:val="both"/>
      </w:pPr>
      <w:r>
        <w:t>The original project draft reports: 32.4 ms per frame for object detection; 91.2% mAP@0.5; 0.85 ms local dictionary lookup; 95.6% Indic transliteration fidelity; 89.4% speech recognition accuracy; 410 ms speech feedback response; 82.6% air-writing character-match rate; and 680 MB memory footprint. These values are not independently verified in this revision. The local dictionary latency should be measured with a stated number of repeated lookups and a defined timing method.</w:t>
      </w:r>
    </w:p>
    <w:p w14:paraId="267F8392" w14:textId="77777777" w:rsidR="0000054B" w:rsidRDefault="00000000">
      <w:pPr>
        <w:pStyle w:val="Heading2"/>
      </w:pPr>
      <w:r>
        <w:t>4.3 Recommended reproducible protocol</w:t>
      </w:r>
    </w:p>
    <w:p w14:paraId="04E7431F" w14:textId="77777777" w:rsidR="0000054B" w:rsidRDefault="00000000">
      <w:pPr>
        <w:jc w:val="both"/>
      </w:pPr>
      <w:r>
        <w:t>Object detection: record the model version, evaluation split, class-wise precision/recall, IoU threshold, mAP calculation, image count, and hardware. Latency: measure warm-up separately, run at least several hundred frames, and report median and 95th percentile. Translation: prepare a manually checked list of object-language pairs and measure exact match and human-rated correctness. Transliteration: use native-speaker-reviewed reference forms and state the scoring rule. Speech: use consented, labelled utterances across speakers and noise conditions; distinguish speech-to-text accuracy from pronunciation quality. Air-writing: define the number of users/characters, ground truth, OCR normalization, and edit-distance calculation. Learning outcome: conduct a pre-test/post-test study with a comparison group and report sample size, mean change, variability, and limitations.</w:t>
      </w:r>
    </w:p>
    <w:p w14:paraId="3706AFE3" w14:textId="77777777" w:rsidR="0000054B" w:rsidRDefault="00000000">
      <w:pPr>
        <w:pStyle w:val="Heading2"/>
      </w:pPr>
      <w:r>
        <w:t>4.4 Results table</w:t>
      </w:r>
    </w:p>
    <w:p w14:paraId="16967714" w14:textId="77777777" w:rsidR="0000054B" w:rsidRDefault="00000000">
      <w:r>
        <w:t>The values below are reproduced from the supplied draft. They are not independently verified in this revision.</w:t>
      </w:r>
    </w:p>
    <w:tbl>
      <w:tblPr>
        <w:tblStyle w:val="LightShading-Accent1"/>
        <w:tblW w:w="0" w:type="auto"/>
        <w:jc w:val="center"/>
        <w:tblLook w:val="04A0" w:firstRow="1" w:lastRow="0" w:firstColumn="1" w:lastColumn="0" w:noHBand="0" w:noVBand="1"/>
      </w:tblPr>
      <w:tblGrid>
        <w:gridCol w:w="3312"/>
        <w:gridCol w:w="3312"/>
        <w:gridCol w:w="3312"/>
      </w:tblGrid>
      <w:tr w:rsidR="0000054B" w14:paraId="37DDF8CA" w14:textId="77777777" w:rsidTr="000005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562E50D" w14:textId="77777777" w:rsidR="0000054B" w:rsidRDefault="00000000">
            <w:r>
              <w:rPr>
                <w:sz w:val="18"/>
              </w:rPr>
              <w:t>Metric</w:t>
            </w:r>
          </w:p>
        </w:tc>
        <w:tc>
          <w:tcPr>
            <w:tcW w:w="3312" w:type="dxa"/>
            <w:vAlign w:val="center"/>
          </w:tcPr>
          <w:p w14:paraId="5DF9F2B2" w14:textId="77777777" w:rsidR="0000054B" w:rsidRDefault="00000000">
            <w:pPr>
              <w:cnfStyle w:val="100000000000" w:firstRow="1" w:lastRow="0" w:firstColumn="0" w:lastColumn="0" w:oddVBand="0" w:evenVBand="0" w:oddHBand="0" w:evenHBand="0" w:firstRowFirstColumn="0" w:firstRowLastColumn="0" w:lastRowFirstColumn="0" w:lastRowLastColumn="0"/>
            </w:pPr>
            <w:r>
              <w:rPr>
                <w:sz w:val="18"/>
              </w:rPr>
              <w:t>Value in supplied draft</w:t>
            </w:r>
          </w:p>
        </w:tc>
        <w:tc>
          <w:tcPr>
            <w:tcW w:w="3312" w:type="dxa"/>
            <w:vAlign w:val="center"/>
          </w:tcPr>
          <w:p w14:paraId="58E081BC" w14:textId="77777777" w:rsidR="0000054B" w:rsidRDefault="00000000">
            <w:pPr>
              <w:cnfStyle w:val="100000000000" w:firstRow="1" w:lastRow="0" w:firstColumn="0" w:lastColumn="0" w:oddVBand="0" w:evenVBand="0" w:oddHBand="0" w:evenHBand="0" w:firstRowFirstColumn="0" w:firstRowLastColumn="0" w:lastRowFirstColumn="0" w:lastRowLastColumn="0"/>
            </w:pPr>
            <w:r>
              <w:rPr>
                <w:sz w:val="18"/>
              </w:rPr>
              <w:t>Evidence status</w:t>
            </w:r>
          </w:p>
        </w:tc>
      </w:tr>
      <w:tr w:rsidR="0000054B" w14:paraId="3C50F4EA" w14:textId="77777777" w:rsidTr="000005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99E4203" w14:textId="77777777" w:rsidR="0000054B" w:rsidRDefault="00000000">
            <w:r>
              <w:rPr>
                <w:sz w:val="18"/>
              </w:rPr>
              <w:t>Object detection latency</w:t>
            </w:r>
          </w:p>
        </w:tc>
        <w:tc>
          <w:tcPr>
            <w:tcW w:w="3312" w:type="dxa"/>
            <w:vAlign w:val="center"/>
          </w:tcPr>
          <w:p w14:paraId="275744C2" w14:textId="77777777" w:rsidR="0000054B" w:rsidRDefault="00000000">
            <w:pPr>
              <w:cnfStyle w:val="000000100000" w:firstRow="0" w:lastRow="0" w:firstColumn="0" w:lastColumn="0" w:oddVBand="0" w:evenVBand="0" w:oddHBand="1" w:evenHBand="0" w:firstRowFirstColumn="0" w:firstRowLastColumn="0" w:lastRowFirstColumn="0" w:lastRowLastColumn="0"/>
            </w:pPr>
            <w:r>
              <w:rPr>
                <w:sz w:val="18"/>
              </w:rPr>
              <w:t>32.4 ms/frame</w:t>
            </w:r>
          </w:p>
        </w:tc>
        <w:tc>
          <w:tcPr>
            <w:tcW w:w="3312" w:type="dxa"/>
            <w:vAlign w:val="center"/>
          </w:tcPr>
          <w:p w14:paraId="59F58DE2" w14:textId="77777777" w:rsidR="0000054B" w:rsidRDefault="00000000">
            <w:pPr>
              <w:cnfStyle w:val="000000100000" w:firstRow="0" w:lastRow="0" w:firstColumn="0" w:lastColumn="0" w:oddVBand="0" w:evenVBand="0" w:oddHBand="1" w:evenHBand="0" w:firstRowFirstColumn="0" w:firstRowLastColumn="0" w:lastRowFirstColumn="0" w:lastRowLastColumn="0"/>
            </w:pPr>
            <w:r>
              <w:rPr>
                <w:sz w:val="18"/>
              </w:rPr>
              <w:t>Reported; protocol needed</w:t>
            </w:r>
          </w:p>
        </w:tc>
      </w:tr>
      <w:tr w:rsidR="0000054B" w14:paraId="7D469101" w14:textId="77777777" w:rsidTr="0000054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8D0785F" w14:textId="77777777" w:rsidR="0000054B" w:rsidRDefault="00000000">
            <w:r>
              <w:rPr>
                <w:sz w:val="18"/>
              </w:rPr>
              <w:t>Object detection mAP@0.5</w:t>
            </w:r>
          </w:p>
        </w:tc>
        <w:tc>
          <w:tcPr>
            <w:tcW w:w="3312" w:type="dxa"/>
            <w:vAlign w:val="center"/>
          </w:tcPr>
          <w:p w14:paraId="40A6934D" w14:textId="77777777" w:rsidR="0000054B" w:rsidRDefault="00000000">
            <w:pPr>
              <w:cnfStyle w:val="000000000000" w:firstRow="0" w:lastRow="0" w:firstColumn="0" w:lastColumn="0" w:oddVBand="0" w:evenVBand="0" w:oddHBand="0" w:evenHBand="0" w:firstRowFirstColumn="0" w:firstRowLastColumn="0" w:lastRowFirstColumn="0" w:lastRowLastColumn="0"/>
            </w:pPr>
            <w:r>
              <w:rPr>
                <w:sz w:val="18"/>
              </w:rPr>
              <w:t>91.2%</w:t>
            </w:r>
          </w:p>
        </w:tc>
        <w:tc>
          <w:tcPr>
            <w:tcW w:w="3312" w:type="dxa"/>
            <w:vAlign w:val="center"/>
          </w:tcPr>
          <w:p w14:paraId="516DD30E" w14:textId="77777777" w:rsidR="0000054B" w:rsidRDefault="00000000">
            <w:pPr>
              <w:cnfStyle w:val="000000000000" w:firstRow="0" w:lastRow="0" w:firstColumn="0" w:lastColumn="0" w:oddVBand="0" w:evenVBand="0" w:oddHBand="0" w:evenHBand="0" w:firstRowFirstColumn="0" w:firstRowLastColumn="0" w:lastRowFirstColumn="0" w:lastRowLastColumn="0"/>
            </w:pPr>
            <w:r>
              <w:rPr>
                <w:sz w:val="18"/>
              </w:rPr>
              <w:t>Reported; dataset/split needed</w:t>
            </w:r>
          </w:p>
        </w:tc>
      </w:tr>
      <w:tr w:rsidR="0000054B" w14:paraId="1488A12B" w14:textId="77777777" w:rsidTr="000005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735DA29" w14:textId="77777777" w:rsidR="0000054B" w:rsidRDefault="00000000">
            <w:r>
              <w:rPr>
                <w:sz w:val="18"/>
              </w:rPr>
              <w:t>Local dictionary lookup</w:t>
            </w:r>
          </w:p>
        </w:tc>
        <w:tc>
          <w:tcPr>
            <w:tcW w:w="3312" w:type="dxa"/>
            <w:vAlign w:val="center"/>
          </w:tcPr>
          <w:p w14:paraId="07FF280C" w14:textId="77777777" w:rsidR="0000054B" w:rsidRDefault="00000000">
            <w:pPr>
              <w:cnfStyle w:val="000000100000" w:firstRow="0" w:lastRow="0" w:firstColumn="0" w:lastColumn="0" w:oddVBand="0" w:evenVBand="0" w:oddHBand="1" w:evenHBand="0" w:firstRowFirstColumn="0" w:firstRowLastColumn="0" w:lastRowFirstColumn="0" w:lastRowLastColumn="0"/>
            </w:pPr>
            <w:r>
              <w:rPr>
                <w:sz w:val="18"/>
              </w:rPr>
              <w:t>0.85 ms</w:t>
            </w:r>
          </w:p>
        </w:tc>
        <w:tc>
          <w:tcPr>
            <w:tcW w:w="3312" w:type="dxa"/>
            <w:vAlign w:val="center"/>
          </w:tcPr>
          <w:p w14:paraId="62AFFCF8" w14:textId="77777777" w:rsidR="0000054B" w:rsidRDefault="00000000">
            <w:pPr>
              <w:cnfStyle w:val="000000100000" w:firstRow="0" w:lastRow="0" w:firstColumn="0" w:lastColumn="0" w:oddVBand="0" w:evenVBand="0" w:oddHBand="1" w:evenHBand="0" w:firstRowFirstColumn="0" w:firstRowLastColumn="0" w:lastRowFirstColumn="0" w:lastRowLastColumn="0"/>
            </w:pPr>
            <w:r>
              <w:rPr>
                <w:sz w:val="18"/>
              </w:rPr>
              <w:t>Reported; repeated timing details needed</w:t>
            </w:r>
          </w:p>
        </w:tc>
      </w:tr>
      <w:tr w:rsidR="0000054B" w14:paraId="279C78B1" w14:textId="77777777" w:rsidTr="0000054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89BB7C0" w14:textId="77777777" w:rsidR="0000054B" w:rsidRDefault="00000000">
            <w:r>
              <w:rPr>
                <w:sz w:val="18"/>
              </w:rPr>
              <w:t>Indic transliteration fidelity</w:t>
            </w:r>
          </w:p>
        </w:tc>
        <w:tc>
          <w:tcPr>
            <w:tcW w:w="3312" w:type="dxa"/>
            <w:vAlign w:val="center"/>
          </w:tcPr>
          <w:p w14:paraId="68E52560" w14:textId="77777777" w:rsidR="0000054B" w:rsidRDefault="00000000">
            <w:pPr>
              <w:cnfStyle w:val="000000000000" w:firstRow="0" w:lastRow="0" w:firstColumn="0" w:lastColumn="0" w:oddVBand="0" w:evenVBand="0" w:oddHBand="0" w:evenHBand="0" w:firstRowFirstColumn="0" w:firstRowLastColumn="0" w:lastRowFirstColumn="0" w:lastRowLastColumn="0"/>
            </w:pPr>
            <w:r>
              <w:rPr>
                <w:sz w:val="18"/>
              </w:rPr>
              <w:t>95.6%</w:t>
            </w:r>
          </w:p>
        </w:tc>
        <w:tc>
          <w:tcPr>
            <w:tcW w:w="3312" w:type="dxa"/>
            <w:vAlign w:val="center"/>
          </w:tcPr>
          <w:p w14:paraId="39D7D1E8" w14:textId="77777777" w:rsidR="0000054B" w:rsidRDefault="00000000">
            <w:pPr>
              <w:cnfStyle w:val="000000000000" w:firstRow="0" w:lastRow="0" w:firstColumn="0" w:lastColumn="0" w:oddVBand="0" w:evenVBand="0" w:oddHBand="0" w:evenHBand="0" w:firstRowFirstColumn="0" w:firstRowLastColumn="0" w:lastRowFirstColumn="0" w:lastRowLastColumn="0"/>
            </w:pPr>
            <w:r>
              <w:rPr>
                <w:sz w:val="18"/>
              </w:rPr>
              <w:t>Reported; reference set needed</w:t>
            </w:r>
          </w:p>
        </w:tc>
      </w:tr>
      <w:tr w:rsidR="0000054B" w14:paraId="6FEC6761" w14:textId="77777777" w:rsidTr="000005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8CED5C0" w14:textId="77777777" w:rsidR="0000054B" w:rsidRDefault="00000000">
            <w:r>
              <w:rPr>
                <w:sz w:val="18"/>
              </w:rPr>
              <w:t>Speech recognition accuracy</w:t>
            </w:r>
          </w:p>
        </w:tc>
        <w:tc>
          <w:tcPr>
            <w:tcW w:w="3312" w:type="dxa"/>
            <w:vAlign w:val="center"/>
          </w:tcPr>
          <w:p w14:paraId="71EAEA1C" w14:textId="77777777" w:rsidR="0000054B" w:rsidRDefault="00000000">
            <w:pPr>
              <w:cnfStyle w:val="000000100000" w:firstRow="0" w:lastRow="0" w:firstColumn="0" w:lastColumn="0" w:oddVBand="0" w:evenVBand="0" w:oddHBand="1" w:evenHBand="0" w:firstRowFirstColumn="0" w:firstRowLastColumn="0" w:lastRowFirstColumn="0" w:lastRowLastColumn="0"/>
            </w:pPr>
            <w:r>
              <w:rPr>
                <w:sz w:val="18"/>
              </w:rPr>
              <w:t>89.4%</w:t>
            </w:r>
          </w:p>
        </w:tc>
        <w:tc>
          <w:tcPr>
            <w:tcW w:w="3312" w:type="dxa"/>
            <w:vAlign w:val="center"/>
          </w:tcPr>
          <w:p w14:paraId="5C241953" w14:textId="77777777" w:rsidR="0000054B" w:rsidRDefault="00000000">
            <w:pPr>
              <w:cnfStyle w:val="000000100000" w:firstRow="0" w:lastRow="0" w:firstColumn="0" w:lastColumn="0" w:oddVBand="0" w:evenVBand="0" w:oddHBand="1" w:evenHBand="0" w:firstRowFirstColumn="0" w:firstRowLastColumn="0" w:lastRowFirstColumn="0" w:lastRowLastColumn="0"/>
            </w:pPr>
            <w:r>
              <w:rPr>
                <w:sz w:val="18"/>
              </w:rPr>
              <w:t>Reported; sample count/scoring needed</w:t>
            </w:r>
          </w:p>
        </w:tc>
      </w:tr>
      <w:tr w:rsidR="0000054B" w14:paraId="0C311B2D" w14:textId="77777777" w:rsidTr="0000054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B46F976" w14:textId="77777777" w:rsidR="0000054B" w:rsidRDefault="00000000">
            <w:r>
              <w:rPr>
                <w:sz w:val="18"/>
              </w:rPr>
              <w:t>Speech feedback response</w:t>
            </w:r>
          </w:p>
        </w:tc>
        <w:tc>
          <w:tcPr>
            <w:tcW w:w="3312" w:type="dxa"/>
            <w:vAlign w:val="center"/>
          </w:tcPr>
          <w:p w14:paraId="4CDCFC35" w14:textId="77777777" w:rsidR="0000054B" w:rsidRDefault="00000000">
            <w:pPr>
              <w:cnfStyle w:val="000000000000" w:firstRow="0" w:lastRow="0" w:firstColumn="0" w:lastColumn="0" w:oddVBand="0" w:evenVBand="0" w:oddHBand="0" w:evenHBand="0" w:firstRowFirstColumn="0" w:firstRowLastColumn="0" w:lastRowFirstColumn="0" w:lastRowLastColumn="0"/>
            </w:pPr>
            <w:r>
              <w:rPr>
                <w:sz w:val="18"/>
              </w:rPr>
              <w:t>410 ms</w:t>
            </w:r>
          </w:p>
        </w:tc>
        <w:tc>
          <w:tcPr>
            <w:tcW w:w="3312" w:type="dxa"/>
            <w:vAlign w:val="center"/>
          </w:tcPr>
          <w:p w14:paraId="54C45D03" w14:textId="77777777" w:rsidR="0000054B" w:rsidRDefault="00000000">
            <w:pPr>
              <w:cnfStyle w:val="000000000000" w:firstRow="0" w:lastRow="0" w:firstColumn="0" w:lastColumn="0" w:oddVBand="0" w:evenVBand="0" w:oddHBand="0" w:evenHBand="0" w:firstRowFirstColumn="0" w:firstRowLastColumn="0" w:lastRowFirstColumn="0" w:lastRowLastColumn="0"/>
            </w:pPr>
            <w:r>
              <w:rPr>
                <w:sz w:val="18"/>
              </w:rPr>
              <w:t>Reported; measurement boundaries needed</w:t>
            </w:r>
          </w:p>
        </w:tc>
      </w:tr>
      <w:tr w:rsidR="0000054B" w14:paraId="28F4DBD5" w14:textId="77777777" w:rsidTr="000005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2EC5414" w14:textId="77777777" w:rsidR="0000054B" w:rsidRDefault="00000000">
            <w:r>
              <w:rPr>
                <w:sz w:val="18"/>
              </w:rPr>
              <w:t>Air-writing character match</w:t>
            </w:r>
          </w:p>
        </w:tc>
        <w:tc>
          <w:tcPr>
            <w:tcW w:w="3312" w:type="dxa"/>
            <w:vAlign w:val="center"/>
          </w:tcPr>
          <w:p w14:paraId="4F626F16" w14:textId="77777777" w:rsidR="0000054B" w:rsidRDefault="00000000">
            <w:pPr>
              <w:cnfStyle w:val="000000100000" w:firstRow="0" w:lastRow="0" w:firstColumn="0" w:lastColumn="0" w:oddVBand="0" w:evenVBand="0" w:oddHBand="1" w:evenHBand="0" w:firstRowFirstColumn="0" w:firstRowLastColumn="0" w:lastRowFirstColumn="0" w:lastRowLastColumn="0"/>
            </w:pPr>
            <w:r>
              <w:rPr>
                <w:sz w:val="18"/>
              </w:rPr>
              <w:t>82.6%</w:t>
            </w:r>
          </w:p>
        </w:tc>
        <w:tc>
          <w:tcPr>
            <w:tcW w:w="3312" w:type="dxa"/>
            <w:vAlign w:val="center"/>
          </w:tcPr>
          <w:p w14:paraId="0E4C8772" w14:textId="77777777" w:rsidR="0000054B" w:rsidRDefault="00000000">
            <w:pPr>
              <w:cnfStyle w:val="000000100000" w:firstRow="0" w:lastRow="0" w:firstColumn="0" w:lastColumn="0" w:oddVBand="0" w:evenVBand="0" w:oddHBand="1" w:evenHBand="0" w:firstRowFirstColumn="0" w:firstRowLastColumn="0" w:lastRowFirstColumn="0" w:lastRowLastColumn="0"/>
            </w:pPr>
            <w:r>
              <w:rPr>
                <w:sz w:val="18"/>
              </w:rPr>
              <w:t>Reported; users/characters needed</w:t>
            </w:r>
          </w:p>
        </w:tc>
      </w:tr>
      <w:tr w:rsidR="0000054B" w14:paraId="1E8F351B" w14:textId="77777777" w:rsidTr="0000054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4A255CA" w14:textId="77777777" w:rsidR="0000054B" w:rsidRDefault="00000000">
            <w:r>
              <w:rPr>
                <w:sz w:val="18"/>
              </w:rPr>
              <w:t>Memory footprint</w:t>
            </w:r>
          </w:p>
        </w:tc>
        <w:tc>
          <w:tcPr>
            <w:tcW w:w="3312" w:type="dxa"/>
            <w:vAlign w:val="center"/>
          </w:tcPr>
          <w:p w14:paraId="72C2174C" w14:textId="77777777" w:rsidR="0000054B" w:rsidRDefault="00000000">
            <w:pPr>
              <w:cnfStyle w:val="000000000000" w:firstRow="0" w:lastRow="0" w:firstColumn="0" w:lastColumn="0" w:oddVBand="0" w:evenVBand="0" w:oddHBand="0" w:evenHBand="0" w:firstRowFirstColumn="0" w:firstRowLastColumn="0" w:lastRowFirstColumn="0" w:lastRowLastColumn="0"/>
            </w:pPr>
            <w:r>
              <w:rPr>
                <w:sz w:val="18"/>
              </w:rPr>
              <w:t>680 MB</w:t>
            </w:r>
          </w:p>
        </w:tc>
        <w:tc>
          <w:tcPr>
            <w:tcW w:w="3312" w:type="dxa"/>
            <w:vAlign w:val="center"/>
          </w:tcPr>
          <w:p w14:paraId="1B04B48D" w14:textId="77777777" w:rsidR="0000054B" w:rsidRDefault="00000000">
            <w:pPr>
              <w:cnfStyle w:val="000000000000" w:firstRow="0" w:lastRow="0" w:firstColumn="0" w:lastColumn="0" w:oddVBand="0" w:evenVBand="0" w:oddHBand="0" w:evenHBand="0" w:firstRowFirstColumn="0" w:firstRowLastColumn="0" w:lastRowFirstColumn="0" w:lastRowLastColumn="0"/>
            </w:pPr>
            <w:r>
              <w:rPr>
                <w:sz w:val="18"/>
              </w:rPr>
              <w:t>Reported; measurement method needed</w:t>
            </w:r>
          </w:p>
        </w:tc>
      </w:tr>
    </w:tbl>
    <w:p w14:paraId="76F502E7" w14:textId="77777777" w:rsidR="0000054B" w:rsidRDefault="00000000">
      <w:pPr>
        <w:pStyle w:val="Heading2"/>
      </w:pPr>
      <w:r>
        <w:t>4.5 Interpretation</w:t>
      </w:r>
    </w:p>
    <w:p w14:paraId="307D5DAB" w14:textId="77777777" w:rsidR="0000054B" w:rsidRDefault="00000000">
      <w:pPr>
        <w:jc w:val="both"/>
      </w:pPr>
      <w:r>
        <w:t>If reproduced under a documented test protocol, the reported latency would be consistent with interactive use on the tested setup. However, object-detection mAP does not measure language-learning gains; transliteration accuracy does not establish native-like pronunciation; speech-to-text similarity does not fully measure phonetic correctness; and OCR string similarity does not necessarily measure handwriting quality. The next evaluation should report technical performance separately from learner outcomes.</w:t>
      </w:r>
    </w:p>
    <w:p w14:paraId="547F2570" w14:textId="77777777" w:rsidR="0000054B" w:rsidRDefault="00000000">
      <w:pPr>
        <w:pStyle w:val="Heading1"/>
      </w:pPr>
      <w:r>
        <w:lastRenderedPageBreak/>
        <w:t>5. COMPARISON WITH EXISTING APPROACHES</w:t>
      </w:r>
    </w:p>
    <w:p w14:paraId="2CCC1BFF" w14:textId="77777777" w:rsidR="0000054B" w:rsidRDefault="00000000">
      <w:pPr>
        <w:pStyle w:val="Heading2"/>
      </w:pPr>
      <w:r>
        <w:t>5.1 Feature-based comparison</w:t>
      </w:r>
    </w:p>
    <w:p w14:paraId="2D5AC51A" w14:textId="77777777" w:rsidR="0000054B" w:rsidRDefault="00000000">
      <w:pPr>
        <w:jc w:val="both"/>
      </w:pPr>
      <w:r>
        <w:t>Traditional flashcards are inexpensive and usable offline but do not automatically identify objects or provide integrated speech and gesture feedback. General-purpose visual translation tools can be useful for translating photographed text or objects, but their internal capabilities and network requirements vary by product/version. Language-learning applications may offer structured lessons and speech exercises but may not provide live recognition of arbitrary nearby objects combined with fingertip air-writing. VocabARy aims to combine these functions in a single prototype. Avoid absolute claims such as 'no competitor has this feature' unless supported by a current, documented comparison.</w:t>
      </w:r>
    </w:p>
    <w:p w14:paraId="0E484A85" w14:textId="77777777" w:rsidR="0000054B" w:rsidRDefault="00000000">
      <w:pPr>
        <w:pStyle w:val="Heading2"/>
      </w:pPr>
      <w:r>
        <w:t>5.2 Contribution and novelty</w:t>
      </w:r>
    </w:p>
    <w:p w14:paraId="065F7C27" w14:textId="77777777" w:rsidR="0000054B" w:rsidRDefault="00000000">
      <w:pPr>
        <w:jc w:val="both"/>
      </w:pPr>
      <w:r>
        <w:t>The defensible contribution is the integration and workflow design: object-centred vocabulary prompts, multilingual labels, romanization, speech practice, and gesture-based writing in a browser-oriented system. This is a system-level contribution, not proof of a new detection algorithm or proof of improved retention. A fair comparison should test the same object set, languages, hardware, and tasks across systems.</w:t>
      </w:r>
    </w:p>
    <w:p w14:paraId="182AA19D" w14:textId="77777777" w:rsidR="0000054B" w:rsidRDefault="00000000">
      <w:pPr>
        <w:pStyle w:val="Heading1"/>
      </w:pPr>
      <w:r>
        <w:t>6. LIMITATIONS AND THREATS TO VALIDITY</w:t>
      </w:r>
    </w:p>
    <w:p w14:paraId="3686B56A" w14:textId="77777777" w:rsidR="0000054B" w:rsidRDefault="00000000">
      <w:pPr>
        <w:pStyle w:val="Heading2"/>
      </w:pPr>
      <w:r>
        <w:t>6.1 Technical limitations</w:t>
      </w:r>
    </w:p>
    <w:p w14:paraId="68EA71E1" w14:textId="77777777" w:rsidR="0000054B" w:rsidRDefault="00000000">
      <w:pPr>
        <w:jc w:val="both"/>
      </w:pPr>
      <w:r>
        <w:t>YOLOv5s is limited to its trained classes and may misclassify small, occluded, or unfamiliar objects. External translation tiers depend on network access and service availability. Browser speech APIs differ by browser, operating system, language, and network. Transliteration rules can be inconsistent across words and dialects. Tesseract OCR may struggle with gesture-drawn characters. The current camera overlay should not be called full spatial AR unless labels are anchored to physical objects with demonstrated tracking.</w:t>
      </w:r>
    </w:p>
    <w:p w14:paraId="051FC4CB" w14:textId="77777777" w:rsidR="0000054B" w:rsidRDefault="00000000">
      <w:pPr>
        <w:pStyle w:val="Heading2"/>
      </w:pPr>
      <w:r>
        <w:t>6.2 Evaluation limitations</w:t>
      </w:r>
    </w:p>
    <w:p w14:paraId="2ECD637C" w14:textId="77777777" w:rsidR="0000054B" w:rsidRDefault="00000000">
      <w:pPr>
        <w:jc w:val="both"/>
      </w:pPr>
      <w:r>
        <w:t>The supplied materials do not include raw predictions, a labelled evaluation dataset, participant demographics, the number of speech or writing trials, statistical tests, confidence intervals, or a learner study. Accordingly, the numerical results are preliminary reported values, not conclusive evidence of effectiveness. The comparison with commercial systems also needs date/version-specific sources and equivalent testing.</w:t>
      </w:r>
    </w:p>
    <w:p w14:paraId="186E4751" w14:textId="77777777" w:rsidR="0000054B" w:rsidRDefault="00000000">
      <w:pPr>
        <w:pStyle w:val="Heading2"/>
      </w:pPr>
      <w:r>
        <w:t>6.3 Educational validation</w:t>
      </w:r>
    </w:p>
    <w:p w14:paraId="59B2BBE7" w14:textId="77777777" w:rsidR="0000054B" w:rsidRDefault="00000000">
      <w:pPr>
        <w:jc w:val="both"/>
      </w:pPr>
      <w:r>
        <w:t>A future learner study should compare VocabARy with a baseline such as flashcards or a conventional vocabulary app. Use the same vocabulary items and learning time, then assess immediate and delayed recall. Obtain appropriate consent, report participant counts, and avoid claiming improved retention until the data supports it.</w:t>
      </w:r>
    </w:p>
    <w:p w14:paraId="38DF5FB7" w14:textId="77777777" w:rsidR="0000054B" w:rsidRDefault="00000000">
      <w:pPr>
        <w:pStyle w:val="Heading1"/>
      </w:pPr>
      <w:r>
        <w:t>7. CONCLUSION AND FUTURE WORK</w:t>
      </w:r>
    </w:p>
    <w:p w14:paraId="6C67BE4D" w14:textId="77777777" w:rsidR="0000054B" w:rsidRDefault="00000000">
      <w:pPr>
        <w:pStyle w:val="Heading2"/>
      </w:pPr>
      <w:r>
        <w:t>7.1 Conclusion</w:t>
      </w:r>
    </w:p>
    <w:p w14:paraId="62FC9378" w14:textId="77777777" w:rsidR="0000054B" w:rsidRDefault="00000000">
      <w:pPr>
        <w:jc w:val="both"/>
      </w:pPr>
      <w:r>
        <w:t>VocabARy is a proposed integrated vocabulary-learning prototype combining camera-based object detection with multilingual translation, transliteration, speech practice, and gesture-driven writing. Its potential value lies in connecting words to visible objects and offering multiple ways to practise them using common devices. The supplied draft reports promising technical measurements, but those figures need a transparent, repeatable evaluation protocol. The project's next priority is to validate the reported measurements and measure learning outcomes rather than make unsupported claims about retention.</w:t>
      </w:r>
    </w:p>
    <w:p w14:paraId="0EB25A68" w14:textId="77777777" w:rsidR="0000054B" w:rsidRDefault="00000000">
      <w:pPr>
        <w:pStyle w:val="Heading2"/>
      </w:pPr>
      <w:r>
        <w:lastRenderedPageBreak/>
        <w:t>7.2 Future work</w:t>
      </w:r>
    </w:p>
    <w:p w14:paraId="6B430C43" w14:textId="77777777" w:rsidR="0000054B" w:rsidRDefault="00000000">
      <w:pPr>
        <w:jc w:val="both"/>
      </w:pPr>
      <w:r>
        <w:t>Priorities include: (1) verify and expand the 30-paper literature survey; (2) publish a reproducible test protocol and raw aggregate results; (3) add confidence-aware translations and curated vocabulary; (4) improve gesture stroke smoothing and OCR preprocessing; (5) add accessible touch/mouse alternatives; (6) evaluate learning gains with a pre-test/post-test study; (7) investigate WebXR spatial anchoring if true AR is required; and (8) explore on-device speech recognition for privacy and offline use.</w:t>
      </w:r>
    </w:p>
    <w:p w14:paraId="063A674C" w14:textId="77777777" w:rsidR="0000054B" w:rsidRDefault="00000000">
      <w:pPr>
        <w:pStyle w:val="Heading1"/>
      </w:pPr>
      <w:r>
        <w:t>REFERENCES</w:t>
      </w:r>
    </w:p>
    <w:p w14:paraId="099972F4" w14:textId="77777777" w:rsidR="0000054B" w:rsidRDefault="00000000">
      <w:pPr>
        <w:spacing w:after="80"/>
        <w:ind w:left="288" w:hanging="288"/>
      </w:pPr>
      <w:r>
        <w:rPr>
          <w:sz w:val="18"/>
        </w:rPr>
        <w:t>[1] G. Jocher et al., “ultralytics/yolov5: v7.0 - YOLOv5 SOTA Real-Time Object Detection,” Zenodo, 2022, doi: 10.5281/zenodo.7347926.</w:t>
      </w:r>
    </w:p>
    <w:p w14:paraId="5EDBB1C9" w14:textId="77777777" w:rsidR="0000054B" w:rsidRDefault="00000000">
      <w:pPr>
        <w:spacing w:after="80"/>
        <w:ind w:left="288" w:hanging="288"/>
      </w:pPr>
      <w:r>
        <w:rPr>
          <w:sz w:val="18"/>
        </w:rPr>
        <w:t>[2] F. Lugaresi et al., “MediaPipe: A Framework for Building Perception Pipelines,” arXiv:1906.08172, 2019.</w:t>
      </w:r>
    </w:p>
    <w:p w14:paraId="2D40603C" w14:textId="77777777" w:rsidR="0000054B" w:rsidRDefault="00000000">
      <w:pPr>
        <w:spacing w:after="80"/>
        <w:ind w:left="288" w:hanging="288"/>
      </w:pPr>
      <w:r>
        <w:rPr>
          <w:sz w:val="18"/>
        </w:rPr>
        <w:t>[3] R. Smith, “An Overview of the Tesseract OCR Engine,” in Proc. Ninth Int. Conf. Document Analysis and Recognition (ICDAR), 2007, vol. 2, pp. 629–633.</w:t>
      </w:r>
    </w:p>
    <w:p w14:paraId="19B8AD13" w14:textId="77777777" w:rsidR="0000054B" w:rsidRDefault="00000000">
      <w:pPr>
        <w:spacing w:after="80"/>
        <w:ind w:left="288" w:hanging="288"/>
      </w:pPr>
      <w:r>
        <w:rPr>
          <w:sz w:val="18"/>
        </w:rPr>
        <w:t>[4] A. Paivio, “Dual coding theory: Retrospect and current status,” Canadian Journal of Psychology, vol. 45, no. 3, pp. 255–287, 1991.</w:t>
      </w:r>
    </w:p>
    <w:p w14:paraId="5CD46C1F" w14:textId="77777777" w:rsidR="0000054B" w:rsidRDefault="00000000">
      <w:pPr>
        <w:spacing w:after="80"/>
        <w:ind w:left="288" w:hanging="288"/>
      </w:pPr>
      <w:r>
        <w:rPr>
          <w:sz w:val="18"/>
        </w:rPr>
        <w:t>[5] P. Cipresso, I. A. C. Giglioli, M. A. Raya, and G. Riva, “The Past, Present, and Future of Virtual and Augmented Reality Research: A Network and Cluster Analysis of the Literature,” Frontiers in Psychology, vol. 9, p. 2086, 2018.</w:t>
      </w:r>
    </w:p>
    <w:p w14:paraId="5C44C045" w14:textId="77777777" w:rsidR="0000054B" w:rsidRDefault="00000000">
      <w:pPr>
        <w:spacing w:after="80"/>
        <w:ind w:left="288" w:hanging="288"/>
      </w:pPr>
      <w:r>
        <w:rPr>
          <w:sz w:val="18"/>
        </w:rPr>
        <w:t>[6] L. Ismail and R. Buyya, “Metaverse: A Vision, Architectural Elements, and Future Directions for Scalable and Realtime Virtual Worlds,” arXiv:2308.10559, 2023.</w:t>
      </w:r>
    </w:p>
    <w:p w14:paraId="5490FD31" w14:textId="77777777" w:rsidR="0000054B" w:rsidRDefault="00000000">
      <w:pPr>
        <w:spacing w:after="80"/>
        <w:ind w:left="288" w:hanging="288"/>
      </w:pPr>
      <w:r>
        <w:rPr>
          <w:sz w:val="18"/>
        </w:rPr>
        <w:t>[7] E. Bottani and G. Vignali, “Augmented Reality Technology in the Manufacturing Industry: A Review of the Last Decade,” IISE Transactions, vol. 51, no. 3, pp. 284–310, 2019.</w:t>
      </w:r>
    </w:p>
    <w:p w14:paraId="594E30BE" w14:textId="77777777" w:rsidR="0000054B" w:rsidRDefault="00000000">
      <w:pPr>
        <w:spacing w:after="80"/>
        <w:ind w:left="288" w:hanging="288"/>
      </w:pPr>
      <w:r>
        <w:rPr>
          <w:sz w:val="18"/>
        </w:rPr>
        <w:t>[8] P. Dhar et al., “Augmented Reality in Medical Education: Students’ Experiences and Learning Outcomes,” Medical Education Online, vol. 26, no. 1, p. 1953953, 2021.</w:t>
      </w:r>
    </w:p>
    <w:p w14:paraId="27B0D11A" w14:textId="77777777" w:rsidR="0000054B" w:rsidRDefault="00000000">
      <w:pPr>
        <w:spacing w:after="80"/>
        <w:ind w:left="288" w:hanging="288"/>
      </w:pPr>
      <w:r>
        <w:rPr>
          <w:sz w:val="18"/>
        </w:rPr>
        <w:t>[9] D. Buhalis, D. Leung, and M. Lin, “Metaverse as a Disruptive Technology Revolutionising Tourism Management and Marketing,” Tourism Management, vol. 97, p. 104724, 2023.</w:t>
      </w:r>
    </w:p>
    <w:p w14:paraId="45529163" w14:textId="77777777" w:rsidR="0000054B" w:rsidRDefault="00000000">
      <w:pPr>
        <w:spacing w:after="80"/>
        <w:ind w:left="288" w:hanging="288"/>
      </w:pPr>
      <w:r>
        <w:rPr>
          <w:sz w:val="18"/>
        </w:rPr>
        <w:t>[10] D. N. Nasser, “Augmented Reality in Education Learning and Training,” in Proc. JCCO Joint International Conference on ICT in Education and Training, 2018, pp. 1–7.</w:t>
      </w:r>
    </w:p>
    <w:p w14:paraId="0BA04C9F" w14:textId="77777777" w:rsidR="0000054B" w:rsidRDefault="00000000">
      <w:pPr>
        <w:spacing w:after="80"/>
        <w:ind w:left="288" w:hanging="288"/>
      </w:pPr>
      <w:r>
        <w:rPr>
          <w:sz w:val="18"/>
        </w:rPr>
        <w:t>[11] M. Idul and S. Syaiful, “Augmented Reality in the Classroom: Revolutionizing Vocabulary Teaching for High School Language Learners,” Journal of Educational Technology, vol. 8, no. 3, pp. 245–256, 2024. [VERIFY bibliographic record before submission.]</w:t>
      </w:r>
    </w:p>
    <w:p w14:paraId="1FA83872" w14:textId="77777777" w:rsidR="0000054B" w:rsidRDefault="00000000">
      <w:pPr>
        <w:spacing w:after="80"/>
        <w:ind w:left="288" w:hanging="288"/>
      </w:pPr>
      <w:r>
        <w:rPr>
          <w:sz w:val="18"/>
        </w:rPr>
        <w:t>[12] L.-O. Tran, J.-L. Chang, and H.-T. Hung, “Systematic review of AR in technology-enhanced language learning over 15 years,” Computers &amp; Education, vol. 195, p. 104712, 2024. [VERIFY title/year/volume details before submission.]</w:t>
      </w:r>
    </w:p>
    <w:p w14:paraId="138A283C" w14:textId="77777777" w:rsidR="0000054B" w:rsidRDefault="00000000">
      <w:pPr>
        <w:spacing w:after="80"/>
        <w:ind w:left="288" w:hanging="288"/>
      </w:pPr>
      <w:r>
        <w:rPr>
          <w:sz w:val="18"/>
        </w:rPr>
        <w:t>[13] J. T. Hustanto, P. Setyosari, and H. Praherdhiono, “Using Mobile Augmented Reality to Increase Student English Language Learning,” International Journal of Interactive Mobile Technologies, vol. 18, no. 15, pp. 78–92, 2024. [VERIFY bibliographic record before submission.]</w:t>
      </w:r>
    </w:p>
    <w:p w14:paraId="36364FD4" w14:textId="77777777" w:rsidR="0000054B" w:rsidRDefault="00000000">
      <w:pPr>
        <w:spacing w:after="80"/>
        <w:ind w:left="288" w:hanging="288"/>
      </w:pPr>
      <w:r>
        <w:rPr>
          <w:sz w:val="18"/>
        </w:rPr>
        <w:t>[14] R. Rintaningrum et al., “Utilize Augmented Reality Technology to Improve Listening Skills in Foreign Languages,” IEEE Access, vol. 12, pp. 102341–102352, 2024. [VERIFY bibliographic record before submission.]</w:t>
      </w:r>
    </w:p>
    <w:p w14:paraId="5CA13D2C" w14:textId="77777777" w:rsidR="0000054B" w:rsidRDefault="00000000">
      <w:pPr>
        <w:spacing w:after="80"/>
        <w:ind w:left="288" w:hanging="288"/>
      </w:pPr>
      <w:r>
        <w:rPr>
          <w:sz w:val="18"/>
        </w:rPr>
        <w:t>[15] K. Ravichandran et al., “Gamifying Language Learning: Applying Augmented Reality and Gamification Strategies,” Educational Information Technologies, vol. 29, pp. 8812–8829, 2024. [VERIFY bibliographic record before submission.]</w:t>
      </w:r>
    </w:p>
    <w:p w14:paraId="30B4B3ED" w14:textId="77777777" w:rsidR="0000054B" w:rsidRDefault="00000000">
      <w:pPr>
        <w:spacing w:after="80"/>
        <w:ind w:left="288" w:hanging="288"/>
      </w:pPr>
      <w:r>
        <w:rPr>
          <w:sz w:val="18"/>
        </w:rPr>
        <w:t>[16] N. S. Mohd Nabil et al., “Immersive language learning: evaluating augmented reality filter for ESL speaking fluency teaching,” Language Learning &amp; Technology, vol. 28, no. 2, pp. 45–62, 2024. [VERIFY bibliographic record before submission.]</w:t>
      </w:r>
    </w:p>
    <w:p w14:paraId="1F675701" w14:textId="77777777" w:rsidR="0000054B" w:rsidRDefault="00000000">
      <w:pPr>
        <w:spacing w:after="80"/>
        <w:ind w:left="288" w:hanging="288"/>
      </w:pPr>
      <w:r>
        <w:rPr>
          <w:sz w:val="18"/>
        </w:rPr>
        <w:t>[17] L. Bryant, B. Bailey, and B. Hemsley, “Developing and evaluating an immersive augmented reality application for children with developmental communication disability,” Disability and Rehabilitation: Assistive Technology, vol. 19, no. 6, pp. 2110–2122, 2024. [VERIFY bibliographic record before submission.]</w:t>
      </w:r>
    </w:p>
    <w:p w14:paraId="5A8174EA" w14:textId="77777777" w:rsidR="0000054B" w:rsidRDefault="00000000">
      <w:pPr>
        <w:spacing w:after="80"/>
        <w:ind w:left="288" w:hanging="288"/>
      </w:pPr>
      <w:r>
        <w:rPr>
          <w:sz w:val="18"/>
        </w:rPr>
        <w:t>[18] M. A. Amrulloh, “Implementation of augmented reality learning media in Arabic language courses,” Journal of Language and Linguistic Studies, vol. 20, no. 3, pp. 112–125, 2024. [VERIFY bibliographic record before submission.]</w:t>
      </w:r>
    </w:p>
    <w:p w14:paraId="336F0DA6" w14:textId="77777777" w:rsidR="0000054B" w:rsidRDefault="00000000">
      <w:pPr>
        <w:spacing w:after="80"/>
        <w:ind w:left="288" w:hanging="288"/>
      </w:pPr>
      <w:r>
        <w:rPr>
          <w:sz w:val="18"/>
        </w:rPr>
        <w:t>[19] S. Chenna, “Augmented Reality and AI: Enhancing Human-Computer Interaction in the Metaverse,” SSRN Electronic Journal, art. no. 4324629, 2023. [VERIFY bibliographic record before submission.]</w:t>
      </w:r>
    </w:p>
    <w:p w14:paraId="466B6E93" w14:textId="77777777" w:rsidR="0000054B" w:rsidRDefault="00000000">
      <w:pPr>
        <w:spacing w:after="80"/>
        <w:ind w:left="288" w:hanging="288"/>
      </w:pPr>
      <w:r>
        <w:rPr>
          <w:sz w:val="18"/>
        </w:rPr>
        <w:t>[20] A. Elsharkawy, K. Naheem, D. Koo, and M. S. Kim, “A UWB-Driven Self-Actuated Projector Platform for Interactive Augmented Reality Applications,” Applied Sciences, vol. 11, no. 6, p. 2871, 2021.</w:t>
      </w:r>
    </w:p>
    <w:p w14:paraId="227DCC01" w14:textId="77777777" w:rsidR="0000054B" w:rsidRDefault="00000000">
      <w:pPr>
        <w:pStyle w:val="Heading1"/>
      </w:pPr>
      <w:r>
        <w:lastRenderedPageBreak/>
        <w:t>FINAL SUBMISSION CHECKLIST</w:t>
      </w:r>
    </w:p>
    <w:p w14:paraId="4F080A98" w14:textId="77777777" w:rsidR="0000054B" w:rsidRDefault="00000000">
      <w:pPr>
        <w:pStyle w:val="ListBullet"/>
      </w:pPr>
      <w:r>
        <w:t>Verify every reference against the publisher or a scholarly index; several entries from the supplied draft are marked for verification.</w:t>
      </w:r>
    </w:p>
    <w:p w14:paraId="028B46F5" w14:textId="77777777" w:rsidR="0000054B" w:rsidRDefault="00000000">
      <w:pPr>
        <w:pStyle w:val="ListBullet"/>
      </w:pPr>
      <w:r>
        <w:t>Expand to 30 distinct, verified research papers as required by the faculty brief, with 15 assigned to each student and cited in the survey.</w:t>
      </w:r>
    </w:p>
    <w:p w14:paraId="342DE166" w14:textId="77777777" w:rsidR="0000054B" w:rsidRDefault="00000000">
      <w:pPr>
        <w:pStyle w:val="ListBullet"/>
      </w:pPr>
      <w:r>
        <w:t>Do not present prototype figures as independently verified unless you can provide test scripts, datasets, trial counts, and measurement details.</w:t>
      </w:r>
    </w:p>
    <w:p w14:paraId="5F2CC8F7" w14:textId="77777777" w:rsidR="0000054B" w:rsidRDefault="00000000">
      <w:pPr>
        <w:pStyle w:val="ListBullet"/>
      </w:pPr>
      <w:r>
        <w:t>Add screenshots from the working system and document the exact run command, dependency versions, browser, OS, CPU, RAM, and model source.</w:t>
      </w:r>
    </w:p>
    <w:p w14:paraId="5426A470" w14:textId="77777777" w:rsidR="0000054B" w:rsidRDefault="00000000">
      <w:pPr>
        <w:pStyle w:val="ListBullet"/>
      </w:pPr>
      <w:r>
        <w:t>Include the institution-approved plagiarism report and ensure similarity is below 10%; do not try to manipulate the score by hiding citations or paraphrasing mechanically.</w:t>
      </w:r>
    </w:p>
    <w:p w14:paraId="697F4E6D" w14:textId="77777777" w:rsidR="0000054B" w:rsidRDefault="00000000">
      <w:pPr>
        <w:pStyle w:val="ListBullet"/>
      </w:pPr>
      <w:r>
        <w:t>Confirm which modules actually work in the demo. Move incomplete features to 'planned/future work' instead of describing them as completed.</w:t>
      </w:r>
    </w:p>
    <w:sectPr w:rsidR="0000054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0761809">
    <w:abstractNumId w:val="8"/>
  </w:num>
  <w:num w:numId="2" w16cid:durableId="650064676">
    <w:abstractNumId w:val="6"/>
  </w:num>
  <w:num w:numId="3" w16cid:durableId="82149357">
    <w:abstractNumId w:val="5"/>
  </w:num>
  <w:num w:numId="4" w16cid:durableId="428047146">
    <w:abstractNumId w:val="4"/>
  </w:num>
  <w:num w:numId="5" w16cid:durableId="1724716594">
    <w:abstractNumId w:val="7"/>
  </w:num>
  <w:num w:numId="6" w16cid:durableId="1714111029">
    <w:abstractNumId w:val="3"/>
  </w:num>
  <w:num w:numId="7" w16cid:durableId="1815833512">
    <w:abstractNumId w:val="2"/>
  </w:num>
  <w:num w:numId="8" w16cid:durableId="1277635915">
    <w:abstractNumId w:val="1"/>
  </w:num>
  <w:num w:numId="9" w16cid:durableId="187488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4B"/>
    <w:rsid w:val="00034616"/>
    <w:rsid w:val="0006063C"/>
    <w:rsid w:val="0015074B"/>
    <w:rsid w:val="0029639D"/>
    <w:rsid w:val="00326F90"/>
    <w:rsid w:val="005E20D2"/>
    <w:rsid w:val="00AA1D8D"/>
    <w:rsid w:val="00B47730"/>
    <w:rsid w:val="00CB0664"/>
    <w:rsid w:val="00FB37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5D1BB"/>
  <w14:defaultImageDpi w14:val="300"/>
  <w15:docId w15:val="{20E35B29-6E9F-4780-A300-503597EA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3284</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Hasika MD</cp:lastModifiedBy>
  <cp:revision>2</cp:revision>
  <dcterms:created xsi:type="dcterms:W3CDTF">2013-12-23T23:15:00Z</dcterms:created>
  <dcterms:modified xsi:type="dcterms:W3CDTF">2026-10-25T16:01:00Z</dcterms:modified>
  <cp:category/>
</cp:coreProperties>
</file>