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58955" w14:textId="06CFCDE1" w:rsidR="00913958" w:rsidRDefault="008A19F0" w:rsidP="279880EA">
      <w:pPr>
        <w:pStyle w:val="Title"/>
        <w:spacing w:line="360" w:lineRule="auto"/>
      </w:pPr>
      <w:r w:rsidRPr="279880EA">
        <w:rPr>
          <w:lang w:val="en-GB" w:bidi="en-GB"/>
        </w:rPr>
        <w:t>[</w:t>
      </w:r>
      <w:r w:rsidR="441B756D" w:rsidRPr="279880EA">
        <w:rPr>
          <w:lang w:val="en-GB" w:bidi="en-GB"/>
        </w:rPr>
        <w:t>Analysis of Government Policy Options for the Australian Private Hospital Insurance Market</w:t>
      </w:r>
      <w:r w:rsidRPr="279880EA">
        <w:rPr>
          <w:lang w:val="en-GB" w:bidi="en-GB"/>
        </w:rPr>
        <w:t>]</w:t>
      </w:r>
    </w:p>
    <w:p w14:paraId="24B93ED6" w14:textId="4AD7B22B" w:rsidR="00913958" w:rsidRDefault="008A19F0" w:rsidP="279880EA">
      <w:pPr>
        <w:pStyle w:val="Title2"/>
        <w:spacing w:line="360" w:lineRule="auto"/>
        <w:rPr>
          <w:lang w:val="en-GB" w:bidi="en-GB"/>
        </w:rPr>
      </w:pPr>
      <w:r w:rsidRPr="279880EA">
        <w:rPr>
          <w:lang w:val="en-GB" w:bidi="en-GB"/>
        </w:rPr>
        <w:t>[</w:t>
      </w:r>
      <w:r w:rsidR="4E57769C" w:rsidRPr="279880EA">
        <w:rPr>
          <w:lang w:val="en-GB" w:bidi="en-GB"/>
        </w:rPr>
        <w:t>Hasim Rahman, Studio 1, Assessment-3</w:t>
      </w:r>
      <w:r w:rsidRPr="279880EA">
        <w:rPr>
          <w:lang w:val="en-GB" w:bidi="en-GB"/>
        </w:rPr>
        <w:t>]</w:t>
      </w:r>
    </w:p>
    <w:p w14:paraId="5B876450" w14:textId="0B25E776" w:rsidR="00913958" w:rsidRDefault="008A19F0" w:rsidP="279880EA">
      <w:pPr>
        <w:pStyle w:val="Title2"/>
        <w:spacing w:line="360" w:lineRule="auto"/>
        <w:rPr>
          <w:lang w:val="en-GB" w:bidi="en-GB"/>
        </w:rPr>
      </w:pPr>
      <w:r w:rsidRPr="279880EA">
        <w:rPr>
          <w:lang w:val="en-GB" w:bidi="en-GB"/>
        </w:rPr>
        <w:t>[</w:t>
      </w:r>
      <w:r w:rsidR="2DA9E935" w:rsidRPr="279880EA">
        <w:rPr>
          <w:lang w:val="en-GB" w:bidi="en-GB"/>
        </w:rPr>
        <w:t>University of Technology Sydney</w:t>
      </w:r>
      <w:r w:rsidRPr="279880EA">
        <w:rPr>
          <w:lang w:val="en-GB" w:bidi="en-GB"/>
        </w:rPr>
        <w:t>]</w:t>
      </w:r>
    </w:p>
    <w:p w14:paraId="2DD00630" w14:textId="463FDEA3" w:rsidR="00913958" w:rsidRDefault="00913958" w:rsidP="279880EA">
      <w:pPr>
        <w:pStyle w:val="TableFigure"/>
        <w:spacing w:line="360" w:lineRule="auto"/>
        <w:rPr>
          <w:rStyle w:val="Emphasis"/>
          <w:lang w:val="en-GB" w:bidi="en-GB"/>
        </w:rPr>
      </w:pPr>
    </w:p>
    <w:p w14:paraId="2FA6B4CF" w14:textId="1929F7BB" w:rsidR="279880EA" w:rsidRDefault="279880EA" w:rsidP="279880EA">
      <w:pPr>
        <w:pStyle w:val="TableFigure"/>
        <w:spacing w:line="360" w:lineRule="auto"/>
        <w:rPr>
          <w:rStyle w:val="Emphasis"/>
          <w:lang w:val="en-GB" w:bidi="en-GB"/>
        </w:rPr>
      </w:pPr>
    </w:p>
    <w:p w14:paraId="6053DC67" w14:textId="4C47D56D" w:rsidR="279880EA" w:rsidRDefault="279880EA" w:rsidP="279880EA">
      <w:pPr>
        <w:pStyle w:val="TableFigure"/>
        <w:spacing w:line="360" w:lineRule="auto"/>
        <w:rPr>
          <w:rStyle w:val="Emphasis"/>
          <w:lang w:val="en-GB" w:bidi="en-GB"/>
        </w:rPr>
      </w:pPr>
    </w:p>
    <w:p w14:paraId="598B93B1" w14:textId="0E3BD900" w:rsidR="279880EA" w:rsidRDefault="279880EA" w:rsidP="279880EA">
      <w:pPr>
        <w:pStyle w:val="TableFigure"/>
        <w:spacing w:line="360" w:lineRule="auto"/>
        <w:rPr>
          <w:rStyle w:val="Emphasis"/>
          <w:lang w:val="en-GB" w:bidi="en-GB"/>
        </w:rPr>
      </w:pPr>
    </w:p>
    <w:p w14:paraId="0CF9371D" w14:textId="49826289" w:rsidR="279880EA" w:rsidRDefault="279880EA" w:rsidP="279880EA">
      <w:pPr>
        <w:pStyle w:val="TableFigure"/>
        <w:spacing w:line="360" w:lineRule="auto"/>
        <w:rPr>
          <w:rStyle w:val="Emphasis"/>
          <w:lang w:val="en-GB" w:bidi="en-GB"/>
        </w:rPr>
      </w:pPr>
    </w:p>
    <w:p w14:paraId="286B8CC9" w14:textId="71F4B21A" w:rsidR="279880EA" w:rsidRDefault="279880EA" w:rsidP="279880EA">
      <w:pPr>
        <w:pStyle w:val="TableFigure"/>
        <w:spacing w:line="360" w:lineRule="auto"/>
        <w:rPr>
          <w:rStyle w:val="Emphasis"/>
          <w:lang w:val="en-GB" w:bidi="en-GB"/>
        </w:rPr>
      </w:pPr>
    </w:p>
    <w:p w14:paraId="525DD9E7" w14:textId="1FC08933" w:rsidR="279880EA" w:rsidRDefault="279880EA" w:rsidP="279880EA">
      <w:pPr>
        <w:pStyle w:val="TableFigure"/>
        <w:spacing w:line="360" w:lineRule="auto"/>
        <w:rPr>
          <w:rStyle w:val="Emphasis"/>
          <w:lang w:val="en-GB" w:bidi="en-GB"/>
        </w:rPr>
      </w:pPr>
    </w:p>
    <w:p w14:paraId="1460932D" w14:textId="74CFC01A" w:rsidR="279880EA" w:rsidRDefault="279880EA" w:rsidP="279880EA">
      <w:pPr>
        <w:pStyle w:val="TableFigure"/>
        <w:spacing w:line="360" w:lineRule="auto"/>
        <w:rPr>
          <w:rStyle w:val="Emphasis"/>
          <w:lang w:val="en-GB" w:bidi="en-GB"/>
        </w:rPr>
      </w:pPr>
    </w:p>
    <w:p w14:paraId="4BF87AE2" w14:textId="2247BDCC" w:rsidR="279880EA" w:rsidRDefault="279880EA" w:rsidP="279880EA">
      <w:pPr>
        <w:pStyle w:val="TableFigure"/>
        <w:spacing w:line="360" w:lineRule="auto"/>
        <w:rPr>
          <w:rStyle w:val="Emphasis"/>
          <w:lang w:val="en-GB" w:bidi="en-GB"/>
        </w:rPr>
      </w:pPr>
    </w:p>
    <w:p w14:paraId="62EB3373" w14:textId="526C3E16" w:rsidR="279880EA" w:rsidRDefault="279880EA" w:rsidP="279880EA">
      <w:pPr>
        <w:pStyle w:val="TableFigure"/>
        <w:spacing w:line="360" w:lineRule="auto"/>
        <w:rPr>
          <w:rStyle w:val="Emphasis"/>
          <w:lang w:val="en-GB" w:bidi="en-GB"/>
        </w:rPr>
      </w:pPr>
    </w:p>
    <w:p w14:paraId="16B3EAA1" w14:textId="59DA2CDD" w:rsidR="279880EA" w:rsidRDefault="279880EA" w:rsidP="279880EA">
      <w:pPr>
        <w:pStyle w:val="TableFigure"/>
        <w:spacing w:line="360" w:lineRule="auto"/>
        <w:rPr>
          <w:rStyle w:val="Emphasis"/>
          <w:lang w:val="en-GB" w:bidi="en-GB"/>
        </w:rPr>
      </w:pPr>
    </w:p>
    <w:p w14:paraId="042DA174" w14:textId="49CC3DE2" w:rsidR="279880EA" w:rsidRDefault="279880EA" w:rsidP="279880EA">
      <w:pPr>
        <w:pStyle w:val="TableFigure"/>
        <w:spacing w:line="360" w:lineRule="auto"/>
        <w:rPr>
          <w:rStyle w:val="Emphasis"/>
          <w:lang w:val="en-GB" w:bidi="en-GB"/>
        </w:rPr>
      </w:pPr>
    </w:p>
    <w:p w14:paraId="6EC288F2" w14:textId="1940B75E" w:rsidR="279880EA" w:rsidRDefault="279880EA" w:rsidP="279880EA">
      <w:pPr>
        <w:pStyle w:val="TableFigure"/>
        <w:spacing w:line="360" w:lineRule="auto"/>
        <w:rPr>
          <w:rStyle w:val="Emphasis"/>
          <w:lang w:val="en-GB" w:bidi="en-GB"/>
        </w:rPr>
      </w:pPr>
    </w:p>
    <w:p w14:paraId="6C8EF94A" w14:textId="282AB938" w:rsidR="279880EA" w:rsidRDefault="279880EA" w:rsidP="279880EA">
      <w:pPr>
        <w:pStyle w:val="TableFigure"/>
        <w:spacing w:line="360" w:lineRule="auto"/>
        <w:rPr>
          <w:rStyle w:val="Emphasis"/>
          <w:lang w:val="en-GB" w:bidi="en-GB"/>
        </w:rPr>
      </w:pPr>
    </w:p>
    <w:p w14:paraId="48F78E10" w14:textId="122532EC" w:rsidR="279880EA" w:rsidRDefault="279880EA" w:rsidP="279880EA">
      <w:pPr>
        <w:pStyle w:val="TableFigure"/>
        <w:spacing w:line="360" w:lineRule="auto"/>
        <w:rPr>
          <w:rStyle w:val="Emphasis"/>
          <w:lang w:val="en-GB" w:bidi="en-GB"/>
        </w:rPr>
      </w:pPr>
    </w:p>
    <w:p w14:paraId="0A564B7C" w14:textId="4607280C" w:rsidR="279880EA" w:rsidRDefault="279880EA" w:rsidP="279880EA">
      <w:pPr>
        <w:pStyle w:val="TableFigure"/>
        <w:spacing w:line="360" w:lineRule="auto"/>
        <w:rPr>
          <w:rStyle w:val="Emphasis"/>
          <w:lang w:val="en-GB" w:bidi="en-GB"/>
        </w:rPr>
      </w:pPr>
    </w:p>
    <w:p w14:paraId="1958C36E" w14:textId="7B90EA61" w:rsidR="279880EA" w:rsidRDefault="279880EA" w:rsidP="279880EA">
      <w:pPr>
        <w:pStyle w:val="TableFigure"/>
        <w:spacing w:line="360" w:lineRule="auto"/>
        <w:rPr>
          <w:rStyle w:val="Emphasis"/>
          <w:lang w:val="en-GB" w:bidi="en-GB"/>
        </w:rPr>
      </w:pPr>
    </w:p>
    <w:p w14:paraId="5F384463" w14:textId="352DF43A" w:rsidR="279880EA" w:rsidRDefault="279880EA" w:rsidP="279880EA">
      <w:pPr>
        <w:pStyle w:val="TableFigure"/>
        <w:spacing w:line="360" w:lineRule="auto"/>
        <w:rPr>
          <w:rStyle w:val="Emphasis"/>
          <w:lang w:val="en-GB" w:bidi="en-GB"/>
        </w:rPr>
      </w:pPr>
    </w:p>
    <w:p w14:paraId="04D42845" w14:textId="710DE854" w:rsidR="279880EA" w:rsidRDefault="279880EA" w:rsidP="279880EA">
      <w:pPr>
        <w:pStyle w:val="TableFigure"/>
        <w:spacing w:line="360" w:lineRule="auto"/>
        <w:rPr>
          <w:rStyle w:val="Emphasis"/>
          <w:lang w:val="en-GB" w:bidi="en-GB"/>
        </w:rPr>
      </w:pPr>
    </w:p>
    <w:p w14:paraId="58B19A82" w14:textId="5A43C1A0" w:rsidR="279880EA" w:rsidRDefault="279880EA" w:rsidP="279880EA">
      <w:pPr>
        <w:pStyle w:val="TableFigure"/>
        <w:spacing w:line="360" w:lineRule="auto"/>
        <w:rPr>
          <w:rStyle w:val="Emphasis"/>
          <w:lang w:val="en-GB" w:bidi="en-GB"/>
        </w:rPr>
      </w:pPr>
    </w:p>
    <w:p w14:paraId="1B19CF30" w14:textId="60517C02" w:rsidR="279880EA" w:rsidRDefault="279880EA" w:rsidP="279880EA">
      <w:pPr>
        <w:pStyle w:val="TableFigure"/>
        <w:spacing w:line="360" w:lineRule="auto"/>
        <w:rPr>
          <w:rStyle w:val="Emphasis"/>
          <w:lang w:val="en-GB" w:bidi="en-GB"/>
        </w:rPr>
      </w:pPr>
    </w:p>
    <w:p w14:paraId="2106614C" w14:textId="0484A556" w:rsidR="279880EA" w:rsidRDefault="279880EA" w:rsidP="279880EA">
      <w:pPr>
        <w:pStyle w:val="TableFigure"/>
        <w:spacing w:line="360" w:lineRule="auto"/>
        <w:rPr>
          <w:rStyle w:val="Emphasis"/>
          <w:lang w:val="en-GB" w:bidi="en-GB"/>
        </w:rPr>
      </w:pPr>
    </w:p>
    <w:p w14:paraId="492CF6D0" w14:textId="77777777" w:rsidR="00E23901" w:rsidRDefault="00E23901" w:rsidP="279880EA">
      <w:pPr>
        <w:pStyle w:val="TableFigure"/>
        <w:spacing w:line="360" w:lineRule="auto"/>
        <w:rPr>
          <w:rStyle w:val="Emphasis"/>
          <w:b/>
          <w:bCs/>
          <w:u w:val="single"/>
          <w:lang w:val="en-GB" w:bidi="en-GB"/>
        </w:rPr>
      </w:pPr>
    </w:p>
    <w:p w14:paraId="312D5080" w14:textId="0482CE29" w:rsidR="6072C9B2" w:rsidRDefault="6072C9B2" w:rsidP="279880EA">
      <w:pPr>
        <w:pStyle w:val="TableFigure"/>
        <w:spacing w:line="360" w:lineRule="auto"/>
        <w:rPr>
          <w:rStyle w:val="Emphasis"/>
          <w:b/>
          <w:bCs/>
          <w:u w:val="single"/>
          <w:lang w:val="en-GB" w:bidi="en-GB"/>
        </w:rPr>
      </w:pPr>
      <w:r w:rsidRPr="279880EA">
        <w:rPr>
          <w:rStyle w:val="Emphasis"/>
          <w:b/>
          <w:bCs/>
          <w:u w:val="single"/>
          <w:lang w:val="en-GB" w:bidi="en-GB"/>
        </w:rPr>
        <w:lastRenderedPageBreak/>
        <w:t>Table of Contents</w:t>
      </w:r>
    </w:p>
    <w:p w14:paraId="24489878" w14:textId="71A91D5E" w:rsidR="6072C9B2" w:rsidRDefault="6072C9B2" w:rsidP="279880EA">
      <w:pPr>
        <w:pStyle w:val="TableFigure"/>
        <w:spacing w:line="360" w:lineRule="auto"/>
      </w:pPr>
      <w:r w:rsidRPr="279880EA">
        <w:rPr>
          <w:rStyle w:val="Emphasis"/>
          <w:lang w:val="en-GB" w:bidi="en-GB"/>
        </w:rPr>
        <w:t>Introduction</w:t>
      </w:r>
    </w:p>
    <w:p w14:paraId="6A499BB3" w14:textId="182BC83F" w:rsidR="6072C9B2" w:rsidRDefault="6072C9B2" w:rsidP="279880EA">
      <w:pPr>
        <w:pStyle w:val="TableFigure"/>
        <w:spacing w:line="360" w:lineRule="auto"/>
      </w:pPr>
      <w:r w:rsidRPr="279880EA">
        <w:rPr>
          <w:rStyle w:val="Emphasis"/>
          <w:lang w:val="en-GB" w:bidi="en-GB"/>
        </w:rPr>
        <w:t>1.1 Background</w:t>
      </w:r>
    </w:p>
    <w:p w14:paraId="1D3C6E3A" w14:textId="20810BA2" w:rsidR="6072C9B2" w:rsidRDefault="6072C9B2" w:rsidP="279880EA">
      <w:pPr>
        <w:pStyle w:val="TableFigure"/>
        <w:spacing w:line="360" w:lineRule="auto"/>
      </w:pPr>
      <w:r w:rsidRPr="279880EA">
        <w:rPr>
          <w:rStyle w:val="Emphasis"/>
          <w:lang w:val="en-GB" w:bidi="en-GB"/>
        </w:rPr>
        <w:t>1.2 Problem Statement</w:t>
      </w:r>
    </w:p>
    <w:p w14:paraId="25C3908D" w14:textId="27D51910" w:rsidR="6072C9B2" w:rsidRDefault="6072C9B2" w:rsidP="279880EA">
      <w:pPr>
        <w:pStyle w:val="TableFigure"/>
        <w:spacing w:line="360" w:lineRule="auto"/>
        <w:rPr>
          <w:rStyle w:val="Emphasis"/>
          <w:lang w:val="en-GB" w:bidi="en-GB"/>
        </w:rPr>
      </w:pPr>
      <w:r w:rsidRPr="279880EA">
        <w:rPr>
          <w:rStyle w:val="Emphasis"/>
          <w:lang w:val="en-GB" w:bidi="en-GB"/>
        </w:rPr>
        <w:t>1.3 Objectives</w:t>
      </w:r>
    </w:p>
    <w:p w14:paraId="5D056426" w14:textId="77777777" w:rsidR="00E23901" w:rsidRDefault="00E23901" w:rsidP="279880EA">
      <w:pPr>
        <w:pStyle w:val="TableFigure"/>
        <w:spacing w:line="360" w:lineRule="auto"/>
      </w:pPr>
    </w:p>
    <w:p w14:paraId="2E0E248C" w14:textId="3598FE27" w:rsidR="6072C9B2" w:rsidRDefault="6072C9B2" w:rsidP="279880EA">
      <w:pPr>
        <w:pStyle w:val="TableFigure"/>
        <w:spacing w:line="360" w:lineRule="auto"/>
      </w:pPr>
      <w:r w:rsidRPr="279880EA">
        <w:rPr>
          <w:rStyle w:val="Emphasis"/>
          <w:lang w:val="en-GB" w:bidi="en-GB"/>
        </w:rPr>
        <w:t>Investigation of Claim</w:t>
      </w:r>
    </w:p>
    <w:p w14:paraId="4AAA3C70" w14:textId="4679017B" w:rsidR="6072C9B2" w:rsidRDefault="6072C9B2" w:rsidP="279880EA">
      <w:pPr>
        <w:pStyle w:val="TableFigure"/>
        <w:spacing w:line="360" w:lineRule="auto"/>
      </w:pPr>
      <w:r w:rsidRPr="279880EA">
        <w:rPr>
          <w:rStyle w:val="Emphasis"/>
          <w:lang w:val="en-GB" w:bidi="en-GB"/>
        </w:rPr>
        <w:t>2.1 Overview of the Private Health Insurance Market</w:t>
      </w:r>
    </w:p>
    <w:p w14:paraId="6DDA5B67" w14:textId="3F2B24C7" w:rsidR="6072C9B2" w:rsidRDefault="6072C9B2" w:rsidP="279880EA">
      <w:pPr>
        <w:pStyle w:val="TableFigure"/>
        <w:spacing w:line="360" w:lineRule="auto"/>
      </w:pPr>
      <w:r w:rsidRPr="279880EA">
        <w:rPr>
          <w:rStyle w:val="Emphasis"/>
          <w:lang w:val="en-GB" w:bidi="en-GB"/>
        </w:rPr>
        <w:t>2.2 Examination of Declining Membership</w:t>
      </w:r>
    </w:p>
    <w:p w14:paraId="5BB653E2" w14:textId="31BE3D4B" w:rsidR="6072C9B2" w:rsidRDefault="6072C9B2" w:rsidP="279880EA">
      <w:pPr>
        <w:pStyle w:val="TableFigure"/>
        <w:spacing w:line="360" w:lineRule="auto"/>
        <w:rPr>
          <w:rStyle w:val="Emphasis"/>
          <w:lang w:val="en-GB" w:bidi="en-GB"/>
        </w:rPr>
      </w:pPr>
      <w:r w:rsidRPr="279880EA">
        <w:rPr>
          <w:rStyle w:val="Emphasis"/>
          <w:lang w:val="en-GB" w:bidi="en-GB"/>
        </w:rPr>
        <w:t>2.</w:t>
      </w:r>
      <w:r w:rsidR="15FAE2E3" w:rsidRPr="279880EA">
        <w:rPr>
          <w:rStyle w:val="Emphasis"/>
          <w:lang w:val="en-GB" w:bidi="en-GB"/>
        </w:rPr>
        <w:t>3</w:t>
      </w:r>
      <w:r w:rsidRPr="279880EA">
        <w:rPr>
          <w:rStyle w:val="Emphasis"/>
          <w:lang w:val="en-GB" w:bidi="en-GB"/>
        </w:rPr>
        <w:t xml:space="preserve"> Relevant Statistics and Research Reports</w:t>
      </w:r>
    </w:p>
    <w:p w14:paraId="32DFF6CC" w14:textId="77777777" w:rsidR="00E23901" w:rsidRDefault="00E23901" w:rsidP="279880EA">
      <w:pPr>
        <w:pStyle w:val="TableFigure"/>
        <w:spacing w:line="360" w:lineRule="auto"/>
      </w:pPr>
    </w:p>
    <w:p w14:paraId="30DDF267" w14:textId="416D3B26" w:rsidR="6072C9B2" w:rsidRDefault="6072C9B2" w:rsidP="279880EA">
      <w:pPr>
        <w:pStyle w:val="TableFigure"/>
        <w:spacing w:line="360" w:lineRule="auto"/>
      </w:pPr>
      <w:r w:rsidRPr="279880EA">
        <w:rPr>
          <w:rStyle w:val="Emphasis"/>
          <w:lang w:val="en-GB" w:bidi="en-GB"/>
        </w:rPr>
        <w:t>Analysis of Response 1: Subsidy to Insurers</w:t>
      </w:r>
    </w:p>
    <w:p w14:paraId="7DF4EC0C" w14:textId="6E55F1FF" w:rsidR="6072C9B2" w:rsidRDefault="6072C9B2" w:rsidP="279880EA">
      <w:pPr>
        <w:pStyle w:val="TableFigure"/>
        <w:spacing w:line="360" w:lineRule="auto"/>
      </w:pPr>
      <w:r w:rsidRPr="279880EA">
        <w:rPr>
          <w:rStyle w:val="Emphasis"/>
          <w:lang w:val="en-GB" w:bidi="en-GB"/>
        </w:rPr>
        <w:t>3.1 Policy Context and Rationale</w:t>
      </w:r>
    </w:p>
    <w:p w14:paraId="0B6F5583" w14:textId="4A019CA5" w:rsidR="6072C9B2" w:rsidRDefault="6072C9B2" w:rsidP="279880EA">
      <w:pPr>
        <w:pStyle w:val="TableFigure"/>
        <w:spacing w:line="360" w:lineRule="auto"/>
      </w:pPr>
      <w:r w:rsidRPr="279880EA">
        <w:rPr>
          <w:rStyle w:val="Emphasis"/>
          <w:lang w:val="en-GB" w:bidi="en-GB"/>
        </w:rPr>
        <w:t>3.</w:t>
      </w:r>
      <w:r w:rsidR="4A5FFB86" w:rsidRPr="279880EA">
        <w:rPr>
          <w:rStyle w:val="Emphasis"/>
          <w:lang w:val="en-GB" w:bidi="en-GB"/>
        </w:rPr>
        <w:t>2</w:t>
      </w:r>
      <w:r w:rsidRPr="279880EA">
        <w:rPr>
          <w:rStyle w:val="Emphasis"/>
          <w:lang w:val="en-GB" w:bidi="en-GB"/>
        </w:rPr>
        <w:t xml:space="preserve"> Impact on Market Equilibrium</w:t>
      </w:r>
    </w:p>
    <w:p w14:paraId="56B7B2D5" w14:textId="23B73B3F" w:rsidR="6072C9B2" w:rsidRDefault="6072C9B2" w:rsidP="279880EA">
      <w:pPr>
        <w:pStyle w:val="TableFigure"/>
        <w:spacing w:line="360" w:lineRule="auto"/>
      </w:pPr>
      <w:r w:rsidRPr="279880EA">
        <w:rPr>
          <w:rStyle w:val="Emphasis"/>
          <w:lang w:val="en-GB" w:bidi="en-GB"/>
        </w:rPr>
        <w:t>3.</w:t>
      </w:r>
      <w:r w:rsidR="782949BC" w:rsidRPr="279880EA">
        <w:rPr>
          <w:rStyle w:val="Emphasis"/>
          <w:lang w:val="en-GB" w:bidi="en-GB"/>
        </w:rPr>
        <w:t>3</w:t>
      </w:r>
      <w:r w:rsidRPr="279880EA">
        <w:rPr>
          <w:rStyle w:val="Emphasis"/>
          <w:lang w:val="en-GB" w:bidi="en-GB"/>
        </w:rPr>
        <w:t xml:space="preserve"> Potential Effects on Related Markets</w:t>
      </w:r>
    </w:p>
    <w:p w14:paraId="37691CEC" w14:textId="06B3ED7E" w:rsidR="6072C9B2" w:rsidRDefault="6072C9B2" w:rsidP="279880EA">
      <w:pPr>
        <w:pStyle w:val="TableFigure"/>
        <w:spacing w:line="360" w:lineRule="auto"/>
      </w:pPr>
      <w:r w:rsidRPr="279880EA">
        <w:rPr>
          <w:rStyle w:val="Emphasis"/>
          <w:lang w:val="en-GB" w:bidi="en-GB"/>
        </w:rPr>
        <w:t>3.</w:t>
      </w:r>
      <w:r w:rsidR="27793A46" w:rsidRPr="279880EA">
        <w:rPr>
          <w:rStyle w:val="Emphasis"/>
          <w:lang w:val="en-GB" w:bidi="en-GB"/>
        </w:rPr>
        <w:t>4</w:t>
      </w:r>
      <w:r w:rsidRPr="279880EA">
        <w:rPr>
          <w:rStyle w:val="Emphasis"/>
          <w:lang w:val="en-GB" w:bidi="en-GB"/>
        </w:rPr>
        <w:t xml:space="preserve"> Winners and Losers</w:t>
      </w:r>
    </w:p>
    <w:p w14:paraId="44B14628" w14:textId="4D4C6E57" w:rsidR="6072C9B2" w:rsidRDefault="6072C9B2" w:rsidP="279880EA">
      <w:pPr>
        <w:pStyle w:val="TableFigure"/>
        <w:spacing w:line="360" w:lineRule="auto"/>
        <w:rPr>
          <w:rStyle w:val="Emphasis"/>
          <w:lang w:val="en-GB" w:bidi="en-GB"/>
        </w:rPr>
      </w:pPr>
      <w:r w:rsidRPr="279880EA">
        <w:rPr>
          <w:rStyle w:val="Emphasis"/>
          <w:lang w:val="en-GB" w:bidi="en-GB"/>
        </w:rPr>
        <w:t>3.</w:t>
      </w:r>
      <w:r w:rsidR="52F3F5D3" w:rsidRPr="279880EA">
        <w:rPr>
          <w:rStyle w:val="Emphasis"/>
          <w:lang w:val="en-GB" w:bidi="en-GB"/>
        </w:rPr>
        <w:t>5</w:t>
      </w:r>
      <w:r w:rsidRPr="279880EA">
        <w:rPr>
          <w:rStyle w:val="Emphasis"/>
          <w:lang w:val="en-GB" w:bidi="en-GB"/>
        </w:rPr>
        <w:t xml:space="preserve"> Limitations</w:t>
      </w:r>
    </w:p>
    <w:p w14:paraId="550BC6A7" w14:textId="77777777" w:rsidR="00E23901" w:rsidRDefault="00E23901" w:rsidP="279880EA">
      <w:pPr>
        <w:pStyle w:val="TableFigure"/>
        <w:spacing w:line="360" w:lineRule="auto"/>
      </w:pPr>
    </w:p>
    <w:p w14:paraId="66AA0D76" w14:textId="24050DC8" w:rsidR="6072C9B2" w:rsidRDefault="6072C9B2" w:rsidP="279880EA">
      <w:pPr>
        <w:pStyle w:val="TableFigure"/>
        <w:spacing w:line="360" w:lineRule="auto"/>
      </w:pPr>
      <w:r w:rsidRPr="279880EA">
        <w:rPr>
          <w:rStyle w:val="Emphasis"/>
          <w:lang w:val="en-GB" w:bidi="en-GB"/>
        </w:rPr>
        <w:t>Analysis of Response 2: Lowering the Medicare Levy Surcharge Threshold</w:t>
      </w:r>
    </w:p>
    <w:p w14:paraId="1DF439CD" w14:textId="301B26BC" w:rsidR="6072C9B2" w:rsidRDefault="6072C9B2" w:rsidP="279880EA">
      <w:pPr>
        <w:pStyle w:val="TableFigure"/>
        <w:spacing w:line="360" w:lineRule="auto"/>
      </w:pPr>
      <w:r w:rsidRPr="279880EA">
        <w:rPr>
          <w:rStyle w:val="Emphasis"/>
          <w:lang w:val="en-GB" w:bidi="en-GB"/>
        </w:rPr>
        <w:t>4.1 Policy Context and Rationale</w:t>
      </w:r>
    </w:p>
    <w:p w14:paraId="08CA8124" w14:textId="50EC0493" w:rsidR="6072C9B2" w:rsidRDefault="6072C9B2" w:rsidP="279880EA">
      <w:pPr>
        <w:pStyle w:val="TableFigure"/>
        <w:spacing w:line="360" w:lineRule="auto"/>
      </w:pPr>
      <w:r w:rsidRPr="279880EA">
        <w:rPr>
          <w:rStyle w:val="Emphasis"/>
          <w:lang w:val="en-GB" w:bidi="en-GB"/>
        </w:rPr>
        <w:t>4.</w:t>
      </w:r>
      <w:r w:rsidR="561242E5" w:rsidRPr="279880EA">
        <w:rPr>
          <w:rStyle w:val="Emphasis"/>
          <w:lang w:val="en-GB" w:bidi="en-GB"/>
        </w:rPr>
        <w:t>2</w:t>
      </w:r>
      <w:r w:rsidRPr="279880EA">
        <w:rPr>
          <w:rStyle w:val="Emphasis"/>
          <w:lang w:val="en-GB" w:bidi="en-GB"/>
        </w:rPr>
        <w:t xml:space="preserve"> Impact on Market Equilibrium</w:t>
      </w:r>
    </w:p>
    <w:p w14:paraId="0DA38997" w14:textId="1438FD85" w:rsidR="6072C9B2" w:rsidRDefault="6072C9B2" w:rsidP="279880EA">
      <w:pPr>
        <w:pStyle w:val="TableFigure"/>
        <w:spacing w:line="360" w:lineRule="auto"/>
        <w:rPr>
          <w:rStyle w:val="Emphasis"/>
          <w:lang w:val="en-GB" w:bidi="en-GB"/>
        </w:rPr>
      </w:pPr>
      <w:r w:rsidRPr="279880EA">
        <w:rPr>
          <w:rStyle w:val="Emphasis"/>
          <w:lang w:val="en-GB" w:bidi="en-GB"/>
        </w:rPr>
        <w:t>4.</w:t>
      </w:r>
      <w:r w:rsidR="627C6BCF" w:rsidRPr="279880EA">
        <w:rPr>
          <w:rStyle w:val="Emphasis"/>
          <w:lang w:val="en-GB" w:bidi="en-GB"/>
        </w:rPr>
        <w:t>3</w:t>
      </w:r>
      <w:r w:rsidRPr="279880EA">
        <w:rPr>
          <w:rStyle w:val="Emphasis"/>
          <w:lang w:val="en-GB" w:bidi="en-GB"/>
        </w:rPr>
        <w:t xml:space="preserve"> Incentive Effects on Health Insurance </w:t>
      </w:r>
      <w:r w:rsidR="77568393" w:rsidRPr="279880EA">
        <w:rPr>
          <w:rStyle w:val="Emphasis"/>
          <w:lang w:val="en-GB" w:bidi="en-GB"/>
        </w:rPr>
        <w:t>Enrolment</w:t>
      </w:r>
    </w:p>
    <w:p w14:paraId="71C98455" w14:textId="49E37A06" w:rsidR="6072C9B2" w:rsidRDefault="6072C9B2" w:rsidP="279880EA">
      <w:pPr>
        <w:pStyle w:val="TableFigure"/>
        <w:spacing w:line="360" w:lineRule="auto"/>
      </w:pPr>
      <w:r w:rsidRPr="279880EA">
        <w:rPr>
          <w:rStyle w:val="Emphasis"/>
          <w:lang w:val="en-GB" w:bidi="en-GB"/>
        </w:rPr>
        <w:t>4.</w:t>
      </w:r>
      <w:r w:rsidR="071A853C" w:rsidRPr="279880EA">
        <w:rPr>
          <w:rStyle w:val="Emphasis"/>
          <w:lang w:val="en-GB" w:bidi="en-GB"/>
        </w:rPr>
        <w:t>4</w:t>
      </w:r>
      <w:r w:rsidRPr="279880EA">
        <w:rPr>
          <w:rStyle w:val="Emphasis"/>
          <w:lang w:val="en-GB" w:bidi="en-GB"/>
        </w:rPr>
        <w:t xml:space="preserve"> Winners and Losers</w:t>
      </w:r>
    </w:p>
    <w:p w14:paraId="544AEF69" w14:textId="448D6F65" w:rsidR="6072C9B2" w:rsidRDefault="6072C9B2" w:rsidP="279880EA">
      <w:pPr>
        <w:pStyle w:val="TableFigure"/>
        <w:spacing w:line="360" w:lineRule="auto"/>
        <w:rPr>
          <w:rStyle w:val="Emphasis"/>
          <w:lang w:val="en-GB" w:bidi="en-GB"/>
        </w:rPr>
      </w:pPr>
      <w:r w:rsidRPr="279880EA">
        <w:rPr>
          <w:rStyle w:val="Emphasis"/>
          <w:lang w:val="en-GB" w:bidi="en-GB"/>
        </w:rPr>
        <w:t>4.</w:t>
      </w:r>
      <w:r w:rsidR="130FCD34" w:rsidRPr="279880EA">
        <w:rPr>
          <w:rStyle w:val="Emphasis"/>
          <w:lang w:val="en-GB" w:bidi="en-GB"/>
        </w:rPr>
        <w:t>5</w:t>
      </w:r>
      <w:r w:rsidRPr="279880EA">
        <w:rPr>
          <w:rStyle w:val="Emphasis"/>
          <w:lang w:val="en-GB" w:bidi="en-GB"/>
        </w:rPr>
        <w:t xml:space="preserve"> Limitation</w:t>
      </w:r>
      <w:r w:rsidR="13835CBB" w:rsidRPr="279880EA">
        <w:rPr>
          <w:rStyle w:val="Emphasis"/>
          <w:lang w:val="en-GB" w:bidi="en-GB"/>
        </w:rPr>
        <w:t>s</w:t>
      </w:r>
    </w:p>
    <w:p w14:paraId="3FD0C6A4" w14:textId="77777777" w:rsidR="00E23901" w:rsidRDefault="00E23901" w:rsidP="279880EA">
      <w:pPr>
        <w:pStyle w:val="TableFigure"/>
        <w:spacing w:line="360" w:lineRule="auto"/>
      </w:pPr>
    </w:p>
    <w:p w14:paraId="0C50F1A1" w14:textId="4A363D9D" w:rsidR="6072C9B2" w:rsidRDefault="6072C9B2" w:rsidP="279880EA">
      <w:pPr>
        <w:pStyle w:val="TableFigure"/>
        <w:spacing w:line="360" w:lineRule="auto"/>
      </w:pPr>
      <w:r w:rsidRPr="279880EA">
        <w:rPr>
          <w:rStyle w:val="Emphasis"/>
          <w:lang w:val="en-GB" w:bidi="en-GB"/>
        </w:rPr>
        <w:t>Analysis of Response 3: Regulatory Reforms to Medical Equipment</w:t>
      </w:r>
    </w:p>
    <w:p w14:paraId="42474CCB" w14:textId="27433846" w:rsidR="6072C9B2" w:rsidRDefault="6072C9B2" w:rsidP="279880EA">
      <w:pPr>
        <w:pStyle w:val="TableFigure"/>
        <w:spacing w:line="360" w:lineRule="auto"/>
      </w:pPr>
      <w:r w:rsidRPr="279880EA">
        <w:rPr>
          <w:rStyle w:val="Emphasis"/>
          <w:lang w:val="en-GB" w:bidi="en-GB"/>
        </w:rPr>
        <w:t>5.1 Policy Context and Rationale</w:t>
      </w:r>
    </w:p>
    <w:p w14:paraId="329E765E" w14:textId="11852F4E" w:rsidR="6072C9B2" w:rsidRDefault="6072C9B2" w:rsidP="279880EA">
      <w:pPr>
        <w:pStyle w:val="TableFigure"/>
        <w:spacing w:line="360" w:lineRule="auto"/>
      </w:pPr>
      <w:r w:rsidRPr="279880EA">
        <w:rPr>
          <w:rStyle w:val="Emphasis"/>
          <w:lang w:val="en-GB" w:bidi="en-GB"/>
        </w:rPr>
        <w:t>5.</w:t>
      </w:r>
      <w:r w:rsidR="1CBB0830" w:rsidRPr="279880EA">
        <w:rPr>
          <w:rStyle w:val="Emphasis"/>
          <w:lang w:val="en-GB" w:bidi="en-GB"/>
        </w:rPr>
        <w:t>2</w:t>
      </w:r>
      <w:r w:rsidRPr="279880EA">
        <w:rPr>
          <w:rStyle w:val="Emphasis"/>
          <w:lang w:val="en-GB" w:bidi="en-GB"/>
        </w:rPr>
        <w:t xml:space="preserve"> Impact on Market Equilibrium</w:t>
      </w:r>
    </w:p>
    <w:p w14:paraId="7C620EFF" w14:textId="489EE4FE" w:rsidR="6072C9B2" w:rsidRDefault="6072C9B2" w:rsidP="279880EA">
      <w:pPr>
        <w:pStyle w:val="TableFigure"/>
        <w:spacing w:line="360" w:lineRule="auto"/>
      </w:pPr>
      <w:r w:rsidRPr="279880EA">
        <w:rPr>
          <w:rStyle w:val="Emphasis"/>
          <w:lang w:val="en-GB" w:bidi="en-GB"/>
        </w:rPr>
        <w:t>5.</w:t>
      </w:r>
      <w:r w:rsidR="0195B419" w:rsidRPr="279880EA">
        <w:rPr>
          <w:rStyle w:val="Emphasis"/>
          <w:lang w:val="en-GB" w:bidi="en-GB"/>
        </w:rPr>
        <w:t>3</w:t>
      </w:r>
      <w:r w:rsidRPr="279880EA">
        <w:rPr>
          <w:rStyle w:val="Emphasis"/>
          <w:lang w:val="en-GB" w:bidi="en-GB"/>
        </w:rPr>
        <w:t xml:space="preserve"> Potential Effects on Related Markets</w:t>
      </w:r>
    </w:p>
    <w:p w14:paraId="154CDF7C" w14:textId="4A32F37F" w:rsidR="6072C9B2" w:rsidRDefault="6072C9B2" w:rsidP="279880EA">
      <w:pPr>
        <w:pStyle w:val="TableFigure"/>
        <w:spacing w:line="360" w:lineRule="auto"/>
      </w:pPr>
      <w:r w:rsidRPr="279880EA">
        <w:rPr>
          <w:rStyle w:val="Emphasis"/>
          <w:lang w:val="en-GB" w:bidi="en-GB"/>
        </w:rPr>
        <w:t>5.</w:t>
      </w:r>
      <w:r w:rsidR="4056DFD1" w:rsidRPr="279880EA">
        <w:rPr>
          <w:rStyle w:val="Emphasis"/>
          <w:lang w:val="en-GB" w:bidi="en-GB"/>
        </w:rPr>
        <w:t>4</w:t>
      </w:r>
      <w:r w:rsidRPr="279880EA">
        <w:rPr>
          <w:rStyle w:val="Emphasis"/>
          <w:lang w:val="en-GB" w:bidi="en-GB"/>
        </w:rPr>
        <w:t xml:space="preserve"> Winners and Losers</w:t>
      </w:r>
    </w:p>
    <w:p w14:paraId="6EBBB675" w14:textId="52719F8D" w:rsidR="6072C9B2" w:rsidRDefault="6072C9B2" w:rsidP="279880EA">
      <w:pPr>
        <w:pStyle w:val="TableFigure"/>
        <w:spacing w:line="360" w:lineRule="auto"/>
        <w:rPr>
          <w:rStyle w:val="Emphasis"/>
          <w:lang w:val="en-GB" w:bidi="en-GB"/>
        </w:rPr>
      </w:pPr>
      <w:r w:rsidRPr="279880EA">
        <w:rPr>
          <w:rStyle w:val="Emphasis"/>
          <w:lang w:val="en-GB" w:bidi="en-GB"/>
        </w:rPr>
        <w:t>5.</w:t>
      </w:r>
      <w:r w:rsidR="7163F06F" w:rsidRPr="279880EA">
        <w:rPr>
          <w:rStyle w:val="Emphasis"/>
          <w:lang w:val="en-GB" w:bidi="en-GB"/>
        </w:rPr>
        <w:t>5</w:t>
      </w:r>
      <w:r w:rsidRPr="279880EA">
        <w:rPr>
          <w:rStyle w:val="Emphasis"/>
          <w:lang w:val="en-GB" w:bidi="en-GB"/>
        </w:rPr>
        <w:t xml:space="preserve"> Limitations </w:t>
      </w:r>
    </w:p>
    <w:p w14:paraId="4761507A" w14:textId="77777777" w:rsidR="00E23901" w:rsidRDefault="00E23901" w:rsidP="279880EA">
      <w:pPr>
        <w:pStyle w:val="TableFigure"/>
        <w:spacing w:line="360" w:lineRule="auto"/>
      </w:pPr>
    </w:p>
    <w:p w14:paraId="7BD1E44C" w14:textId="5F59395E" w:rsidR="6072C9B2" w:rsidRDefault="6072C9B2" w:rsidP="279880EA">
      <w:pPr>
        <w:pStyle w:val="TableFigure"/>
        <w:spacing w:line="360" w:lineRule="auto"/>
      </w:pPr>
      <w:r w:rsidRPr="279880EA">
        <w:rPr>
          <w:rStyle w:val="Emphasis"/>
          <w:lang w:val="en-GB" w:bidi="en-GB"/>
        </w:rPr>
        <w:t>Recommendations</w:t>
      </w:r>
    </w:p>
    <w:p w14:paraId="63B8EC42" w14:textId="0A439ECF" w:rsidR="6072C9B2" w:rsidRDefault="6072C9B2" w:rsidP="279880EA">
      <w:pPr>
        <w:pStyle w:val="TableFigure"/>
        <w:spacing w:line="360" w:lineRule="auto"/>
      </w:pPr>
      <w:r w:rsidRPr="279880EA">
        <w:rPr>
          <w:rStyle w:val="Emphasis"/>
          <w:lang w:val="en-GB" w:bidi="en-GB"/>
        </w:rPr>
        <w:t>6.1 Evaluation Criteria</w:t>
      </w:r>
    </w:p>
    <w:p w14:paraId="314938B0" w14:textId="0A073097" w:rsidR="6072C9B2" w:rsidRDefault="6072C9B2" w:rsidP="279880EA">
      <w:pPr>
        <w:pStyle w:val="TableFigure"/>
        <w:spacing w:line="360" w:lineRule="auto"/>
      </w:pPr>
      <w:r w:rsidRPr="279880EA">
        <w:rPr>
          <w:rStyle w:val="Emphasis"/>
          <w:lang w:val="en-GB" w:bidi="en-GB"/>
        </w:rPr>
        <w:lastRenderedPageBreak/>
        <w:t>6.2 Recommended Policy Option(s)</w:t>
      </w:r>
    </w:p>
    <w:p w14:paraId="32D57724" w14:textId="0629ADAB" w:rsidR="6072C9B2" w:rsidRDefault="6072C9B2" w:rsidP="279880EA">
      <w:pPr>
        <w:pStyle w:val="TableFigure"/>
        <w:spacing w:line="360" w:lineRule="auto"/>
        <w:rPr>
          <w:rStyle w:val="Emphasis"/>
          <w:lang w:val="en-GB" w:bidi="en-GB"/>
        </w:rPr>
      </w:pPr>
      <w:r w:rsidRPr="279880EA">
        <w:rPr>
          <w:rStyle w:val="Emphasis"/>
          <w:lang w:val="en-GB" w:bidi="en-GB"/>
        </w:rPr>
        <w:t>6.</w:t>
      </w:r>
      <w:r w:rsidR="03CF83FB" w:rsidRPr="279880EA">
        <w:rPr>
          <w:rStyle w:val="Emphasis"/>
          <w:lang w:val="en-GB" w:bidi="en-GB"/>
        </w:rPr>
        <w:t>3</w:t>
      </w:r>
      <w:r w:rsidRPr="279880EA">
        <w:rPr>
          <w:rStyle w:val="Emphasis"/>
          <w:lang w:val="en-GB" w:bidi="en-GB"/>
        </w:rPr>
        <w:t xml:space="preserve"> Justification for the Recommendatio</w:t>
      </w:r>
      <w:r w:rsidR="11460403" w:rsidRPr="279880EA">
        <w:rPr>
          <w:rStyle w:val="Emphasis"/>
          <w:lang w:val="en-GB" w:bidi="en-GB"/>
        </w:rPr>
        <w:t>n</w:t>
      </w:r>
      <w:r w:rsidRPr="279880EA">
        <w:rPr>
          <w:rStyle w:val="Emphasis"/>
          <w:lang w:val="en-GB" w:bidi="en-GB"/>
        </w:rPr>
        <w:t xml:space="preserve"> </w:t>
      </w:r>
    </w:p>
    <w:p w14:paraId="75C00A0C" w14:textId="77777777" w:rsidR="00E23901" w:rsidRDefault="00E23901" w:rsidP="279880EA">
      <w:pPr>
        <w:pStyle w:val="TableFigure"/>
        <w:spacing w:line="360" w:lineRule="auto"/>
        <w:rPr>
          <w:rStyle w:val="Emphasis"/>
          <w:lang w:val="en-GB" w:bidi="en-GB"/>
        </w:rPr>
      </w:pPr>
    </w:p>
    <w:p w14:paraId="34B25154" w14:textId="64F4127B" w:rsidR="6072C9B2" w:rsidRDefault="6072C9B2" w:rsidP="279880EA">
      <w:pPr>
        <w:pStyle w:val="TableFigure"/>
        <w:spacing w:line="360" w:lineRule="auto"/>
        <w:rPr>
          <w:rStyle w:val="Emphasis"/>
          <w:lang w:val="en-GB" w:bidi="en-GB"/>
        </w:rPr>
      </w:pPr>
      <w:r w:rsidRPr="279880EA">
        <w:rPr>
          <w:rStyle w:val="Emphasis"/>
          <w:lang w:val="en-GB" w:bidi="en-GB"/>
        </w:rPr>
        <w:t>Conclusion</w:t>
      </w:r>
    </w:p>
    <w:p w14:paraId="7B593C6C" w14:textId="77777777" w:rsidR="00E23901" w:rsidRDefault="00E23901" w:rsidP="279880EA">
      <w:pPr>
        <w:pStyle w:val="TableFigure"/>
        <w:spacing w:line="360" w:lineRule="auto"/>
      </w:pPr>
    </w:p>
    <w:p w14:paraId="49EC6C0D" w14:textId="462ADF29" w:rsidR="6072C9B2" w:rsidRDefault="00E23901" w:rsidP="279880EA">
      <w:pPr>
        <w:pStyle w:val="TableFigure"/>
        <w:spacing w:line="360" w:lineRule="auto"/>
        <w:rPr>
          <w:rStyle w:val="Emphasis"/>
          <w:lang w:val="en-GB" w:bidi="en-GB"/>
        </w:rPr>
      </w:pPr>
      <w:r w:rsidRPr="279880EA">
        <w:rPr>
          <w:rStyle w:val="Emphasis"/>
          <w:lang w:val="en-GB" w:bidi="en-GB"/>
        </w:rPr>
        <w:t>References</w:t>
      </w:r>
    </w:p>
    <w:p w14:paraId="14431177" w14:textId="671DF144" w:rsidR="279880EA" w:rsidRDefault="279880EA" w:rsidP="279880EA">
      <w:pPr>
        <w:pStyle w:val="TableFigure"/>
        <w:spacing w:line="360" w:lineRule="auto"/>
        <w:rPr>
          <w:rStyle w:val="Emphasis"/>
          <w:b/>
          <w:bCs/>
          <w:i w:val="0"/>
          <w:iCs w:val="0"/>
          <w:lang w:val="en-GB" w:bidi="en-GB"/>
        </w:rPr>
      </w:pPr>
    </w:p>
    <w:p w14:paraId="31F17FF2" w14:textId="2EA7F826" w:rsidR="279880EA" w:rsidRDefault="279880EA" w:rsidP="279880EA">
      <w:pPr>
        <w:pStyle w:val="TableFigure"/>
        <w:spacing w:line="360" w:lineRule="auto"/>
        <w:rPr>
          <w:rStyle w:val="Emphasis"/>
          <w:b/>
          <w:bCs/>
          <w:i w:val="0"/>
          <w:iCs w:val="0"/>
          <w:lang w:val="en-GB" w:bidi="en-GB"/>
        </w:rPr>
      </w:pPr>
    </w:p>
    <w:p w14:paraId="78986D40" w14:textId="4C7546B3" w:rsidR="279880EA" w:rsidRDefault="279880EA" w:rsidP="279880EA">
      <w:pPr>
        <w:pStyle w:val="TableFigure"/>
        <w:spacing w:line="360" w:lineRule="auto"/>
        <w:rPr>
          <w:rStyle w:val="Emphasis"/>
          <w:b/>
          <w:bCs/>
          <w:i w:val="0"/>
          <w:iCs w:val="0"/>
          <w:lang w:val="en-GB" w:bidi="en-GB"/>
        </w:rPr>
      </w:pPr>
    </w:p>
    <w:p w14:paraId="0F1CA849" w14:textId="296E2821" w:rsidR="279880EA" w:rsidRDefault="279880EA" w:rsidP="279880EA">
      <w:pPr>
        <w:pStyle w:val="TableFigure"/>
        <w:spacing w:line="360" w:lineRule="auto"/>
        <w:rPr>
          <w:rStyle w:val="Emphasis"/>
          <w:b/>
          <w:bCs/>
          <w:i w:val="0"/>
          <w:iCs w:val="0"/>
          <w:lang w:val="en-GB" w:bidi="en-GB"/>
        </w:rPr>
      </w:pPr>
    </w:p>
    <w:p w14:paraId="3E11EBF4" w14:textId="20C44469" w:rsidR="279880EA" w:rsidRDefault="279880EA" w:rsidP="279880EA">
      <w:pPr>
        <w:pStyle w:val="TableFigure"/>
        <w:spacing w:line="360" w:lineRule="auto"/>
        <w:rPr>
          <w:rStyle w:val="Emphasis"/>
          <w:b/>
          <w:bCs/>
          <w:i w:val="0"/>
          <w:iCs w:val="0"/>
          <w:lang w:val="en-GB" w:bidi="en-GB"/>
        </w:rPr>
      </w:pPr>
    </w:p>
    <w:p w14:paraId="0E29D7FF" w14:textId="78064351" w:rsidR="279880EA" w:rsidRDefault="279880EA" w:rsidP="279880EA">
      <w:pPr>
        <w:pStyle w:val="TableFigure"/>
        <w:spacing w:line="360" w:lineRule="auto"/>
        <w:rPr>
          <w:rStyle w:val="Emphasis"/>
          <w:b/>
          <w:bCs/>
          <w:i w:val="0"/>
          <w:iCs w:val="0"/>
          <w:lang w:val="en-GB" w:bidi="en-GB"/>
        </w:rPr>
      </w:pPr>
    </w:p>
    <w:p w14:paraId="059082A0" w14:textId="24AF948C" w:rsidR="279880EA" w:rsidRDefault="279880EA" w:rsidP="279880EA">
      <w:pPr>
        <w:pStyle w:val="TableFigure"/>
        <w:spacing w:line="360" w:lineRule="auto"/>
        <w:rPr>
          <w:rStyle w:val="Emphasis"/>
          <w:b/>
          <w:bCs/>
          <w:i w:val="0"/>
          <w:iCs w:val="0"/>
          <w:lang w:val="en-GB" w:bidi="en-GB"/>
        </w:rPr>
      </w:pPr>
    </w:p>
    <w:p w14:paraId="1AE29714" w14:textId="42D054A6" w:rsidR="279880EA" w:rsidRDefault="279880EA" w:rsidP="279880EA">
      <w:pPr>
        <w:pStyle w:val="TableFigure"/>
        <w:spacing w:line="360" w:lineRule="auto"/>
        <w:rPr>
          <w:rStyle w:val="Emphasis"/>
          <w:b/>
          <w:bCs/>
          <w:i w:val="0"/>
          <w:iCs w:val="0"/>
          <w:lang w:val="en-GB" w:bidi="en-GB"/>
        </w:rPr>
      </w:pPr>
    </w:p>
    <w:p w14:paraId="4748CF9F" w14:textId="7184B7F2" w:rsidR="279880EA" w:rsidRDefault="279880EA" w:rsidP="279880EA">
      <w:pPr>
        <w:pStyle w:val="TableFigure"/>
        <w:spacing w:line="360" w:lineRule="auto"/>
        <w:rPr>
          <w:rStyle w:val="Emphasis"/>
          <w:b/>
          <w:bCs/>
          <w:i w:val="0"/>
          <w:iCs w:val="0"/>
          <w:lang w:val="en-GB" w:bidi="en-GB"/>
        </w:rPr>
      </w:pPr>
    </w:p>
    <w:p w14:paraId="4114ED0F" w14:textId="1B7F4FE5" w:rsidR="279880EA" w:rsidRDefault="279880EA" w:rsidP="279880EA">
      <w:pPr>
        <w:pStyle w:val="TableFigure"/>
        <w:spacing w:line="360" w:lineRule="auto"/>
        <w:rPr>
          <w:rStyle w:val="Emphasis"/>
          <w:b/>
          <w:bCs/>
          <w:i w:val="0"/>
          <w:iCs w:val="0"/>
          <w:lang w:val="en-GB" w:bidi="en-GB"/>
        </w:rPr>
      </w:pPr>
    </w:p>
    <w:p w14:paraId="58D4A93D" w14:textId="760133D5" w:rsidR="279880EA" w:rsidRDefault="279880EA" w:rsidP="279880EA">
      <w:pPr>
        <w:pStyle w:val="TableFigure"/>
        <w:spacing w:line="360" w:lineRule="auto"/>
        <w:rPr>
          <w:rStyle w:val="Emphasis"/>
          <w:b/>
          <w:bCs/>
          <w:i w:val="0"/>
          <w:iCs w:val="0"/>
          <w:lang w:val="en-GB" w:bidi="en-GB"/>
        </w:rPr>
      </w:pPr>
    </w:p>
    <w:p w14:paraId="5EC98BF2" w14:textId="0874B355" w:rsidR="279880EA" w:rsidRDefault="279880EA" w:rsidP="279880EA">
      <w:pPr>
        <w:pStyle w:val="TableFigure"/>
        <w:spacing w:line="360" w:lineRule="auto"/>
        <w:rPr>
          <w:rStyle w:val="Emphasis"/>
          <w:b/>
          <w:bCs/>
          <w:i w:val="0"/>
          <w:iCs w:val="0"/>
          <w:lang w:val="en-GB" w:bidi="en-GB"/>
        </w:rPr>
      </w:pPr>
    </w:p>
    <w:p w14:paraId="0982C8B4" w14:textId="193E401A" w:rsidR="279880EA" w:rsidRDefault="279880EA" w:rsidP="279880EA">
      <w:pPr>
        <w:pStyle w:val="TableFigure"/>
        <w:spacing w:line="360" w:lineRule="auto"/>
        <w:rPr>
          <w:rStyle w:val="Emphasis"/>
          <w:b/>
          <w:bCs/>
          <w:i w:val="0"/>
          <w:iCs w:val="0"/>
          <w:lang w:val="en-GB" w:bidi="en-GB"/>
        </w:rPr>
      </w:pPr>
    </w:p>
    <w:p w14:paraId="37632288" w14:textId="42E2BCAD" w:rsidR="279880EA" w:rsidRDefault="279880EA" w:rsidP="279880EA">
      <w:pPr>
        <w:pStyle w:val="TableFigure"/>
        <w:spacing w:line="360" w:lineRule="auto"/>
        <w:rPr>
          <w:rStyle w:val="Emphasis"/>
          <w:b/>
          <w:bCs/>
          <w:i w:val="0"/>
          <w:iCs w:val="0"/>
          <w:lang w:val="en-GB" w:bidi="en-GB"/>
        </w:rPr>
      </w:pPr>
    </w:p>
    <w:p w14:paraId="59BE1A07" w14:textId="4D7E0C0A" w:rsidR="279880EA" w:rsidRDefault="279880EA" w:rsidP="279880EA">
      <w:pPr>
        <w:pStyle w:val="TableFigure"/>
        <w:spacing w:line="360" w:lineRule="auto"/>
        <w:rPr>
          <w:rStyle w:val="Emphasis"/>
          <w:b/>
          <w:bCs/>
          <w:i w:val="0"/>
          <w:iCs w:val="0"/>
          <w:lang w:val="en-GB" w:bidi="en-GB"/>
        </w:rPr>
      </w:pPr>
    </w:p>
    <w:p w14:paraId="111AD29A" w14:textId="79B8A9C6" w:rsidR="279880EA" w:rsidRDefault="279880EA" w:rsidP="279880EA">
      <w:pPr>
        <w:pStyle w:val="TableFigure"/>
        <w:spacing w:line="360" w:lineRule="auto"/>
        <w:rPr>
          <w:rStyle w:val="Emphasis"/>
          <w:b/>
          <w:bCs/>
          <w:i w:val="0"/>
          <w:iCs w:val="0"/>
          <w:lang w:val="en-GB" w:bidi="en-GB"/>
        </w:rPr>
      </w:pPr>
    </w:p>
    <w:p w14:paraId="2466E446" w14:textId="63AA8F67" w:rsidR="279880EA" w:rsidRDefault="279880EA" w:rsidP="279880EA">
      <w:pPr>
        <w:pStyle w:val="TableFigure"/>
        <w:spacing w:line="360" w:lineRule="auto"/>
        <w:rPr>
          <w:rStyle w:val="Emphasis"/>
          <w:b/>
          <w:bCs/>
          <w:i w:val="0"/>
          <w:iCs w:val="0"/>
          <w:lang w:val="en-GB" w:bidi="en-GB"/>
        </w:rPr>
      </w:pPr>
    </w:p>
    <w:p w14:paraId="51B04201" w14:textId="76FC7E24" w:rsidR="279880EA" w:rsidRDefault="279880EA" w:rsidP="279880EA">
      <w:pPr>
        <w:pStyle w:val="TableFigure"/>
        <w:spacing w:line="360" w:lineRule="auto"/>
        <w:rPr>
          <w:rStyle w:val="Emphasis"/>
          <w:b/>
          <w:bCs/>
          <w:i w:val="0"/>
          <w:iCs w:val="0"/>
          <w:lang w:val="en-GB" w:bidi="en-GB"/>
        </w:rPr>
      </w:pPr>
    </w:p>
    <w:p w14:paraId="7698E62F" w14:textId="2F181029" w:rsidR="279880EA" w:rsidRDefault="279880EA" w:rsidP="279880EA">
      <w:pPr>
        <w:pStyle w:val="TableFigure"/>
        <w:spacing w:line="360" w:lineRule="auto"/>
        <w:rPr>
          <w:rStyle w:val="Emphasis"/>
          <w:b/>
          <w:bCs/>
          <w:i w:val="0"/>
          <w:iCs w:val="0"/>
          <w:lang w:val="en-GB" w:bidi="en-GB"/>
        </w:rPr>
      </w:pPr>
    </w:p>
    <w:p w14:paraId="1E454200" w14:textId="4F659337" w:rsidR="279880EA" w:rsidRDefault="279880EA" w:rsidP="279880EA">
      <w:pPr>
        <w:pStyle w:val="TableFigure"/>
        <w:spacing w:line="360" w:lineRule="auto"/>
        <w:rPr>
          <w:rStyle w:val="Emphasis"/>
          <w:b/>
          <w:bCs/>
          <w:i w:val="0"/>
          <w:iCs w:val="0"/>
          <w:lang w:val="en-GB" w:bidi="en-GB"/>
        </w:rPr>
      </w:pPr>
    </w:p>
    <w:p w14:paraId="50EC07F9" w14:textId="711F419D" w:rsidR="279880EA" w:rsidRDefault="279880EA" w:rsidP="279880EA">
      <w:pPr>
        <w:pStyle w:val="TableFigure"/>
        <w:spacing w:line="360" w:lineRule="auto"/>
        <w:rPr>
          <w:rStyle w:val="Emphasis"/>
          <w:b/>
          <w:bCs/>
          <w:i w:val="0"/>
          <w:iCs w:val="0"/>
          <w:lang w:val="en-GB" w:bidi="en-GB"/>
        </w:rPr>
      </w:pPr>
    </w:p>
    <w:p w14:paraId="27F7FE99" w14:textId="4AA01214" w:rsidR="279880EA" w:rsidRDefault="279880EA" w:rsidP="279880EA">
      <w:pPr>
        <w:pStyle w:val="TableFigure"/>
        <w:spacing w:line="360" w:lineRule="auto"/>
        <w:rPr>
          <w:rStyle w:val="Emphasis"/>
          <w:b/>
          <w:bCs/>
          <w:i w:val="0"/>
          <w:iCs w:val="0"/>
          <w:lang w:val="en-GB" w:bidi="en-GB"/>
        </w:rPr>
      </w:pPr>
    </w:p>
    <w:p w14:paraId="76FA15C0" w14:textId="41E143FF" w:rsidR="279880EA" w:rsidRDefault="279880EA" w:rsidP="279880EA">
      <w:pPr>
        <w:pStyle w:val="TableFigure"/>
        <w:spacing w:line="360" w:lineRule="auto"/>
        <w:rPr>
          <w:rStyle w:val="Emphasis"/>
          <w:b/>
          <w:bCs/>
          <w:i w:val="0"/>
          <w:iCs w:val="0"/>
          <w:lang w:val="en-GB" w:bidi="en-GB"/>
        </w:rPr>
      </w:pPr>
    </w:p>
    <w:p w14:paraId="2C43A93C" w14:textId="41D08005" w:rsidR="279880EA" w:rsidRDefault="279880EA" w:rsidP="279880EA">
      <w:pPr>
        <w:pStyle w:val="TableFigure"/>
        <w:spacing w:line="360" w:lineRule="auto"/>
        <w:rPr>
          <w:rStyle w:val="Emphasis"/>
          <w:b/>
          <w:bCs/>
          <w:i w:val="0"/>
          <w:iCs w:val="0"/>
          <w:lang w:val="en-GB" w:bidi="en-GB"/>
        </w:rPr>
      </w:pPr>
    </w:p>
    <w:p w14:paraId="6A616943" w14:textId="7E28558F" w:rsidR="279880EA" w:rsidRDefault="279880EA" w:rsidP="279880EA">
      <w:pPr>
        <w:pStyle w:val="TableFigure"/>
        <w:spacing w:line="360" w:lineRule="auto"/>
        <w:rPr>
          <w:rStyle w:val="Emphasis"/>
          <w:b/>
          <w:bCs/>
          <w:i w:val="0"/>
          <w:iCs w:val="0"/>
          <w:lang w:val="en-GB" w:bidi="en-GB"/>
        </w:rPr>
      </w:pPr>
    </w:p>
    <w:p w14:paraId="22027A79" w14:textId="18F84F9B" w:rsidR="279880EA" w:rsidRDefault="279880EA" w:rsidP="279880EA">
      <w:pPr>
        <w:pStyle w:val="TableFigure"/>
        <w:spacing w:line="360" w:lineRule="auto"/>
        <w:rPr>
          <w:rStyle w:val="Emphasis"/>
          <w:b/>
          <w:bCs/>
          <w:i w:val="0"/>
          <w:iCs w:val="0"/>
          <w:lang w:val="en-GB" w:bidi="en-GB"/>
        </w:rPr>
      </w:pPr>
    </w:p>
    <w:p w14:paraId="54F052BF" w14:textId="20EE6F4B" w:rsidR="279880EA" w:rsidRDefault="279880EA" w:rsidP="279880EA">
      <w:pPr>
        <w:pStyle w:val="TableFigure"/>
        <w:spacing w:line="360" w:lineRule="auto"/>
        <w:rPr>
          <w:rStyle w:val="Emphasis"/>
          <w:b/>
          <w:bCs/>
          <w:i w:val="0"/>
          <w:iCs w:val="0"/>
          <w:lang w:val="en-GB" w:bidi="en-GB"/>
        </w:rPr>
      </w:pPr>
    </w:p>
    <w:p w14:paraId="44BE1AA1" w14:textId="25AD855A" w:rsidR="279880EA" w:rsidRDefault="279880EA" w:rsidP="279880EA">
      <w:pPr>
        <w:pStyle w:val="TableFigure"/>
        <w:spacing w:line="360" w:lineRule="auto"/>
        <w:rPr>
          <w:rStyle w:val="Emphasis"/>
          <w:b/>
          <w:bCs/>
          <w:i w:val="0"/>
          <w:iCs w:val="0"/>
          <w:lang w:val="en-GB" w:bidi="en-GB"/>
        </w:rPr>
      </w:pPr>
    </w:p>
    <w:p w14:paraId="2E55585F" w14:textId="35E0978C" w:rsidR="26C6510D" w:rsidRDefault="26C6510D" w:rsidP="279880EA">
      <w:pPr>
        <w:pStyle w:val="TableFigure"/>
        <w:numPr>
          <w:ilvl w:val="0"/>
          <w:numId w:val="1"/>
        </w:numPr>
        <w:spacing w:line="360" w:lineRule="auto"/>
        <w:rPr>
          <w:rStyle w:val="Emphasis"/>
          <w:b/>
          <w:bCs/>
          <w:u w:val="single"/>
          <w:lang w:val="en-GB" w:bidi="en-GB"/>
        </w:rPr>
      </w:pPr>
      <w:r w:rsidRPr="279880EA">
        <w:rPr>
          <w:rStyle w:val="Emphasis"/>
          <w:b/>
          <w:bCs/>
          <w:i w:val="0"/>
          <w:iCs w:val="0"/>
          <w:u w:val="single"/>
          <w:lang w:val="en-GB" w:bidi="en-GB"/>
        </w:rPr>
        <w:lastRenderedPageBreak/>
        <w:t>Introduction</w:t>
      </w:r>
    </w:p>
    <w:p w14:paraId="6BE95ECB" w14:textId="3510D3F1" w:rsidR="4AA00D19" w:rsidRDefault="4AA00D19" w:rsidP="279880EA">
      <w:pPr>
        <w:pStyle w:val="TableFigure"/>
        <w:spacing w:line="360" w:lineRule="auto"/>
        <w:rPr>
          <w:rStyle w:val="Emphasis"/>
          <w:i w:val="0"/>
          <w:iCs w:val="0"/>
          <w:lang w:val="en-GB" w:bidi="en-GB"/>
        </w:rPr>
      </w:pPr>
      <w:r w:rsidRPr="279880EA">
        <w:rPr>
          <w:rStyle w:val="Emphasis"/>
          <w:i w:val="0"/>
          <w:iCs w:val="0"/>
          <w:lang w:val="en-GB" w:bidi="en-GB"/>
        </w:rPr>
        <w:t xml:space="preserve">This report analyses the current state of the Australian private hospital insurance (PHI) market and explores three potential policy responses proposed by the government to address the market decline. The </w:t>
      </w:r>
      <w:r w:rsidR="64C8027D" w:rsidRPr="279880EA">
        <w:rPr>
          <w:rStyle w:val="Emphasis"/>
          <w:i w:val="0"/>
          <w:iCs w:val="0"/>
          <w:lang w:val="en-GB" w:bidi="en-GB"/>
        </w:rPr>
        <w:t>reason</w:t>
      </w:r>
      <w:r w:rsidR="576D39E1" w:rsidRPr="279880EA">
        <w:rPr>
          <w:rStyle w:val="Emphasis"/>
          <w:i w:val="0"/>
          <w:iCs w:val="0"/>
          <w:lang w:val="en-GB" w:bidi="en-GB"/>
        </w:rPr>
        <w:t xml:space="preserve"> there is a decline in interest for </w:t>
      </w:r>
      <w:r w:rsidR="69D1C63E" w:rsidRPr="279880EA">
        <w:rPr>
          <w:rStyle w:val="Emphasis"/>
          <w:i w:val="0"/>
          <w:iCs w:val="0"/>
          <w:lang w:val="en-GB" w:bidi="en-GB"/>
        </w:rPr>
        <w:t>PHIs (Private Hospital Insurance)</w:t>
      </w:r>
      <w:r w:rsidR="576D39E1" w:rsidRPr="279880EA">
        <w:rPr>
          <w:rStyle w:val="Emphasis"/>
          <w:i w:val="0"/>
          <w:iCs w:val="0"/>
          <w:lang w:val="en-GB" w:bidi="en-GB"/>
        </w:rPr>
        <w:t xml:space="preserve"> by younger and healthier individuals.</w:t>
      </w:r>
      <w:r w:rsidR="3967A8FD" w:rsidRPr="279880EA">
        <w:rPr>
          <w:rStyle w:val="Emphasis"/>
          <w:i w:val="0"/>
          <w:iCs w:val="0"/>
          <w:lang w:val="en-GB" w:bidi="en-GB"/>
        </w:rPr>
        <w:t xml:space="preserve"> This</w:t>
      </w:r>
      <w:r w:rsidRPr="279880EA">
        <w:rPr>
          <w:rStyle w:val="Emphasis"/>
          <w:i w:val="0"/>
          <w:iCs w:val="0"/>
          <w:lang w:val="en-GB" w:bidi="en-GB"/>
        </w:rPr>
        <w:t xml:space="preserve"> has raised concerns about a potential market "death spiral." The report critically examines each policy option </w:t>
      </w:r>
      <w:r w:rsidR="6D8458A6" w:rsidRPr="279880EA">
        <w:rPr>
          <w:rStyle w:val="Emphasis"/>
          <w:i w:val="0"/>
          <w:iCs w:val="0"/>
          <w:lang w:val="en-GB" w:bidi="en-GB"/>
        </w:rPr>
        <w:t>to</w:t>
      </w:r>
      <w:r w:rsidRPr="279880EA">
        <w:rPr>
          <w:rStyle w:val="Emphasis"/>
          <w:i w:val="0"/>
          <w:iCs w:val="0"/>
          <w:lang w:val="en-GB" w:bidi="en-GB"/>
        </w:rPr>
        <w:t xml:space="preserve"> assesses their potential effects on market </w:t>
      </w:r>
      <w:r w:rsidR="26231D4C" w:rsidRPr="279880EA">
        <w:rPr>
          <w:rStyle w:val="Emphasis"/>
          <w:i w:val="0"/>
          <w:iCs w:val="0"/>
          <w:lang w:val="en-GB" w:bidi="en-GB"/>
        </w:rPr>
        <w:t>equilibrium and the government policy</w:t>
      </w:r>
      <w:r w:rsidRPr="279880EA">
        <w:rPr>
          <w:rStyle w:val="Emphasis"/>
          <w:i w:val="0"/>
          <w:iCs w:val="0"/>
          <w:lang w:val="en-GB" w:bidi="en-GB"/>
        </w:rPr>
        <w:t>. The report concludes with a recommendation for the government based on the goal of delivering high-quality healthcare at the lowest possible cost.</w:t>
      </w:r>
    </w:p>
    <w:p w14:paraId="0706B137" w14:textId="7A017093" w:rsidR="7168B0AC" w:rsidRDefault="7168B0AC" w:rsidP="279880EA">
      <w:pPr>
        <w:pStyle w:val="TableFigure"/>
        <w:spacing w:line="360" w:lineRule="auto"/>
        <w:rPr>
          <w:rStyle w:val="Emphasis"/>
          <w:i w:val="0"/>
          <w:iCs w:val="0"/>
          <w:lang w:val="en-GB" w:bidi="en-GB"/>
        </w:rPr>
      </w:pPr>
      <w:r>
        <w:rPr>
          <w:noProof/>
          <w:lang w:val="en-IN" w:eastAsia="en-IN"/>
        </w:rPr>
        <w:drawing>
          <wp:inline distT="0" distB="0" distL="0" distR="0" wp14:anchorId="4FB7BF99" wp14:editId="08C268D3">
            <wp:extent cx="4572000" cy="2143125"/>
            <wp:effectExtent l="0" t="0" r="0" b="0"/>
            <wp:docPr id="1348762119" name="Picture 134876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143125"/>
                    </a:xfrm>
                    <a:prstGeom prst="rect">
                      <a:avLst/>
                    </a:prstGeom>
                  </pic:spPr>
                </pic:pic>
              </a:graphicData>
            </a:graphic>
          </wp:inline>
        </w:drawing>
      </w:r>
    </w:p>
    <w:p w14:paraId="1B10B5D3" w14:textId="7910920C" w:rsidR="441A7516" w:rsidRDefault="441A7516" w:rsidP="279880EA">
      <w:pPr>
        <w:pStyle w:val="TableFigure"/>
        <w:numPr>
          <w:ilvl w:val="0"/>
          <w:numId w:val="1"/>
        </w:numPr>
        <w:spacing w:line="360" w:lineRule="auto"/>
        <w:rPr>
          <w:rStyle w:val="Emphasis"/>
          <w:b/>
          <w:bCs/>
          <w:i w:val="0"/>
          <w:iCs w:val="0"/>
          <w:u w:val="single"/>
          <w:lang w:val="en-GB" w:bidi="en-GB"/>
        </w:rPr>
      </w:pPr>
      <w:r w:rsidRPr="279880EA">
        <w:rPr>
          <w:rStyle w:val="Emphasis"/>
          <w:b/>
          <w:bCs/>
          <w:i w:val="0"/>
          <w:iCs w:val="0"/>
          <w:u w:val="single"/>
          <w:lang w:val="en-GB" w:bidi="en-GB"/>
        </w:rPr>
        <w:t>Investigation</w:t>
      </w:r>
    </w:p>
    <w:p w14:paraId="5AAE7954" w14:textId="0FA8AE40" w:rsidR="6321F693" w:rsidRDefault="6321F693" w:rsidP="279880EA">
      <w:pPr>
        <w:pStyle w:val="TableFigure"/>
        <w:spacing w:line="360" w:lineRule="auto"/>
        <w:rPr>
          <w:rStyle w:val="Emphasis"/>
          <w:i w:val="0"/>
          <w:iCs w:val="0"/>
          <w:lang w:val="en-GB" w:bidi="en-GB"/>
        </w:rPr>
      </w:pPr>
      <w:r w:rsidRPr="279880EA">
        <w:rPr>
          <w:rStyle w:val="Emphasis"/>
          <w:i w:val="0"/>
          <w:iCs w:val="0"/>
          <w:lang w:val="en-GB" w:bidi="en-GB"/>
        </w:rPr>
        <w:t xml:space="preserve">2.1) </w:t>
      </w:r>
      <w:r w:rsidR="441A7516" w:rsidRPr="279880EA">
        <w:rPr>
          <w:rStyle w:val="Emphasis"/>
          <w:i w:val="0"/>
          <w:iCs w:val="0"/>
          <w:lang w:val="en-GB" w:bidi="en-GB"/>
        </w:rPr>
        <w:t>So, we begin by analysing the claim that “The PHI in Australia is declining</w:t>
      </w:r>
      <w:r w:rsidR="10ACE437" w:rsidRPr="279880EA">
        <w:rPr>
          <w:rStyle w:val="Emphasis"/>
          <w:i w:val="0"/>
          <w:iCs w:val="0"/>
          <w:lang w:val="en-GB" w:bidi="en-GB"/>
        </w:rPr>
        <w:t xml:space="preserve">.” </w:t>
      </w:r>
      <w:r w:rsidR="6FFF56CF" w:rsidRPr="279880EA">
        <w:rPr>
          <w:rStyle w:val="Emphasis"/>
          <w:i w:val="0"/>
          <w:iCs w:val="0"/>
          <w:lang w:val="en-GB" w:bidi="en-GB"/>
        </w:rPr>
        <w:t>Upon looking at the data from</w:t>
      </w:r>
      <w:r w:rsidR="3BBD6FD9" w:rsidRPr="279880EA">
        <w:rPr>
          <w:rStyle w:val="Emphasis"/>
          <w:i w:val="0"/>
          <w:iCs w:val="0"/>
          <w:lang w:val="en-GB" w:bidi="en-GB"/>
        </w:rPr>
        <w:t xml:space="preserve"> the</w:t>
      </w:r>
      <w:r w:rsidR="6FFF56CF" w:rsidRPr="279880EA">
        <w:rPr>
          <w:rStyle w:val="Emphasis"/>
          <w:i w:val="0"/>
          <w:iCs w:val="0"/>
          <w:lang w:val="en-GB" w:bidi="en-GB"/>
        </w:rPr>
        <w:t xml:space="preserve"> </w:t>
      </w:r>
      <w:r w:rsidR="0E997CB2" w:rsidRPr="279880EA">
        <w:rPr>
          <w:rStyle w:val="Emphasis"/>
          <w:i w:val="0"/>
          <w:iCs w:val="0"/>
          <w:lang w:val="en-GB" w:bidi="en-GB"/>
        </w:rPr>
        <w:t>Private Health Insurance Annual Coverage Survey from APRA</w:t>
      </w:r>
      <w:r w:rsidR="2AA3B745" w:rsidRPr="279880EA">
        <w:rPr>
          <w:rStyle w:val="Emphasis"/>
          <w:i w:val="0"/>
          <w:iCs w:val="0"/>
          <w:lang w:val="en-GB" w:bidi="en-GB"/>
        </w:rPr>
        <w:t xml:space="preserve">, we can find that in the past </w:t>
      </w:r>
      <w:r w:rsidR="471E453E" w:rsidRPr="279880EA">
        <w:rPr>
          <w:rStyle w:val="Emphasis"/>
          <w:i w:val="0"/>
          <w:iCs w:val="0"/>
          <w:lang w:val="en-GB" w:bidi="en-GB"/>
        </w:rPr>
        <w:t>7</w:t>
      </w:r>
      <w:r w:rsidR="2AA3B745" w:rsidRPr="279880EA">
        <w:rPr>
          <w:rStyle w:val="Emphasis"/>
          <w:i w:val="0"/>
          <w:iCs w:val="0"/>
          <w:lang w:val="en-GB" w:bidi="en-GB"/>
        </w:rPr>
        <w:t xml:space="preserve"> years in all categories there has been a percentage decline in the number of PHI buyers</w:t>
      </w:r>
      <w:r w:rsidR="33FE2312" w:rsidRPr="279880EA">
        <w:rPr>
          <w:rStyle w:val="Emphasis"/>
          <w:i w:val="0"/>
          <w:iCs w:val="0"/>
          <w:lang w:val="en-GB" w:bidi="en-GB"/>
        </w:rPr>
        <w:t>, except for the short increase since the pandemic</w:t>
      </w:r>
      <w:r w:rsidR="037F210C" w:rsidRPr="279880EA">
        <w:rPr>
          <w:rStyle w:val="Emphasis"/>
          <w:i w:val="0"/>
          <w:iCs w:val="0"/>
          <w:lang w:val="en-GB" w:bidi="en-GB"/>
        </w:rPr>
        <w:t>, which</w:t>
      </w:r>
      <w:r w:rsidR="33FE2312" w:rsidRPr="279880EA">
        <w:rPr>
          <w:rStyle w:val="Emphasis"/>
          <w:i w:val="0"/>
          <w:iCs w:val="0"/>
          <w:lang w:val="en-GB" w:bidi="en-GB"/>
        </w:rPr>
        <w:t xml:space="preserve"> created fear mongering among the citizens which made them take their health more seriously.</w:t>
      </w:r>
    </w:p>
    <w:p w14:paraId="7F6C1095" w14:textId="6E9DA3B8" w:rsidR="6727D7B0" w:rsidRDefault="6727D7B0" w:rsidP="279880EA">
      <w:pPr>
        <w:pStyle w:val="TableFigure"/>
        <w:spacing w:line="360" w:lineRule="auto"/>
      </w:pPr>
      <w:r>
        <w:rPr>
          <w:noProof/>
          <w:lang w:val="en-IN" w:eastAsia="en-IN"/>
        </w:rPr>
        <w:drawing>
          <wp:inline distT="0" distB="0" distL="0" distR="0" wp14:anchorId="511AD76D" wp14:editId="6F928EEB">
            <wp:extent cx="3219450" cy="2488366"/>
            <wp:effectExtent l="0" t="0" r="0" b="7620"/>
            <wp:docPr id="1132862459" name="Picture 113286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9987" cy="2496510"/>
                    </a:xfrm>
                    <a:prstGeom prst="rect">
                      <a:avLst/>
                    </a:prstGeom>
                  </pic:spPr>
                </pic:pic>
              </a:graphicData>
            </a:graphic>
          </wp:inline>
        </w:drawing>
      </w:r>
    </w:p>
    <w:p w14:paraId="0E4EE928" w14:textId="48C5E343" w:rsidR="2BF0D057" w:rsidRDefault="2BF0D057" w:rsidP="279880EA">
      <w:pPr>
        <w:pStyle w:val="TableFigure"/>
        <w:spacing w:line="360" w:lineRule="auto"/>
      </w:pPr>
      <w:r>
        <w:lastRenderedPageBreak/>
        <w:t>2.</w:t>
      </w:r>
      <w:r w:rsidR="4EBD63D2">
        <w:t>2</w:t>
      </w:r>
      <w:r>
        <w:t xml:space="preserve">) </w:t>
      </w:r>
      <w:r w:rsidR="34F2E656">
        <w:t xml:space="preserve">To take a deeper look, we can find that the younger population (post 18 and less </w:t>
      </w:r>
      <w:r w:rsidR="1AABEF53">
        <w:t>than</w:t>
      </w:r>
      <w:r w:rsidR="34F2E656">
        <w:t xml:space="preserve"> 35</w:t>
      </w:r>
      <w:r w:rsidR="47A27760">
        <w:t xml:space="preserve">) have opted for Medicare, as most of the people during this age leave </w:t>
      </w:r>
      <w:r w:rsidR="54774339">
        <w:t xml:space="preserve">their parents' home and lack the capital freedom to procure private healthcare. We can also see the post pandemic boom even in groups where there was a declining </w:t>
      </w:r>
      <w:r w:rsidR="5FB76AE8">
        <w:t>rate of growth in previous years.</w:t>
      </w:r>
    </w:p>
    <w:p w14:paraId="1E0CFFDC" w14:textId="26707C3F" w:rsidR="24C6EF68" w:rsidRDefault="24C6EF68" w:rsidP="279880EA">
      <w:pPr>
        <w:pStyle w:val="TableFigure"/>
        <w:spacing w:line="360" w:lineRule="auto"/>
      </w:pPr>
      <w:r>
        <w:rPr>
          <w:noProof/>
          <w:lang w:val="en-IN" w:eastAsia="en-IN"/>
        </w:rPr>
        <w:drawing>
          <wp:inline distT="0" distB="0" distL="0" distR="0" wp14:anchorId="572555A6" wp14:editId="1C5E76F2">
            <wp:extent cx="3683490" cy="1987550"/>
            <wp:effectExtent l="0" t="0" r="0" b="0"/>
            <wp:docPr id="415059491" name="Picture 415059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9241" cy="1990653"/>
                    </a:xfrm>
                    <a:prstGeom prst="rect">
                      <a:avLst/>
                    </a:prstGeom>
                  </pic:spPr>
                </pic:pic>
              </a:graphicData>
            </a:graphic>
          </wp:inline>
        </w:drawing>
      </w:r>
    </w:p>
    <w:p w14:paraId="2B9A02D2" w14:textId="519980DE" w:rsidR="3A58D111" w:rsidRDefault="3A58D111" w:rsidP="279880EA">
      <w:pPr>
        <w:pStyle w:val="TableFigure"/>
        <w:spacing w:line="360" w:lineRule="auto"/>
      </w:pPr>
      <w:r>
        <w:t xml:space="preserve">2.3) </w:t>
      </w:r>
      <w:r w:rsidR="516A88E3">
        <w:t>As we can see the from the data from 2001, the most</w:t>
      </w:r>
      <w:r w:rsidR="41E7267E">
        <w:t xml:space="preserve"> essential reason families and individuals are not opting for PHIs is the </w:t>
      </w:r>
      <w:r w:rsidR="36225DFA">
        <w:t>affordability</w:t>
      </w:r>
      <w:r w:rsidR="350940F4">
        <w:t xml:space="preserve">, so to </w:t>
      </w:r>
      <w:r w:rsidR="4BFE1DA9">
        <w:t>increase</w:t>
      </w:r>
      <w:r w:rsidR="350940F4">
        <w:t xml:space="preserve"> take on we need to find ways to decrease the costs surrounding p</w:t>
      </w:r>
      <w:r w:rsidR="01103DD2">
        <w:t>remiums, the gap is especially high for families  as they have to cover costs for them and their children programs such as famil</w:t>
      </w:r>
      <w:r w:rsidR="2ACC5E20">
        <w:t>y packages might increase feasibility for purchase for this group</w:t>
      </w:r>
      <w:r w:rsidR="6A3FF439">
        <w:t>.</w:t>
      </w:r>
    </w:p>
    <w:p w14:paraId="364F4F91" w14:textId="67C50F5D" w:rsidR="516A88E3" w:rsidRDefault="516A88E3" w:rsidP="279880EA">
      <w:pPr>
        <w:pStyle w:val="TableFigure"/>
        <w:spacing w:line="360" w:lineRule="auto"/>
      </w:pPr>
      <w:r>
        <w:rPr>
          <w:noProof/>
          <w:lang w:val="en-IN" w:eastAsia="en-IN"/>
        </w:rPr>
        <w:drawing>
          <wp:inline distT="0" distB="0" distL="0" distR="0" wp14:anchorId="60732F90" wp14:editId="06709814">
            <wp:extent cx="3295650" cy="2478603"/>
            <wp:effectExtent l="0" t="0" r="0" b="0"/>
            <wp:docPr id="266586437" name="Picture 266586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03074" cy="2484186"/>
                    </a:xfrm>
                    <a:prstGeom prst="rect">
                      <a:avLst/>
                    </a:prstGeom>
                  </pic:spPr>
                </pic:pic>
              </a:graphicData>
            </a:graphic>
          </wp:inline>
        </w:drawing>
      </w:r>
    </w:p>
    <w:p w14:paraId="3C344E1B" w14:textId="7B181B5B" w:rsidR="57FADE56" w:rsidRDefault="57FADE56" w:rsidP="279880EA">
      <w:pPr>
        <w:pStyle w:val="TableFigure"/>
        <w:spacing w:line="360" w:lineRule="auto"/>
      </w:pPr>
      <w:r>
        <w:t>Another Major reasoning the government would want the consumers to choose PHIs is that it can save costs such as patients staying and using hospital facilities, from the dat</w:t>
      </w:r>
      <w:r w:rsidR="4EDE1255">
        <w:t>a below we can figure out that most patients spend more time in a public hospital than in a private hospital.</w:t>
      </w:r>
    </w:p>
    <w:p w14:paraId="7A5708C7" w14:textId="2DB135B4" w:rsidR="57FADE56" w:rsidRDefault="57FADE56" w:rsidP="279880EA">
      <w:pPr>
        <w:pStyle w:val="TableFigure"/>
        <w:spacing w:line="360" w:lineRule="auto"/>
      </w:pPr>
      <w:r>
        <w:rPr>
          <w:noProof/>
          <w:lang w:val="en-IN" w:eastAsia="en-IN"/>
        </w:rPr>
        <w:lastRenderedPageBreak/>
        <w:drawing>
          <wp:inline distT="0" distB="0" distL="0" distR="0" wp14:anchorId="7322A05F" wp14:editId="206E93DA">
            <wp:extent cx="2984500" cy="1728523"/>
            <wp:effectExtent l="0" t="0" r="6350" b="5080"/>
            <wp:docPr id="1325680269" name="Picture 132568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91747" cy="1732720"/>
                    </a:xfrm>
                    <a:prstGeom prst="rect">
                      <a:avLst/>
                    </a:prstGeom>
                  </pic:spPr>
                </pic:pic>
              </a:graphicData>
            </a:graphic>
          </wp:inline>
        </w:drawing>
      </w:r>
    </w:p>
    <w:p w14:paraId="6B754EB5" w14:textId="08FFE5A6" w:rsidR="72B7CE61" w:rsidRDefault="72B7CE61" w:rsidP="279880EA">
      <w:pPr>
        <w:pStyle w:val="TableFigure"/>
        <w:spacing w:line="360" w:lineRule="auto"/>
      </w:pPr>
      <w:r>
        <w:t xml:space="preserve">One reason for this </w:t>
      </w:r>
      <w:r w:rsidR="49EEA8DF">
        <w:t>could</w:t>
      </w:r>
      <w:r>
        <w:t xml:space="preserve"> be the affordability for staying in a </w:t>
      </w:r>
      <w:r w:rsidR="520A40FA">
        <w:t xml:space="preserve">private hospital is less. We can also see </w:t>
      </w:r>
      <w:r w:rsidR="67479C36">
        <w:t>there is a direct correlation with longer stay and the cost incurred on the government.</w:t>
      </w:r>
    </w:p>
    <w:p w14:paraId="523508BA" w14:textId="198FC52B" w:rsidR="5BF94438" w:rsidRDefault="5BF94438" w:rsidP="279880EA">
      <w:pPr>
        <w:pStyle w:val="TableFigure"/>
        <w:spacing w:line="360" w:lineRule="auto"/>
      </w:pPr>
      <w:r>
        <w:rPr>
          <w:noProof/>
          <w:lang w:val="en-IN" w:eastAsia="en-IN"/>
        </w:rPr>
        <w:drawing>
          <wp:inline distT="0" distB="0" distL="0" distR="0" wp14:anchorId="3BF380DA" wp14:editId="5E7A67D7">
            <wp:extent cx="3640667" cy="1911350"/>
            <wp:effectExtent l="0" t="0" r="0" b="0"/>
            <wp:docPr id="941202190" name="Picture 941202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1879" cy="1911986"/>
                    </a:xfrm>
                    <a:prstGeom prst="rect">
                      <a:avLst/>
                    </a:prstGeom>
                  </pic:spPr>
                </pic:pic>
              </a:graphicData>
            </a:graphic>
          </wp:inline>
        </w:drawing>
      </w:r>
    </w:p>
    <w:p w14:paraId="762B7E41" w14:textId="29AF0691" w:rsidR="279880EA" w:rsidRDefault="279880EA" w:rsidP="279880EA">
      <w:pPr>
        <w:pStyle w:val="TableFigure"/>
        <w:spacing w:line="360" w:lineRule="auto"/>
      </w:pPr>
    </w:p>
    <w:p w14:paraId="6A087095" w14:textId="3A07542B" w:rsidR="74911C8C" w:rsidRDefault="74911C8C" w:rsidP="279880EA">
      <w:pPr>
        <w:pStyle w:val="TableFigure"/>
        <w:spacing w:line="360" w:lineRule="auto"/>
        <w:rPr>
          <w:rStyle w:val="Emphasis"/>
          <w:i w:val="0"/>
          <w:iCs w:val="0"/>
          <w:lang w:val="en-GB" w:bidi="en-GB"/>
        </w:rPr>
      </w:pPr>
      <w:r w:rsidRPr="279880EA">
        <w:rPr>
          <w:rStyle w:val="Emphasis"/>
          <w:b/>
          <w:bCs/>
          <w:i w:val="0"/>
          <w:iCs w:val="0"/>
          <w:lang w:val="en-GB" w:bidi="en-GB"/>
        </w:rPr>
        <w:t>Critical Analysis of Government Policy Options</w:t>
      </w:r>
    </w:p>
    <w:p w14:paraId="652CFA38" w14:textId="3A97EF01" w:rsidR="74911C8C" w:rsidRDefault="74911C8C" w:rsidP="279880EA">
      <w:pPr>
        <w:pStyle w:val="TableFigure"/>
        <w:spacing w:line="360" w:lineRule="auto"/>
        <w:rPr>
          <w:rStyle w:val="Emphasis"/>
          <w:b/>
          <w:bCs/>
          <w:i w:val="0"/>
          <w:iCs w:val="0"/>
          <w:lang w:val="en-GB" w:bidi="en-GB"/>
        </w:rPr>
      </w:pPr>
      <w:r w:rsidRPr="279880EA">
        <w:rPr>
          <w:rStyle w:val="Emphasis"/>
          <w:i w:val="0"/>
          <w:iCs w:val="0"/>
          <w:lang w:val="en-GB" w:bidi="en-GB"/>
        </w:rPr>
        <w:t>In this section, we do a detailed analysis of all the options provided.</w:t>
      </w:r>
    </w:p>
    <w:p w14:paraId="0212ABEC" w14:textId="3FA73996" w:rsidR="74911C8C" w:rsidRDefault="74911C8C" w:rsidP="279880EA">
      <w:pPr>
        <w:pStyle w:val="TableFigure"/>
        <w:numPr>
          <w:ilvl w:val="0"/>
          <w:numId w:val="1"/>
        </w:numPr>
        <w:spacing w:line="360" w:lineRule="auto"/>
        <w:rPr>
          <w:rStyle w:val="Emphasis"/>
          <w:i w:val="0"/>
          <w:iCs w:val="0"/>
          <w:u w:val="single"/>
          <w:lang w:val="en-GB" w:bidi="en-GB"/>
        </w:rPr>
      </w:pPr>
      <w:r w:rsidRPr="279880EA">
        <w:rPr>
          <w:rStyle w:val="Emphasis"/>
          <w:b/>
          <w:bCs/>
          <w:i w:val="0"/>
          <w:iCs w:val="0"/>
          <w:u w:val="single"/>
          <w:lang w:val="en-GB" w:bidi="en-GB"/>
        </w:rPr>
        <w:t>Response 1</w:t>
      </w:r>
      <w:r w:rsidRPr="279880EA">
        <w:rPr>
          <w:rStyle w:val="Emphasis"/>
          <w:b/>
          <w:bCs/>
          <w:i w:val="0"/>
          <w:iCs w:val="0"/>
          <w:lang w:val="en-GB" w:bidi="en-GB"/>
        </w:rPr>
        <w:t xml:space="preserve"> </w:t>
      </w:r>
    </w:p>
    <w:p w14:paraId="1A5248F0" w14:textId="026E9809" w:rsidR="083298F6" w:rsidRDefault="083298F6" w:rsidP="279880EA">
      <w:pPr>
        <w:pStyle w:val="TableFigure"/>
        <w:spacing w:line="360" w:lineRule="auto"/>
        <w:rPr>
          <w:rStyle w:val="Emphasis"/>
          <w:i w:val="0"/>
          <w:iCs w:val="0"/>
          <w:lang w:val="en-GB" w:bidi="en-GB"/>
        </w:rPr>
      </w:pPr>
      <w:r w:rsidRPr="279880EA">
        <w:rPr>
          <w:rStyle w:val="Emphasis"/>
          <w:i w:val="0"/>
          <w:iCs w:val="0"/>
          <w:lang w:val="en-GB" w:bidi="en-GB"/>
        </w:rPr>
        <w:t xml:space="preserve">The first policy dictates, every citizen should get a </w:t>
      </w:r>
      <w:r w:rsidR="142A8EAF" w:rsidRPr="279880EA">
        <w:rPr>
          <w:rStyle w:val="Emphasis"/>
          <w:i w:val="0"/>
          <w:iCs w:val="0"/>
          <w:lang w:val="en-GB" w:bidi="en-GB"/>
        </w:rPr>
        <w:t xml:space="preserve">levy and the levy should decrease with age, this entails that the younger or people at less risk for the use of private health care should get more a </w:t>
      </w:r>
      <w:r w:rsidR="4686793A" w:rsidRPr="279880EA">
        <w:rPr>
          <w:rStyle w:val="Emphasis"/>
          <w:i w:val="0"/>
          <w:iCs w:val="0"/>
          <w:lang w:val="en-GB" w:bidi="en-GB"/>
        </w:rPr>
        <w:t>levy,</w:t>
      </w:r>
      <w:r w:rsidR="142A8EAF" w:rsidRPr="279880EA">
        <w:rPr>
          <w:rStyle w:val="Emphasis"/>
          <w:i w:val="0"/>
          <w:iCs w:val="0"/>
          <w:lang w:val="en-GB" w:bidi="en-GB"/>
        </w:rPr>
        <w:t xml:space="preserve"> so </w:t>
      </w:r>
      <w:r w:rsidR="673406A1" w:rsidRPr="279880EA">
        <w:rPr>
          <w:rStyle w:val="Emphasis"/>
          <w:i w:val="0"/>
          <w:iCs w:val="0"/>
          <w:lang w:val="en-GB" w:bidi="en-GB"/>
        </w:rPr>
        <w:t>it is a better deal for them, and they are more likely to invest in PHIs</w:t>
      </w:r>
      <w:r w:rsidR="3C5A6DCE" w:rsidRPr="279880EA">
        <w:rPr>
          <w:rStyle w:val="Emphasis"/>
          <w:i w:val="0"/>
          <w:iCs w:val="0"/>
          <w:lang w:val="en-GB" w:bidi="en-GB"/>
        </w:rPr>
        <w:t>.</w:t>
      </w:r>
      <w:r w:rsidR="073FC5CC" w:rsidRPr="279880EA">
        <w:rPr>
          <w:rStyle w:val="Emphasis"/>
          <w:i w:val="0"/>
          <w:iCs w:val="0"/>
          <w:lang w:val="en-GB" w:bidi="en-GB"/>
        </w:rPr>
        <w:t xml:space="preserve"> The implications of this response would be the </w:t>
      </w:r>
      <w:r w:rsidR="243EB45C" w:rsidRPr="279880EA">
        <w:rPr>
          <w:rStyle w:val="Emphasis"/>
          <w:i w:val="0"/>
          <w:iCs w:val="0"/>
          <w:lang w:val="en-GB" w:bidi="en-GB"/>
        </w:rPr>
        <w:t>growth in the rate of PHIs through younger people</w:t>
      </w:r>
      <w:r w:rsidR="7DAEC2B2" w:rsidRPr="279880EA">
        <w:rPr>
          <w:rStyle w:val="Emphasis"/>
          <w:i w:val="0"/>
          <w:iCs w:val="0"/>
          <w:lang w:val="en-GB" w:bidi="en-GB"/>
        </w:rPr>
        <w:t xml:space="preserve"> or less risky people in the fray which can support the riskier patients in the PHI such as old people. However, financially this can be a</w:t>
      </w:r>
      <w:r w:rsidR="6E2B604D" w:rsidRPr="279880EA">
        <w:rPr>
          <w:rStyle w:val="Emphasis"/>
          <w:i w:val="0"/>
          <w:iCs w:val="0"/>
          <w:lang w:val="en-GB" w:bidi="en-GB"/>
        </w:rPr>
        <w:t xml:space="preserve"> huge Burdon on the government as the levy on younger people w</w:t>
      </w:r>
      <w:r w:rsidR="1BA61A7D" w:rsidRPr="279880EA">
        <w:rPr>
          <w:rStyle w:val="Emphasis"/>
          <w:i w:val="0"/>
          <w:iCs w:val="0"/>
          <w:lang w:val="en-GB" w:bidi="en-GB"/>
        </w:rPr>
        <w:t>ould spur up a great deal of capital to support this response. This solution could work for a small term plan but could get very heavy on the long term</w:t>
      </w:r>
      <w:r w:rsidR="5A4AFFAE" w:rsidRPr="279880EA">
        <w:rPr>
          <w:rStyle w:val="Emphasis"/>
          <w:i w:val="0"/>
          <w:iCs w:val="0"/>
          <w:lang w:val="en-GB" w:bidi="en-GB"/>
        </w:rPr>
        <w:t>.</w:t>
      </w:r>
    </w:p>
    <w:p w14:paraId="222DF372" w14:textId="601BB184" w:rsidR="7C0D3C6E" w:rsidRDefault="7C0D3C6E" w:rsidP="279880EA">
      <w:pPr>
        <w:pStyle w:val="TableFigure"/>
        <w:spacing w:line="360" w:lineRule="auto"/>
      </w:pPr>
      <w:r>
        <w:rPr>
          <w:noProof/>
          <w:lang w:val="en-IN" w:eastAsia="en-IN"/>
        </w:rPr>
        <w:lastRenderedPageBreak/>
        <w:drawing>
          <wp:inline distT="0" distB="0" distL="0" distR="0" wp14:anchorId="391DBF3C" wp14:editId="5589A1E8">
            <wp:extent cx="2343150" cy="1664615"/>
            <wp:effectExtent l="0" t="0" r="0" b="0"/>
            <wp:docPr id="166894448" name="Picture 16689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0156" cy="1690904"/>
                    </a:xfrm>
                    <a:prstGeom prst="rect">
                      <a:avLst/>
                    </a:prstGeom>
                  </pic:spPr>
                </pic:pic>
              </a:graphicData>
            </a:graphic>
          </wp:inline>
        </w:drawing>
      </w:r>
    </w:p>
    <w:p w14:paraId="62BDB3E8" w14:textId="10D11085" w:rsidR="0FA2AD3B" w:rsidRDefault="0FA2AD3B" w:rsidP="279880EA">
      <w:pPr>
        <w:pStyle w:val="TableFigure"/>
        <w:spacing w:line="360" w:lineRule="auto"/>
        <w:rPr>
          <w:b/>
          <w:bCs/>
        </w:rPr>
      </w:pPr>
      <w:r w:rsidRPr="279880EA">
        <w:rPr>
          <w:b/>
          <w:bCs/>
        </w:rPr>
        <w:t>3.2</w:t>
      </w:r>
      <w:r w:rsidR="22523E45" w:rsidRPr="279880EA">
        <w:rPr>
          <w:b/>
          <w:bCs/>
        </w:rPr>
        <w:t>)</w:t>
      </w:r>
      <w:r w:rsidRPr="279880EA">
        <w:rPr>
          <w:b/>
          <w:bCs/>
        </w:rPr>
        <w:t xml:space="preserve"> Market Equilibrium Analysis</w:t>
      </w:r>
    </w:p>
    <w:p w14:paraId="57B1ED67" w14:textId="58BFFEA5" w:rsidR="3D781D7D" w:rsidRDefault="3D781D7D" w:rsidP="279880EA">
      <w:pPr>
        <w:pStyle w:val="TableFigure"/>
        <w:numPr>
          <w:ilvl w:val="0"/>
          <w:numId w:val="19"/>
        </w:numPr>
        <w:spacing w:line="360" w:lineRule="auto"/>
      </w:pPr>
      <w:r>
        <w:t>With the introduction of the subsidy, younger individuals, who receive higher subsidies, will experience a decrease in the effective price of PHI. This will lead to an increase in the quantity demanded by younger individuals, shifting the demand curve to the right.</w:t>
      </w:r>
    </w:p>
    <w:p w14:paraId="4E17BE11" w14:textId="1FE24AA8" w:rsidR="3D781D7D" w:rsidRDefault="3D781D7D" w:rsidP="279880EA">
      <w:pPr>
        <w:pStyle w:val="TableFigure"/>
        <w:numPr>
          <w:ilvl w:val="0"/>
          <w:numId w:val="19"/>
        </w:numPr>
        <w:spacing w:line="360" w:lineRule="auto"/>
      </w:pPr>
      <w:r>
        <w:t>The shift in the demand curve will result in a new equilibrium point with a higher quantity demanded (Q</w:t>
      </w:r>
      <w:r w:rsidR="3A3DB5BE">
        <w:t>2</w:t>
      </w:r>
      <w:r>
        <w:t>) and potentially a higher price (P</w:t>
      </w:r>
      <w:r w:rsidR="3AFCE59B">
        <w:t>2</w:t>
      </w:r>
      <w:r>
        <w:t xml:space="preserve">) compared to the initial </w:t>
      </w:r>
      <w:r w:rsidR="00E23901">
        <w:t>equilibrium (</w:t>
      </w:r>
      <w:r w:rsidR="5B6F7547">
        <w:t>E1)</w:t>
      </w:r>
      <w:r>
        <w:t>.</w:t>
      </w:r>
    </w:p>
    <w:p w14:paraId="5AAB925F" w14:textId="1AB92220" w:rsidR="3D781D7D" w:rsidRDefault="3D781D7D" w:rsidP="279880EA">
      <w:pPr>
        <w:pStyle w:val="TableFigure"/>
        <w:numPr>
          <w:ilvl w:val="0"/>
          <w:numId w:val="19"/>
        </w:numPr>
        <w:spacing w:line="360" w:lineRule="auto"/>
      </w:pPr>
      <w:r>
        <w:t>Simultaneously, older individuals, who receive lower subsidies, may face a higher effective price of PHI. This could result in a decrease in the quantity demanded by older individuals, causing a leftward shift in the demand curve</w:t>
      </w:r>
      <w:r w:rsidR="3AC1E7E0">
        <w:t xml:space="preserve">, however the need for the older people for PHIs is more necessary so it </w:t>
      </w:r>
      <w:r w:rsidR="681F206E">
        <w:t>will not</w:t>
      </w:r>
      <w:r w:rsidR="3AC1E7E0">
        <w:t xml:space="preserve"> be able to counteract the younger peoples increase in demand</w:t>
      </w:r>
      <w:r>
        <w:t>.</w:t>
      </w:r>
    </w:p>
    <w:p w14:paraId="2654F83E" w14:textId="408DBDB7" w:rsidR="3D781D7D" w:rsidRDefault="3D781D7D" w:rsidP="279880EA">
      <w:pPr>
        <w:pStyle w:val="TableFigure"/>
        <w:spacing w:line="360" w:lineRule="auto"/>
      </w:pPr>
      <w:r>
        <w:t>The exact magnitude of the shifts in the demand curve and the resulting changes in market equilibrium will depend on the specific subsidy amounts and the price elasticity of demand for PHI across different age groups</w:t>
      </w:r>
      <w:r w:rsidR="2420D17E">
        <w:t>.</w:t>
      </w:r>
    </w:p>
    <w:p w14:paraId="301083DE" w14:textId="43F6CA0F" w:rsidR="237E8F89" w:rsidRDefault="237E8F89" w:rsidP="279880EA">
      <w:pPr>
        <w:pStyle w:val="TableFigure"/>
        <w:spacing w:line="360" w:lineRule="auto"/>
      </w:pPr>
      <w:r w:rsidRPr="279880EA">
        <w:rPr>
          <w:b/>
          <w:bCs/>
        </w:rPr>
        <w:t xml:space="preserve">3.3) </w:t>
      </w:r>
      <w:r w:rsidR="4FC70AFC" w:rsidRPr="279880EA">
        <w:rPr>
          <w:b/>
          <w:bCs/>
        </w:rPr>
        <w:t>Other Market Incentives</w:t>
      </w:r>
    </w:p>
    <w:p w14:paraId="184CA74C" w14:textId="4DC3CB0B" w:rsidR="4FC70AFC" w:rsidRDefault="4FC70AFC" w:rsidP="279880EA">
      <w:pPr>
        <w:pStyle w:val="TableFigure"/>
        <w:numPr>
          <w:ilvl w:val="0"/>
          <w:numId w:val="18"/>
        </w:numPr>
        <w:spacing w:line="360" w:lineRule="auto"/>
      </w:pPr>
      <w:r>
        <w:t xml:space="preserve">The market premiums will get cheaper </w:t>
      </w:r>
      <w:r w:rsidR="288BFBDE">
        <w:t xml:space="preserve">for younger people </w:t>
      </w:r>
      <w:r>
        <w:t xml:space="preserve">as </w:t>
      </w:r>
      <w:r w:rsidR="43DE6E42">
        <w:t xml:space="preserve">insurance </w:t>
      </w:r>
      <w:r w:rsidR="647AAB72">
        <w:t>companies</w:t>
      </w:r>
      <w:r w:rsidR="43DE6E42">
        <w:t xml:space="preserve"> would be </w:t>
      </w:r>
      <w:r w:rsidR="52EFB409">
        <w:t>incentivized</w:t>
      </w:r>
      <w:r w:rsidR="43DE6E42">
        <w:t xml:space="preserve"> to </w:t>
      </w:r>
      <w:r w:rsidR="3B3B8CE8">
        <w:t xml:space="preserve">take on more young customers and the best way to do that would be to decrease their premium prices. </w:t>
      </w:r>
      <w:r w:rsidR="44CE51F1">
        <w:t>Furthermore,</w:t>
      </w:r>
      <w:r w:rsidR="3B3B8CE8">
        <w:t xml:space="preserve"> the equilibrium p</w:t>
      </w:r>
      <w:r w:rsidR="14AB9B3F">
        <w:t xml:space="preserve">rice for the young customers would also change as the profit earned by the companies </w:t>
      </w:r>
      <w:r w:rsidR="2410FE84">
        <w:t>will not</w:t>
      </w:r>
      <w:r w:rsidR="14AB9B3F">
        <w:t xml:space="preserve"> just include the premium prices, </w:t>
      </w:r>
      <w:r w:rsidR="224DBCC1">
        <w:t>but</w:t>
      </w:r>
      <w:r w:rsidR="14AB9B3F">
        <w:t xml:space="preserve"> also the subsidy they will be </w:t>
      </w:r>
      <w:r w:rsidR="35C6D581">
        <w:t>receiving</w:t>
      </w:r>
      <w:r w:rsidR="14AB9B3F">
        <w:t xml:space="preserve"> </w:t>
      </w:r>
      <w:r w:rsidR="155B3567">
        <w:t>from</w:t>
      </w:r>
      <w:r w:rsidR="14AB9B3F">
        <w:t xml:space="preserve"> the government.</w:t>
      </w:r>
    </w:p>
    <w:p w14:paraId="109B017B" w14:textId="0C9201DF" w:rsidR="279880EA" w:rsidRDefault="279880EA" w:rsidP="279880EA">
      <w:pPr>
        <w:pStyle w:val="TableFigure"/>
        <w:spacing w:line="360" w:lineRule="auto"/>
      </w:pPr>
    </w:p>
    <w:p w14:paraId="0852CB0E" w14:textId="290AE59C" w:rsidR="23A2B359" w:rsidRDefault="23A2B359" w:rsidP="279880EA">
      <w:pPr>
        <w:pStyle w:val="TableFigure"/>
        <w:spacing w:line="360" w:lineRule="auto"/>
      </w:pPr>
      <w:r>
        <w:rPr>
          <w:noProof/>
          <w:lang w:val="en-IN" w:eastAsia="en-IN"/>
        </w:rPr>
        <w:lastRenderedPageBreak/>
        <w:drawing>
          <wp:inline distT="0" distB="0" distL="0" distR="0" wp14:anchorId="0D2C3FD1" wp14:editId="010B5AD7">
            <wp:extent cx="3168650" cy="1808771"/>
            <wp:effectExtent l="0" t="0" r="0" b="1270"/>
            <wp:docPr id="1766406860" name="Picture 176640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1781" cy="1810558"/>
                    </a:xfrm>
                    <a:prstGeom prst="rect">
                      <a:avLst/>
                    </a:prstGeom>
                  </pic:spPr>
                </pic:pic>
              </a:graphicData>
            </a:graphic>
          </wp:inline>
        </w:drawing>
      </w:r>
    </w:p>
    <w:p w14:paraId="2ACD3678" w14:textId="183F509B" w:rsidR="4B03F27F" w:rsidRDefault="4B03F27F" w:rsidP="279880EA">
      <w:pPr>
        <w:pStyle w:val="TableFigure"/>
        <w:numPr>
          <w:ilvl w:val="0"/>
          <w:numId w:val="17"/>
        </w:numPr>
        <w:spacing w:line="360" w:lineRule="auto"/>
      </w:pPr>
      <w:r>
        <w:t>Incentives for Insurance Brokers and Agents: Insurers may offer additional incentives, such as higher commissions or bonuses, to insurance brokers and agents who successfully sell policies to younger individuals. By aligning the monetary interests of brokers with the age-dependent subsidy structure, insurers can motivate brokers to actively promote private health insurance among the younger demographic.</w:t>
      </w:r>
    </w:p>
    <w:p w14:paraId="57BFFDDC" w14:textId="231FEF75" w:rsidR="5502B52A" w:rsidRDefault="5502B52A" w:rsidP="279880EA">
      <w:pPr>
        <w:pStyle w:val="TableFigure"/>
        <w:numPr>
          <w:ilvl w:val="0"/>
          <w:numId w:val="17"/>
        </w:numPr>
        <w:spacing w:line="360" w:lineRule="auto"/>
      </w:pPr>
      <w:r>
        <w:t>Customized Insurance Packages: Insurers may design insurance packages that cater to younger individuals. These packages could include benefits and coverage options that align with the healthcare needs and priorities of this age group. By offering customized packages, insurers can enhance the perceived value of private health insurance for younger individuals, making it more appealing and encouraging them to purchase coverage.</w:t>
      </w:r>
    </w:p>
    <w:p w14:paraId="33437F38" w14:textId="7AD1098C" w:rsidR="0A8539E1" w:rsidRDefault="0A8539E1" w:rsidP="279880EA">
      <w:pPr>
        <w:pStyle w:val="TableFigure"/>
        <w:spacing w:line="360" w:lineRule="auto"/>
      </w:pPr>
      <w:r w:rsidRPr="279880EA">
        <w:rPr>
          <w:b/>
          <w:bCs/>
        </w:rPr>
        <w:t xml:space="preserve">3.4) </w:t>
      </w:r>
      <w:r w:rsidR="38AB58DE" w:rsidRPr="279880EA">
        <w:rPr>
          <w:b/>
          <w:bCs/>
        </w:rPr>
        <w:t>Winners</w:t>
      </w:r>
    </w:p>
    <w:p w14:paraId="75896BE9" w14:textId="1C9B4AF4" w:rsidR="38AB58DE" w:rsidRDefault="38AB58DE" w:rsidP="279880EA">
      <w:pPr>
        <w:pStyle w:val="TableFigure"/>
        <w:numPr>
          <w:ilvl w:val="0"/>
          <w:numId w:val="16"/>
        </w:numPr>
        <w:spacing w:line="360" w:lineRule="auto"/>
      </w:pPr>
      <w:r>
        <w:t>Young people</w:t>
      </w:r>
      <w:r w:rsidR="128B3F4C">
        <w:t xml:space="preserve"> – as the </w:t>
      </w:r>
      <w:r w:rsidR="1B3E409A">
        <w:t>subsidy</w:t>
      </w:r>
      <w:r w:rsidR="128B3F4C">
        <w:t xml:space="preserve"> directly targets the younger </w:t>
      </w:r>
      <w:r w:rsidR="2C0BF1B0">
        <w:t>population,</w:t>
      </w:r>
      <w:r w:rsidR="128B3F4C">
        <w:t xml:space="preserve"> they will be </w:t>
      </w:r>
      <w:r w:rsidR="3B470304">
        <w:t>incentivized</w:t>
      </w:r>
      <w:r w:rsidR="128B3F4C">
        <w:t xml:space="preserve"> to use the benefits of</w:t>
      </w:r>
      <w:r w:rsidR="024D5C71">
        <w:t xml:space="preserve"> PHIs on a lower cost basis.</w:t>
      </w:r>
    </w:p>
    <w:p w14:paraId="7D57CF91" w14:textId="19B26E57" w:rsidR="03AD7F34" w:rsidRDefault="03AD7F34" w:rsidP="279880EA">
      <w:pPr>
        <w:pStyle w:val="TableFigure"/>
        <w:numPr>
          <w:ilvl w:val="0"/>
          <w:numId w:val="16"/>
        </w:numPr>
        <w:spacing w:line="360" w:lineRule="auto"/>
      </w:pPr>
      <w:r>
        <w:t>Insurers: Insurers may experience increased demand for policies from younger individuals, leading to higher sales and potentially improved profitability.</w:t>
      </w:r>
    </w:p>
    <w:p w14:paraId="6175C3C0" w14:textId="12016F57" w:rsidR="03AD7F34" w:rsidRDefault="03AD7F34" w:rsidP="279880EA">
      <w:pPr>
        <w:spacing w:before="240" w:line="360" w:lineRule="auto"/>
        <w:ind w:firstLine="0"/>
        <w:rPr>
          <w:b/>
          <w:bCs/>
        </w:rPr>
      </w:pPr>
      <w:r w:rsidRPr="279880EA">
        <w:rPr>
          <w:b/>
          <w:bCs/>
        </w:rPr>
        <w:t>Losers</w:t>
      </w:r>
    </w:p>
    <w:p w14:paraId="44CD087B" w14:textId="40D2BC0A" w:rsidR="03AD7F34" w:rsidRDefault="03AD7F34" w:rsidP="279880EA">
      <w:pPr>
        <w:pStyle w:val="ListParagraph"/>
        <w:numPr>
          <w:ilvl w:val="0"/>
          <w:numId w:val="16"/>
        </w:numPr>
        <w:spacing w:line="360" w:lineRule="auto"/>
      </w:pPr>
      <w:r w:rsidRPr="279880EA">
        <w:t>Older individuals: older individuals, who receive lower subsidies, may face higher effective prices for private health insurance. This can make it less affordable for them, potentially leading to a decrease in their insurance coverage.</w:t>
      </w:r>
    </w:p>
    <w:p w14:paraId="0040C976" w14:textId="51866BBA" w:rsidR="03AD7F34" w:rsidRDefault="03AD7F34" w:rsidP="279880EA">
      <w:pPr>
        <w:pStyle w:val="ListParagraph"/>
        <w:numPr>
          <w:ilvl w:val="0"/>
          <w:numId w:val="16"/>
        </w:numPr>
        <w:spacing w:line="360" w:lineRule="auto"/>
      </w:pPr>
      <w:r w:rsidRPr="279880EA">
        <w:t>Government: The government may face increased budgetary pressure due to the subsidy costs associated with encouraging younger individuals to purchase private health insurance.</w:t>
      </w:r>
    </w:p>
    <w:p w14:paraId="0C59026F" w14:textId="0DF2B0F8" w:rsidR="01A4B0DE" w:rsidRDefault="01A4B0DE" w:rsidP="279880EA">
      <w:pPr>
        <w:spacing w:line="360" w:lineRule="auto"/>
        <w:ind w:firstLine="0"/>
        <w:rPr>
          <w:b/>
          <w:bCs/>
        </w:rPr>
      </w:pPr>
      <w:r w:rsidRPr="279880EA">
        <w:rPr>
          <w:b/>
          <w:bCs/>
        </w:rPr>
        <w:t xml:space="preserve">3.5) </w:t>
      </w:r>
      <w:r w:rsidR="34B6DF52" w:rsidRPr="279880EA">
        <w:rPr>
          <w:b/>
          <w:bCs/>
        </w:rPr>
        <w:t>Limitations of the age-based subsidy</w:t>
      </w:r>
    </w:p>
    <w:p w14:paraId="71003B83" w14:textId="3ABED1AF" w:rsidR="2E996CD2" w:rsidRDefault="2E996CD2" w:rsidP="279880EA">
      <w:pPr>
        <w:pStyle w:val="ListParagraph"/>
        <w:numPr>
          <w:ilvl w:val="0"/>
          <w:numId w:val="15"/>
        </w:numPr>
        <w:spacing w:line="360" w:lineRule="auto"/>
      </w:pPr>
      <w:r w:rsidRPr="279880EA">
        <w:lastRenderedPageBreak/>
        <w:t>Risk of Market Distortion: The subsidy may potentially distort the market dynamics by creating an artificial incentive for insurers to primarily target younger individuals who are eligible for higher subsidies.</w:t>
      </w:r>
    </w:p>
    <w:p w14:paraId="468B5A27" w14:textId="6974936D" w:rsidR="2E996CD2" w:rsidRDefault="2E996CD2" w:rsidP="279880EA">
      <w:pPr>
        <w:pStyle w:val="ListParagraph"/>
        <w:numPr>
          <w:ilvl w:val="0"/>
          <w:numId w:val="15"/>
        </w:numPr>
        <w:spacing w:line="360" w:lineRule="auto"/>
      </w:pPr>
      <w:r w:rsidRPr="279880EA">
        <w:t>Limited Impact on Affordability: While the subsidy lower</w:t>
      </w:r>
      <w:r w:rsidR="454B4D4C" w:rsidRPr="279880EA">
        <w:t>s</w:t>
      </w:r>
      <w:r w:rsidRPr="279880EA">
        <w:t xml:space="preserve"> the effective price of private health insurance for younger individuals, it may address the underlying affordability concerns that discourage individuals</w:t>
      </w:r>
      <w:r w:rsidR="65E4A651" w:rsidRPr="279880EA">
        <w:t xml:space="preserve"> </w:t>
      </w:r>
      <w:r w:rsidRPr="279880EA">
        <w:t>from purchasing coverage.</w:t>
      </w:r>
    </w:p>
    <w:p w14:paraId="680639E0" w14:textId="2AB2A783" w:rsidR="1523ECE3" w:rsidRDefault="1523ECE3" w:rsidP="279880EA">
      <w:pPr>
        <w:pStyle w:val="ListParagraph"/>
        <w:numPr>
          <w:ilvl w:val="0"/>
          <w:numId w:val="15"/>
        </w:numPr>
        <w:spacing w:line="360" w:lineRule="auto"/>
      </w:pPr>
      <w:r w:rsidRPr="279880EA">
        <w:t xml:space="preserve">Budgetary Considerations: Introducing subsidies can have significant budgetary implications for the government. </w:t>
      </w:r>
    </w:p>
    <w:p w14:paraId="5B86BC8A" w14:textId="73DA4EA7" w:rsidR="1523ECE3" w:rsidRDefault="1523ECE3" w:rsidP="279880EA">
      <w:pPr>
        <w:pStyle w:val="ListParagraph"/>
        <w:numPr>
          <w:ilvl w:val="0"/>
          <w:numId w:val="19"/>
        </w:numPr>
        <w:spacing w:line="360" w:lineRule="auto"/>
        <w:rPr>
          <w:u w:val="single"/>
        </w:rPr>
      </w:pPr>
      <w:r w:rsidRPr="279880EA">
        <w:rPr>
          <w:b/>
          <w:bCs/>
          <w:u w:val="single"/>
        </w:rPr>
        <w:t>Response 2</w:t>
      </w:r>
    </w:p>
    <w:p w14:paraId="0383018B" w14:textId="7E30D49E" w:rsidR="0B3C007C" w:rsidRDefault="0B3C007C" w:rsidP="279880EA">
      <w:pPr>
        <w:spacing w:before="240" w:line="360" w:lineRule="auto"/>
        <w:ind w:firstLine="0"/>
      </w:pPr>
      <w:r w:rsidRPr="279880EA">
        <w:t xml:space="preserve">4.1) </w:t>
      </w:r>
      <w:r w:rsidR="00E23901" w:rsidRPr="279880EA">
        <w:t>the</w:t>
      </w:r>
      <w:r w:rsidR="6A9912E2" w:rsidRPr="279880EA">
        <w:t xml:space="preserve"> second policy response involves lowering the income threshold for the Medicare levy surcharge, a tax penalty for individuals without private health cover. By reducing the threshold, the government aims to encourage more individuals to purchase PHI. This policy targets individuals with higher incomes and provides a different approach to incentivizing PHI enrollment.</w:t>
      </w:r>
      <w:r w:rsidR="37C02693" w:rsidRPr="279880EA">
        <w:t xml:space="preserve"> A tax penalty is issued for people without private cover – from $90,000 to $50,000 for singles and from $180,000 to $100,000 for couples/families.</w:t>
      </w:r>
    </w:p>
    <w:p w14:paraId="3C162CB9" w14:textId="516B0B71" w:rsidR="3FD618B6" w:rsidRDefault="3FD618B6" w:rsidP="279880EA">
      <w:pPr>
        <w:spacing w:before="240" w:line="360" w:lineRule="auto"/>
        <w:ind w:firstLine="0"/>
      </w:pPr>
      <w:r w:rsidRPr="279880EA">
        <w:t>Now we take a deeper look at the level of impact such a policy can have on the market.</w:t>
      </w:r>
    </w:p>
    <w:p w14:paraId="0224C5C9" w14:textId="66041C7B" w:rsidR="258B6EE0" w:rsidRDefault="258B6EE0" w:rsidP="279880EA">
      <w:pPr>
        <w:spacing w:before="240" w:line="360" w:lineRule="auto"/>
        <w:ind w:firstLine="0"/>
      </w:pPr>
      <w:r>
        <w:t>Going through the dat</w:t>
      </w:r>
      <w:r w:rsidR="6A5A8ED7">
        <w:t xml:space="preserve">a, if we try to see the population affected by this levy, </w:t>
      </w:r>
      <w:r w:rsidR="5E95C653">
        <w:t>I.e.,</w:t>
      </w:r>
      <w:r w:rsidR="6A5A8ED7">
        <w:t xml:space="preserve"> </w:t>
      </w:r>
      <w:r w:rsidR="576CDD6C">
        <w:t>people with</w:t>
      </w:r>
      <w:r w:rsidR="6A5A8ED7">
        <w:t xml:space="preserve"> the income range of 50-90 t</w:t>
      </w:r>
      <w:r w:rsidR="7D0A1FE1">
        <w:t>housand as an individual which would encompass</w:t>
      </w:r>
      <w:r w:rsidR="6A5A8ED7">
        <w:t xml:space="preserve"> </w:t>
      </w:r>
      <w:r w:rsidR="09E3AB5A">
        <w:t>around 15-20 percent of the population.</w:t>
      </w:r>
    </w:p>
    <w:p w14:paraId="3A7D3CD3" w14:textId="2D09C2BF" w:rsidR="0864571B" w:rsidRDefault="0864571B" w:rsidP="279880EA">
      <w:pPr>
        <w:spacing w:before="240" w:line="360" w:lineRule="auto"/>
        <w:ind w:firstLine="0"/>
      </w:pPr>
      <w:r>
        <w:rPr>
          <w:noProof/>
          <w:lang w:val="en-IN" w:eastAsia="en-IN"/>
        </w:rPr>
        <w:drawing>
          <wp:inline distT="0" distB="0" distL="0" distR="0" wp14:anchorId="63579181" wp14:editId="15165F6F">
            <wp:extent cx="3152775" cy="2344876"/>
            <wp:effectExtent l="0" t="0" r="0" b="0"/>
            <wp:docPr id="138665808" name="Picture 13866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2775" cy="2344876"/>
                    </a:xfrm>
                    <a:prstGeom prst="rect">
                      <a:avLst/>
                    </a:prstGeom>
                  </pic:spPr>
                </pic:pic>
              </a:graphicData>
            </a:graphic>
          </wp:inline>
        </w:drawing>
      </w:r>
    </w:p>
    <w:p w14:paraId="1582A6BE" w14:textId="73D9400A" w:rsidR="19F43059" w:rsidRDefault="19F43059" w:rsidP="279880EA">
      <w:pPr>
        <w:spacing w:before="240" w:line="360" w:lineRule="auto"/>
        <w:ind w:firstLine="0"/>
      </w:pPr>
      <w:r w:rsidRPr="279880EA">
        <w:t>Seeing that a large population would be almost forced to take on the PHIs, this would lead to a huge increase in the amount of costs saved by the g</w:t>
      </w:r>
      <w:r w:rsidR="0C63ED39" w:rsidRPr="279880EA">
        <w:t xml:space="preserve">overnment. Furthermore, the </w:t>
      </w:r>
      <w:r w:rsidR="0C63ED39" w:rsidRPr="279880EA">
        <w:lastRenderedPageBreak/>
        <w:t xml:space="preserve">government would </w:t>
      </w:r>
      <w:r w:rsidR="6E73C5CC" w:rsidRPr="279880EA">
        <w:t>be in a position where they could spend the newly gained income towards optimization of the healthcare system and improving the industry.</w:t>
      </w:r>
      <w:r w:rsidRPr="279880EA">
        <w:t xml:space="preserve"> </w:t>
      </w:r>
    </w:p>
    <w:p w14:paraId="3F61BF3B" w14:textId="2C64FB52" w:rsidR="19F43059" w:rsidRDefault="19F43059" w:rsidP="279880EA">
      <w:pPr>
        <w:spacing w:before="240" w:line="360" w:lineRule="auto"/>
        <w:ind w:firstLine="0"/>
      </w:pPr>
      <w:r>
        <w:rPr>
          <w:noProof/>
          <w:lang w:val="en-IN" w:eastAsia="en-IN"/>
        </w:rPr>
        <w:drawing>
          <wp:inline distT="0" distB="0" distL="0" distR="0" wp14:anchorId="6C6E97B0" wp14:editId="635A020B">
            <wp:extent cx="3352800" cy="1676400"/>
            <wp:effectExtent l="0" t="0" r="0" b="0"/>
            <wp:docPr id="1234099374" name="Picture 1234099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2800" cy="1676400"/>
                    </a:xfrm>
                    <a:prstGeom prst="rect">
                      <a:avLst/>
                    </a:prstGeom>
                  </pic:spPr>
                </pic:pic>
              </a:graphicData>
            </a:graphic>
          </wp:inline>
        </w:drawing>
      </w:r>
    </w:p>
    <w:p w14:paraId="7814A33D" w14:textId="0517FC7F" w:rsidR="26B2149A" w:rsidRDefault="26B2149A" w:rsidP="279880EA">
      <w:pPr>
        <w:spacing w:before="240" w:line="360" w:lineRule="auto"/>
        <w:ind w:firstLine="0"/>
      </w:pPr>
      <w:r>
        <w:t>Going through the graphs we can concur that the young population is most likely to be affected by the newly added levy</w:t>
      </w:r>
      <w:r w:rsidR="5D3B61B0">
        <w:t xml:space="preserve"> and the overall market would be </w:t>
      </w:r>
      <w:r w:rsidR="3F6D3BB5">
        <w:t>equalized</w:t>
      </w:r>
      <w:r w:rsidR="5D3B61B0">
        <w:t>.</w:t>
      </w:r>
      <w:r w:rsidR="6549A072">
        <w:t xml:space="preserve"> </w:t>
      </w:r>
    </w:p>
    <w:p w14:paraId="64F9816E" w14:textId="780BAF9F" w:rsidR="19F43059" w:rsidRDefault="19F43059" w:rsidP="279880EA">
      <w:pPr>
        <w:spacing w:before="240" w:line="360" w:lineRule="auto"/>
        <w:ind w:firstLine="0"/>
      </w:pPr>
      <w:r>
        <w:rPr>
          <w:noProof/>
          <w:lang w:val="en-IN" w:eastAsia="en-IN"/>
        </w:rPr>
        <w:drawing>
          <wp:inline distT="0" distB="0" distL="0" distR="0" wp14:anchorId="01F76E82" wp14:editId="2F00D6FD">
            <wp:extent cx="3286539" cy="2362200"/>
            <wp:effectExtent l="0" t="0" r="0" b="0"/>
            <wp:docPr id="1344772814" name="Picture 134477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86539" cy="2362200"/>
                    </a:xfrm>
                    <a:prstGeom prst="rect">
                      <a:avLst/>
                    </a:prstGeom>
                  </pic:spPr>
                </pic:pic>
              </a:graphicData>
            </a:graphic>
          </wp:inline>
        </w:drawing>
      </w:r>
    </w:p>
    <w:p w14:paraId="1FE2F411" w14:textId="4D63533D" w:rsidR="665333FA" w:rsidRDefault="665333FA" w:rsidP="279880EA">
      <w:pPr>
        <w:spacing w:before="240" w:line="360" w:lineRule="auto"/>
        <w:ind w:firstLine="0"/>
      </w:pPr>
      <w:r w:rsidRPr="279880EA">
        <w:rPr>
          <w:b/>
          <w:bCs/>
        </w:rPr>
        <w:t xml:space="preserve">4.2) </w:t>
      </w:r>
      <w:r w:rsidR="77AB8A82" w:rsidRPr="279880EA">
        <w:rPr>
          <w:b/>
          <w:bCs/>
        </w:rPr>
        <w:t>Market Analysis</w:t>
      </w:r>
    </w:p>
    <w:p w14:paraId="220F8299" w14:textId="6F338848" w:rsidR="1D3AAB85" w:rsidRDefault="1D3AAB85" w:rsidP="279880EA">
      <w:pPr>
        <w:spacing w:before="240" w:line="360" w:lineRule="auto"/>
        <w:ind w:firstLine="0"/>
      </w:pPr>
      <w:r>
        <w:t>Shift in equilibrium: The increase in demand for private health insurance policies and potential increase in supply capacity can lead to a new market equilibrium with a higher quantity of policies sold (Q</w:t>
      </w:r>
      <w:r w:rsidR="2B5FE6A0">
        <w:t>1</w:t>
      </w:r>
      <w:r>
        <w:t>) and potentially a higher price for policies (P</w:t>
      </w:r>
      <w:r w:rsidR="43AFC736">
        <w:t>1</w:t>
      </w:r>
      <w:r>
        <w:t>).</w:t>
      </w:r>
    </w:p>
    <w:p w14:paraId="6AC4AFEB" w14:textId="6041DC73" w:rsidR="2D9A0505" w:rsidRDefault="2D9A0505" w:rsidP="279880EA">
      <w:pPr>
        <w:spacing w:before="240" w:line="360" w:lineRule="auto"/>
        <w:ind w:firstLine="0"/>
      </w:pPr>
      <w:r>
        <w:rPr>
          <w:noProof/>
          <w:lang w:val="en-IN" w:eastAsia="en-IN"/>
        </w:rPr>
        <w:lastRenderedPageBreak/>
        <w:drawing>
          <wp:inline distT="0" distB="0" distL="0" distR="0" wp14:anchorId="54BBFA95" wp14:editId="279D77EE">
            <wp:extent cx="2508250" cy="2250458"/>
            <wp:effectExtent l="0" t="0" r="6350" b="0"/>
            <wp:docPr id="620171159" name="Picture 62017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09433" cy="2251519"/>
                    </a:xfrm>
                    <a:prstGeom prst="rect">
                      <a:avLst/>
                    </a:prstGeom>
                  </pic:spPr>
                </pic:pic>
              </a:graphicData>
            </a:graphic>
          </wp:inline>
        </w:drawing>
      </w:r>
    </w:p>
    <w:p w14:paraId="6BF9FB69" w14:textId="60A6D9EB" w:rsidR="2D9A0505" w:rsidRDefault="2D9A0505" w:rsidP="279880EA">
      <w:pPr>
        <w:spacing w:before="240" w:line="360" w:lineRule="auto"/>
        <w:ind w:firstLine="0"/>
        <w:rPr>
          <w:b/>
          <w:bCs/>
        </w:rPr>
      </w:pPr>
      <w:r w:rsidRPr="279880EA">
        <w:rPr>
          <w:b/>
          <w:bCs/>
        </w:rPr>
        <w:t xml:space="preserve">4.3) </w:t>
      </w:r>
      <w:r w:rsidR="0479EE5A" w:rsidRPr="279880EA">
        <w:rPr>
          <w:b/>
          <w:bCs/>
        </w:rPr>
        <w:t>Effects on demand and supply for other factors</w:t>
      </w:r>
    </w:p>
    <w:p w14:paraId="212B62E9" w14:textId="693DBD70" w:rsidR="5C7F11A4" w:rsidRDefault="5C7F11A4" w:rsidP="279880EA">
      <w:pPr>
        <w:pStyle w:val="ListParagraph"/>
        <w:numPr>
          <w:ilvl w:val="0"/>
          <w:numId w:val="14"/>
        </w:numPr>
        <w:spacing w:before="240" w:line="360" w:lineRule="auto"/>
      </w:pPr>
      <w:r>
        <w:t>Decreasing the threshold would lead to an increase in quantity demanded for the PHIs</w:t>
      </w:r>
      <w:r w:rsidR="62E5A808">
        <w:t xml:space="preserve"> as people would be more willing to pay for the PHIs to avoid the tax if they </w:t>
      </w:r>
      <w:r w:rsidR="59C8DC07">
        <w:t>fell</w:t>
      </w:r>
      <w:r w:rsidR="62E5A808">
        <w:t xml:space="preserve"> in </w:t>
      </w:r>
      <w:r w:rsidR="498679EE">
        <w:t>that threshold</w:t>
      </w:r>
      <w:r w:rsidR="6BF43AEF">
        <w:t xml:space="preserve"> </w:t>
      </w:r>
      <w:r w:rsidR="62E5A808">
        <w:t>which</w:t>
      </w:r>
      <w:r>
        <w:t xml:space="preserve"> would lead to an increase in the equilibrium</w:t>
      </w:r>
      <w:r w:rsidR="49B5CC5F">
        <w:t xml:space="preserve"> of demand and supply and have positive shift in the market equilibrium</w:t>
      </w:r>
      <w:r w:rsidR="4828E7CF">
        <w:t>.</w:t>
      </w:r>
    </w:p>
    <w:p w14:paraId="06B15DF0" w14:textId="63056E19" w:rsidR="6644D56D" w:rsidRDefault="6644D56D" w:rsidP="279880EA">
      <w:pPr>
        <w:pStyle w:val="ListParagraph"/>
        <w:numPr>
          <w:ilvl w:val="0"/>
          <w:numId w:val="14"/>
        </w:numPr>
        <w:spacing w:before="240" w:line="360" w:lineRule="auto"/>
      </w:pPr>
      <w:r>
        <w:t>Increased supply capacity: The increase in demand for private health insurance policies may incentivize insurance companies to expand their supply capacity. They may introduce new insurance plans, negotiate with healthcare providers for wider networks, and increase their marketing efforts to capture the growing market.</w:t>
      </w:r>
      <w:r w:rsidR="7277FE3F">
        <w:t xml:space="preserve"> This scenario might increase supply as</w:t>
      </w:r>
      <w:r w:rsidR="4B4EB5DD">
        <w:t xml:space="preserve"> </w:t>
      </w:r>
      <w:r w:rsidR="7277FE3F">
        <w:t>well</w:t>
      </w:r>
      <w:r w:rsidR="6D7D4C3C">
        <w:t>.</w:t>
      </w:r>
    </w:p>
    <w:p w14:paraId="3F77C125" w14:textId="0B891171" w:rsidR="6D7D4C3C" w:rsidRDefault="6D7D4C3C" w:rsidP="279880EA">
      <w:pPr>
        <w:spacing w:before="240" w:line="360" w:lineRule="auto"/>
        <w:ind w:left="360"/>
      </w:pPr>
      <w:r>
        <w:rPr>
          <w:noProof/>
          <w:lang w:val="en-IN" w:eastAsia="en-IN"/>
        </w:rPr>
        <w:drawing>
          <wp:inline distT="0" distB="0" distL="0" distR="0" wp14:anchorId="42FA4B94" wp14:editId="6C0A5C25">
            <wp:extent cx="3338251" cy="3022600"/>
            <wp:effectExtent l="0" t="0" r="0" b="6350"/>
            <wp:docPr id="719544870" name="Picture 71954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59875" cy="3042180"/>
                    </a:xfrm>
                    <a:prstGeom prst="rect">
                      <a:avLst/>
                    </a:prstGeom>
                  </pic:spPr>
                </pic:pic>
              </a:graphicData>
            </a:graphic>
          </wp:inline>
        </w:drawing>
      </w:r>
    </w:p>
    <w:p w14:paraId="6C8A9CED" w14:textId="33142512" w:rsidR="23453911" w:rsidRDefault="23453911" w:rsidP="279880EA">
      <w:pPr>
        <w:spacing w:before="240" w:line="360" w:lineRule="auto"/>
        <w:ind w:left="360" w:firstLine="0"/>
        <w:rPr>
          <w:b/>
          <w:bCs/>
        </w:rPr>
      </w:pPr>
      <w:r w:rsidRPr="279880EA">
        <w:rPr>
          <w:b/>
          <w:bCs/>
        </w:rPr>
        <w:lastRenderedPageBreak/>
        <w:t xml:space="preserve">4.4) </w:t>
      </w:r>
      <w:r w:rsidR="2D8984DC" w:rsidRPr="279880EA">
        <w:rPr>
          <w:b/>
          <w:bCs/>
        </w:rPr>
        <w:t>Winners</w:t>
      </w:r>
    </w:p>
    <w:p w14:paraId="437B2AB2" w14:textId="7B16C4BF" w:rsidR="2D8984DC" w:rsidRDefault="2D8984DC" w:rsidP="279880EA">
      <w:pPr>
        <w:pStyle w:val="ListParagraph"/>
        <w:numPr>
          <w:ilvl w:val="0"/>
          <w:numId w:val="10"/>
        </w:numPr>
        <w:spacing w:before="240" w:line="360" w:lineRule="auto"/>
      </w:pPr>
      <w:r>
        <w:t xml:space="preserve">Private insurers: Lowering the threshold for the Medicare levy surcharge can incentivize more individuals to purchase private health insurance to avoid the tax penalty. This can lead to increased demand for </w:t>
      </w:r>
      <w:r w:rsidR="7EDDFB17">
        <w:t>PHIs</w:t>
      </w:r>
      <w:r>
        <w:t>.</w:t>
      </w:r>
    </w:p>
    <w:p w14:paraId="38334797" w14:textId="06C63F9D" w:rsidR="2D8984DC" w:rsidRDefault="2D8984DC" w:rsidP="279880EA">
      <w:pPr>
        <w:pStyle w:val="ListParagraph"/>
        <w:numPr>
          <w:ilvl w:val="0"/>
          <w:numId w:val="10"/>
        </w:numPr>
        <w:spacing w:before="240" w:line="360" w:lineRule="auto"/>
      </w:pPr>
      <w:r>
        <w:t>Individuals with higher incomes: Individuals with higher incomes who were previously not incentivized to purchase private health insurance may now find it more financially advantageous to obtain coverage to avoid the higher tax penalty.</w:t>
      </w:r>
    </w:p>
    <w:p w14:paraId="4642EE85" w14:textId="1C46566A" w:rsidR="2D8984DC" w:rsidRDefault="2D8984DC" w:rsidP="279880EA">
      <w:pPr>
        <w:spacing w:before="240" w:line="360" w:lineRule="auto"/>
        <w:ind w:left="360" w:firstLine="0"/>
        <w:rPr>
          <w:b/>
          <w:bCs/>
        </w:rPr>
      </w:pPr>
      <w:r w:rsidRPr="279880EA">
        <w:rPr>
          <w:b/>
          <w:bCs/>
        </w:rPr>
        <w:t>Losers:</w:t>
      </w:r>
    </w:p>
    <w:p w14:paraId="715B9584" w14:textId="43D5431D" w:rsidR="2D8984DC" w:rsidRDefault="2D8984DC" w:rsidP="279880EA">
      <w:pPr>
        <w:pStyle w:val="ListParagraph"/>
        <w:numPr>
          <w:ilvl w:val="0"/>
          <w:numId w:val="12"/>
        </w:numPr>
        <w:spacing w:before="240" w:line="360" w:lineRule="auto"/>
      </w:pPr>
      <w:r>
        <w:t>Individuals with lower incomes: Lowering the threshold for the Medicare levy surcharge may not significantly benefit individuals with lower incomes who may already find it difficult to afford private health insurance. They may continue to face challenges in accessing private healthcare services.</w:t>
      </w:r>
    </w:p>
    <w:p w14:paraId="2ACDE582" w14:textId="796C7241" w:rsidR="2D8984DC" w:rsidRDefault="2D8984DC" w:rsidP="279880EA">
      <w:pPr>
        <w:pStyle w:val="ListParagraph"/>
        <w:numPr>
          <w:ilvl w:val="0"/>
          <w:numId w:val="12"/>
        </w:numPr>
        <w:spacing w:before="240" w:line="360" w:lineRule="auto"/>
      </w:pPr>
      <w:r>
        <w:t>Government (to some extent): The government may experience a decrease in tax revenue from the Medicare levy surcharge due to more individuals opting for private health insurance to avoid the penalty.</w:t>
      </w:r>
    </w:p>
    <w:p w14:paraId="2D38CA33" w14:textId="313A8F4F" w:rsidR="706B9940" w:rsidRDefault="706B9940" w:rsidP="279880EA">
      <w:pPr>
        <w:spacing w:before="240" w:line="360" w:lineRule="auto"/>
        <w:ind w:left="360" w:firstLine="0"/>
      </w:pPr>
      <w:r w:rsidRPr="279880EA">
        <w:rPr>
          <w:b/>
          <w:bCs/>
        </w:rPr>
        <w:t xml:space="preserve">4.5) </w:t>
      </w:r>
      <w:r w:rsidR="2AD34F3F" w:rsidRPr="279880EA">
        <w:rPr>
          <w:b/>
          <w:bCs/>
        </w:rPr>
        <w:t>Limitations</w:t>
      </w:r>
    </w:p>
    <w:p w14:paraId="7AD83776" w14:textId="145AC82E" w:rsidR="1D992290" w:rsidRDefault="1D992290" w:rsidP="279880EA">
      <w:pPr>
        <w:pStyle w:val="ListParagraph"/>
        <w:numPr>
          <w:ilvl w:val="0"/>
          <w:numId w:val="9"/>
        </w:numPr>
        <w:spacing w:before="240" w:line="360" w:lineRule="auto"/>
      </w:pPr>
      <w:r>
        <w:t>Unequal Distribution of Benefits: Lowering the threshold may primarily benefit individuals with higher incomes who were previously not incentivized to purchase private health insurance. Lower-income individuals, who may have more limited financial resources, may still face difficulties in affording coverage.</w:t>
      </w:r>
    </w:p>
    <w:p w14:paraId="55194E1F" w14:textId="3C96979D" w:rsidR="2F209461" w:rsidRDefault="2F209461" w:rsidP="279880EA">
      <w:pPr>
        <w:pStyle w:val="ListParagraph"/>
        <w:numPr>
          <w:ilvl w:val="0"/>
          <w:numId w:val="9"/>
        </w:numPr>
        <w:spacing w:before="240" w:line="360" w:lineRule="auto"/>
      </w:pPr>
      <w:r>
        <w:t>Unequal Distribution of Benefits: Lowering the threshold may primarily benefit individuals with higher incomes who were previously not incentivized to purchase private health insurance. Lower-income individuals, who may have more limited financial resources, may still face difficulties in affording coverage.</w:t>
      </w:r>
    </w:p>
    <w:p w14:paraId="4A304CC1" w14:textId="2C94EEB3" w:rsidR="2F209461" w:rsidRDefault="2F209461" w:rsidP="279880EA">
      <w:pPr>
        <w:pStyle w:val="ListParagraph"/>
        <w:numPr>
          <w:ilvl w:val="0"/>
          <w:numId w:val="9"/>
        </w:numPr>
        <w:spacing w:before="240" w:line="360" w:lineRule="auto"/>
      </w:pPr>
      <w:r>
        <w:t>Increasing the supply capacity may pose challenges for insurance companies if they need to balance the affordability of policies with maintaining adequate coverage and managing costs.</w:t>
      </w:r>
    </w:p>
    <w:p w14:paraId="17D85813" w14:textId="1DE9C4D6" w:rsidR="2F209461" w:rsidRDefault="2F209461" w:rsidP="279880EA">
      <w:pPr>
        <w:pStyle w:val="ListParagraph"/>
        <w:numPr>
          <w:ilvl w:val="0"/>
          <w:numId w:val="19"/>
        </w:numPr>
        <w:spacing w:before="240" w:line="360" w:lineRule="auto"/>
        <w:rPr>
          <w:u w:val="single"/>
        </w:rPr>
      </w:pPr>
      <w:r w:rsidRPr="279880EA">
        <w:rPr>
          <w:b/>
          <w:bCs/>
          <w:u w:val="single"/>
        </w:rPr>
        <w:t>Response 3</w:t>
      </w:r>
    </w:p>
    <w:p w14:paraId="08D6E2A8" w14:textId="4E619465" w:rsidR="7887E4DC" w:rsidRDefault="7887E4DC" w:rsidP="279880EA">
      <w:pPr>
        <w:spacing w:before="240" w:line="360" w:lineRule="auto"/>
        <w:ind w:firstLine="0"/>
      </w:pPr>
      <w:r>
        <w:t xml:space="preserve">5.1) </w:t>
      </w:r>
      <w:r w:rsidR="00E23901">
        <w:t>the</w:t>
      </w:r>
      <w:r w:rsidR="2F209461">
        <w:t xml:space="preserve"> third policy response focuses on implementing regulatory reforms to the production and supply of medical equipment, with the expectation of lowering the price of surgeries and </w:t>
      </w:r>
      <w:r w:rsidR="2F209461">
        <w:lastRenderedPageBreak/>
        <w:t>hospital care. This approach aims to make PHI more affordable and attractive to potential customers.</w:t>
      </w:r>
    </w:p>
    <w:p w14:paraId="7BBDFBF8" w14:textId="5E556F71" w:rsidR="03AEB233" w:rsidRDefault="03AEB233" w:rsidP="279880EA">
      <w:pPr>
        <w:spacing w:before="240" w:line="360" w:lineRule="auto"/>
        <w:ind w:firstLine="0"/>
      </w:pPr>
      <w:r>
        <w:rPr>
          <w:noProof/>
          <w:lang w:val="en-IN" w:eastAsia="en-IN"/>
        </w:rPr>
        <w:drawing>
          <wp:inline distT="0" distB="0" distL="0" distR="0" wp14:anchorId="1E334F86" wp14:editId="37D3EF34">
            <wp:extent cx="2910496" cy="2419350"/>
            <wp:effectExtent l="0" t="0" r="4445" b="0"/>
            <wp:docPr id="1565459442" name="Picture 156545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14899" cy="2423010"/>
                    </a:xfrm>
                    <a:prstGeom prst="rect">
                      <a:avLst/>
                    </a:prstGeom>
                  </pic:spPr>
                </pic:pic>
              </a:graphicData>
            </a:graphic>
          </wp:inline>
        </w:drawing>
      </w:r>
    </w:p>
    <w:p w14:paraId="1BBF8BC4" w14:textId="3CECF92E" w:rsidR="482663DB" w:rsidRDefault="482663DB" w:rsidP="279880EA">
      <w:pPr>
        <w:spacing w:before="240" w:line="360" w:lineRule="auto"/>
        <w:ind w:firstLine="0"/>
      </w:pPr>
      <w:r>
        <w:t xml:space="preserve">When we take a focused look </w:t>
      </w:r>
      <w:r w:rsidR="3393DD0B">
        <w:t xml:space="preserve">at the implications of this response, </w:t>
      </w:r>
      <w:r w:rsidR="0E73E7F2">
        <w:t xml:space="preserve">the direct effect on the market is the increase in </w:t>
      </w:r>
      <w:r w:rsidR="11314DED">
        <w:t>affordability</w:t>
      </w:r>
      <w:r w:rsidR="0E73E7F2">
        <w:t xml:space="preserve"> for the PHIs </w:t>
      </w:r>
      <w:r w:rsidR="76414440">
        <w:t>through the decreased costs and increase in the level of healthcare provided by the Australian healthcare sector, this in turn would cause a chain of effects which would convince a higher amount of p</w:t>
      </w:r>
      <w:r w:rsidR="438D3878">
        <w:t>opulation into procuring more PHIs as they would be cheaper and the perceptive values of them would in turn become higher, I</w:t>
      </w:r>
      <w:r w:rsidR="02321DAA">
        <w:t>.</w:t>
      </w:r>
      <w:r w:rsidR="438D3878">
        <w:t>e. More people wo</w:t>
      </w:r>
      <w:r w:rsidR="6F828C9F">
        <w:t xml:space="preserve">uld believe they are worth investing in over </w:t>
      </w:r>
      <w:r w:rsidR="2AB7306E">
        <w:t>Medicare</w:t>
      </w:r>
      <w:r w:rsidR="6F828C9F">
        <w:t>.</w:t>
      </w:r>
    </w:p>
    <w:p w14:paraId="329E3D85" w14:textId="4508D0CA" w:rsidR="45111762" w:rsidRDefault="45111762" w:rsidP="279880EA">
      <w:pPr>
        <w:spacing w:before="240" w:line="360" w:lineRule="auto"/>
        <w:ind w:firstLine="0"/>
      </w:pPr>
      <w:r w:rsidRPr="279880EA">
        <w:rPr>
          <w:b/>
          <w:bCs/>
        </w:rPr>
        <w:t xml:space="preserve">5.2) </w:t>
      </w:r>
      <w:r w:rsidR="127FEE67" w:rsidRPr="279880EA">
        <w:rPr>
          <w:b/>
          <w:bCs/>
        </w:rPr>
        <w:t>Market Analysis</w:t>
      </w:r>
    </w:p>
    <w:p w14:paraId="7F5FA698" w14:textId="7FD6A438" w:rsidR="18E684CB" w:rsidRDefault="18E684CB" w:rsidP="279880EA">
      <w:pPr>
        <w:pStyle w:val="ListParagraph"/>
        <w:numPr>
          <w:ilvl w:val="0"/>
          <w:numId w:val="8"/>
        </w:numPr>
        <w:spacing w:before="240" w:line="360" w:lineRule="auto"/>
      </w:pPr>
      <w:r>
        <w:t>Increase in demand: Lowering the price of surgeries increase</w:t>
      </w:r>
      <w:r w:rsidR="285BAE16">
        <w:t>s</w:t>
      </w:r>
      <w:r>
        <w:t xml:space="preserve"> the demand for private health insurance policies. The reduced costs make private health insurance more attractive to individuals who were previously deterred by high healthcare expenses.</w:t>
      </w:r>
    </w:p>
    <w:p w14:paraId="3F6BA291" w14:textId="37378AD7" w:rsidR="18E684CB" w:rsidRDefault="18E684CB" w:rsidP="279880EA">
      <w:pPr>
        <w:pStyle w:val="ListParagraph"/>
        <w:numPr>
          <w:ilvl w:val="0"/>
          <w:numId w:val="8"/>
        </w:numPr>
        <w:spacing w:before="240" w:line="360" w:lineRule="auto"/>
      </w:pPr>
      <w:r>
        <w:t>Improved perception: Lower prices may positively influence the perception of private health insurance, making it a more appealing option for individuals who were skeptical about its value proposition.</w:t>
      </w:r>
    </w:p>
    <w:p w14:paraId="75649004" w14:textId="05DF1F16" w:rsidR="49093B7D" w:rsidRDefault="49093B7D" w:rsidP="279880EA">
      <w:pPr>
        <w:pStyle w:val="ListParagraph"/>
        <w:numPr>
          <w:ilvl w:val="0"/>
          <w:numId w:val="8"/>
        </w:numPr>
        <w:spacing w:before="240" w:line="360" w:lineRule="auto"/>
      </w:pPr>
      <w:r>
        <w:t>Adjusted pricing strategies: Lowering the price of surgeries and hospital care may require private healthcare providers to adjust their pricing strategies.</w:t>
      </w:r>
    </w:p>
    <w:p w14:paraId="2519DAB5" w14:textId="7010AA3F" w:rsidR="49093B7D" w:rsidRDefault="49093B7D" w:rsidP="279880EA">
      <w:pPr>
        <w:pStyle w:val="ListParagraph"/>
        <w:numPr>
          <w:ilvl w:val="0"/>
          <w:numId w:val="8"/>
        </w:numPr>
        <w:spacing w:before="240" w:line="360" w:lineRule="auto"/>
      </w:pPr>
      <w:r>
        <w:t>Shift in equilibrium: The decrease in the price of surgeries and hospital care, coupled with the potential increase in demand for private health insurance policies, may lead to a new market equilibrium. This new equilibrium could result in a higher quantity of policies sold (Q</w:t>
      </w:r>
      <w:r w:rsidR="52CF83D2">
        <w:t>1</w:t>
      </w:r>
      <w:r>
        <w:t>) and potentially a lower price for policies (</w:t>
      </w:r>
      <w:r w:rsidR="6333D148">
        <w:t>P1</w:t>
      </w:r>
      <w:r>
        <w:t>).</w:t>
      </w:r>
    </w:p>
    <w:p w14:paraId="337F2385" w14:textId="55B65731" w:rsidR="55DB2B17" w:rsidRDefault="55DB2B17" w:rsidP="279880EA">
      <w:pPr>
        <w:spacing w:before="240" w:line="360" w:lineRule="auto"/>
        <w:ind w:firstLine="0"/>
      </w:pPr>
      <w:r>
        <w:rPr>
          <w:noProof/>
          <w:lang w:val="en-IN" w:eastAsia="en-IN"/>
        </w:rPr>
        <w:lastRenderedPageBreak/>
        <w:drawing>
          <wp:inline distT="0" distB="0" distL="0" distR="0" wp14:anchorId="0EAEBD94" wp14:editId="5D4E521F">
            <wp:extent cx="2933700" cy="2632181"/>
            <wp:effectExtent l="0" t="0" r="0" b="0"/>
            <wp:docPr id="375974637" name="Picture 37597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33700" cy="2632181"/>
                    </a:xfrm>
                    <a:prstGeom prst="rect">
                      <a:avLst/>
                    </a:prstGeom>
                  </pic:spPr>
                </pic:pic>
              </a:graphicData>
            </a:graphic>
          </wp:inline>
        </w:drawing>
      </w:r>
    </w:p>
    <w:p w14:paraId="5CC73486" w14:textId="70630DA9" w:rsidR="2EDEB37B" w:rsidRDefault="2EDEB37B" w:rsidP="279880EA">
      <w:pPr>
        <w:spacing w:before="240" w:line="360" w:lineRule="auto"/>
        <w:ind w:firstLine="0"/>
      </w:pPr>
      <w:r w:rsidRPr="279880EA">
        <w:rPr>
          <w:b/>
          <w:bCs/>
        </w:rPr>
        <w:t xml:space="preserve">5.3) </w:t>
      </w:r>
      <w:r w:rsidR="6A0498B7" w:rsidRPr="279880EA">
        <w:rPr>
          <w:b/>
          <w:bCs/>
        </w:rPr>
        <w:t>Focusing On other Markets affected by the Response:</w:t>
      </w:r>
    </w:p>
    <w:p w14:paraId="5AAF81A4" w14:textId="76EA85ED" w:rsidR="6A0498B7" w:rsidRDefault="6A0498B7" w:rsidP="279880EA">
      <w:pPr>
        <w:pStyle w:val="ListParagraph"/>
        <w:numPr>
          <w:ilvl w:val="0"/>
          <w:numId w:val="7"/>
        </w:numPr>
        <w:spacing w:before="240" w:line="360" w:lineRule="auto"/>
      </w:pPr>
      <w:r>
        <w:t>Medical Equipment and Supplies Market: Lowering the price of surgeries and hospital care puts pressure on the pricing of medical equipment and supplies. This could impact manufacturers, distributors, and suppliers in the medical equipment market, potentially leading to lower revenues and reduced profit margins.</w:t>
      </w:r>
    </w:p>
    <w:p w14:paraId="09DAF508" w14:textId="5B30FAC8" w:rsidR="0D350012" w:rsidRDefault="0D350012" w:rsidP="279880EA">
      <w:pPr>
        <w:pStyle w:val="ListParagraph"/>
        <w:numPr>
          <w:ilvl w:val="0"/>
          <w:numId w:val="7"/>
        </w:numPr>
        <w:spacing w:before="240" w:line="360" w:lineRule="auto"/>
      </w:pPr>
      <w:r>
        <w:t xml:space="preserve">Public Healthcare System: Lower prices for surgeries and hospital care in the private sector may </w:t>
      </w:r>
      <w:r w:rsidRPr="279880EA">
        <w:t>impact the public healthcare system. As individuals opt for private providers due to affordability, it reduces the demand for public healthcare services, leading to potential resource reallocation within the public sector. The public healthcare system may experience reduced patient volumes for specific procedures, potentially resulting in cost savings.</w:t>
      </w:r>
    </w:p>
    <w:p w14:paraId="2AB27B47" w14:textId="44688894" w:rsidR="48A006B5" w:rsidRDefault="48A006B5" w:rsidP="279880EA">
      <w:pPr>
        <w:spacing w:before="240" w:line="360" w:lineRule="auto"/>
        <w:ind w:left="360" w:firstLine="0"/>
      </w:pPr>
      <w:r>
        <w:rPr>
          <w:noProof/>
          <w:lang w:val="en-IN" w:eastAsia="en-IN"/>
        </w:rPr>
        <w:drawing>
          <wp:inline distT="0" distB="0" distL="0" distR="0" wp14:anchorId="7685FA70" wp14:editId="6B68B3A7">
            <wp:extent cx="2838450" cy="2552700"/>
            <wp:effectExtent l="0" t="0" r="0" b="0"/>
            <wp:docPr id="39463429" name="Picture 3946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838450" cy="2552700"/>
                    </a:xfrm>
                    <a:prstGeom prst="rect">
                      <a:avLst/>
                    </a:prstGeom>
                  </pic:spPr>
                </pic:pic>
              </a:graphicData>
            </a:graphic>
          </wp:inline>
        </w:drawing>
      </w:r>
    </w:p>
    <w:p w14:paraId="32484A03" w14:textId="5199E7B5" w:rsidR="1D1B342A" w:rsidRDefault="1D1B342A" w:rsidP="279880EA">
      <w:pPr>
        <w:spacing w:before="240" w:line="360" w:lineRule="auto"/>
        <w:ind w:left="360" w:firstLine="0"/>
        <w:rPr>
          <w:b/>
          <w:bCs/>
        </w:rPr>
      </w:pPr>
      <w:r w:rsidRPr="279880EA">
        <w:rPr>
          <w:b/>
          <w:bCs/>
        </w:rPr>
        <w:lastRenderedPageBreak/>
        <w:t xml:space="preserve">5.4) </w:t>
      </w:r>
      <w:r w:rsidR="0C33CC2C" w:rsidRPr="279880EA">
        <w:rPr>
          <w:b/>
          <w:bCs/>
        </w:rPr>
        <w:t>Winners:</w:t>
      </w:r>
    </w:p>
    <w:p w14:paraId="254434DE" w14:textId="27090CD7" w:rsidR="0C33CC2C" w:rsidRDefault="0C33CC2C" w:rsidP="279880EA">
      <w:pPr>
        <w:pStyle w:val="ListParagraph"/>
        <w:numPr>
          <w:ilvl w:val="0"/>
          <w:numId w:val="6"/>
        </w:numPr>
        <w:spacing w:before="240" w:line="360" w:lineRule="auto"/>
      </w:pPr>
      <w:r w:rsidRPr="279880EA">
        <w:t xml:space="preserve">Consumers: Lowering the price of surgeries and hospital care can benefit </w:t>
      </w:r>
      <w:r w:rsidR="0ACCC1EA" w:rsidRPr="279880EA">
        <w:t>consumers,</w:t>
      </w:r>
      <w:r w:rsidRPr="279880EA">
        <w:t xml:space="preserve"> </w:t>
      </w:r>
      <w:r w:rsidR="68E917CC" w:rsidRPr="279880EA">
        <w:t>it</w:t>
      </w:r>
      <w:r w:rsidRPr="279880EA">
        <w:t xml:space="preserve"> can lead to reduced out-of-pocket expenses and increased affordability of healthcare services.</w:t>
      </w:r>
    </w:p>
    <w:p w14:paraId="26D7681E" w14:textId="3B5F93B1" w:rsidR="0C33CC2C" w:rsidRDefault="0C33CC2C" w:rsidP="279880EA">
      <w:pPr>
        <w:pStyle w:val="ListParagraph"/>
        <w:numPr>
          <w:ilvl w:val="0"/>
          <w:numId w:val="6"/>
        </w:numPr>
        <w:spacing w:before="240" w:line="360" w:lineRule="auto"/>
      </w:pPr>
      <w:r w:rsidRPr="279880EA">
        <w:t>Public healthcare system: Lower prices for surgeries and hospital care can alleviate some of the strain on the public healthcare system by reducing the demand for private health insurance and potentially attracting individuals back to public hospitals.</w:t>
      </w:r>
    </w:p>
    <w:p w14:paraId="6DE14EED" w14:textId="15E8C2B7" w:rsidR="30FB9922" w:rsidRDefault="30FB9922" w:rsidP="279880EA">
      <w:pPr>
        <w:spacing w:before="240" w:line="360" w:lineRule="auto"/>
        <w:ind w:left="360" w:firstLine="0"/>
        <w:rPr>
          <w:b/>
          <w:bCs/>
        </w:rPr>
      </w:pPr>
      <w:r>
        <w:rPr>
          <w:noProof/>
          <w:lang w:val="en-IN" w:eastAsia="en-IN"/>
        </w:rPr>
        <w:drawing>
          <wp:inline distT="0" distB="0" distL="0" distR="0" wp14:anchorId="00C857D9" wp14:editId="0532E695">
            <wp:extent cx="3000375" cy="3600450"/>
            <wp:effectExtent l="0" t="0" r="0" b="0"/>
            <wp:docPr id="573810749" name="Picture 57381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00375" cy="3600450"/>
                    </a:xfrm>
                    <a:prstGeom prst="rect">
                      <a:avLst/>
                    </a:prstGeom>
                  </pic:spPr>
                </pic:pic>
              </a:graphicData>
            </a:graphic>
          </wp:inline>
        </w:drawing>
      </w:r>
    </w:p>
    <w:p w14:paraId="53C9A5A6" w14:textId="4297B776" w:rsidR="0C33CC2C" w:rsidRDefault="0C33CC2C" w:rsidP="279880EA">
      <w:pPr>
        <w:spacing w:before="240" w:line="360" w:lineRule="auto"/>
        <w:ind w:left="360" w:firstLine="0"/>
        <w:rPr>
          <w:b/>
          <w:bCs/>
        </w:rPr>
      </w:pPr>
      <w:bookmarkStart w:id="0" w:name="_Int_0wZYS5pU"/>
      <w:r w:rsidRPr="279880EA">
        <w:rPr>
          <w:b/>
          <w:bCs/>
        </w:rPr>
        <w:t>Losers:</w:t>
      </w:r>
      <w:bookmarkEnd w:id="0"/>
    </w:p>
    <w:p w14:paraId="23AFC421" w14:textId="3AA91AC9" w:rsidR="0C33CC2C" w:rsidRDefault="0C33CC2C" w:rsidP="279880EA">
      <w:pPr>
        <w:pStyle w:val="ListParagraph"/>
        <w:numPr>
          <w:ilvl w:val="0"/>
          <w:numId w:val="5"/>
        </w:numPr>
        <w:spacing w:before="240" w:line="360" w:lineRule="auto"/>
      </w:pPr>
      <w:r w:rsidRPr="279880EA">
        <w:t>Private healthcare providers: Lower prices may impact the profitability of private healthcare providers, especially those that heavily rely on revenue from private health insurance policies. They may face reduced financial incentives and potential challenges in maintaining the quality of services.</w:t>
      </w:r>
    </w:p>
    <w:p w14:paraId="00622D2B" w14:textId="397D3033" w:rsidR="0C33CC2C" w:rsidRDefault="0C33CC2C" w:rsidP="279880EA">
      <w:pPr>
        <w:pStyle w:val="ListParagraph"/>
        <w:numPr>
          <w:ilvl w:val="0"/>
          <w:numId w:val="5"/>
        </w:numPr>
        <w:spacing w:before="240" w:line="360" w:lineRule="auto"/>
      </w:pPr>
      <w:r w:rsidRPr="279880EA">
        <w:t>Private health insurance companies: If lower prices for surgeries and hospital care reduce the perceived value of private health insurance, insurance companies may face challenges in retaining policyholders and attracting new customers.</w:t>
      </w:r>
    </w:p>
    <w:p w14:paraId="53EC072D" w14:textId="4E7914BD" w:rsidR="5C4BB657" w:rsidRDefault="5C4BB657" w:rsidP="279880EA">
      <w:pPr>
        <w:spacing w:before="240" w:line="360" w:lineRule="auto"/>
        <w:ind w:left="360" w:firstLine="0"/>
        <w:rPr>
          <w:b/>
          <w:bCs/>
        </w:rPr>
      </w:pPr>
      <w:r w:rsidRPr="279880EA">
        <w:rPr>
          <w:b/>
          <w:bCs/>
        </w:rPr>
        <w:t xml:space="preserve">5.5) </w:t>
      </w:r>
      <w:r w:rsidR="1388737A" w:rsidRPr="279880EA">
        <w:rPr>
          <w:b/>
          <w:bCs/>
        </w:rPr>
        <w:t>Limitation</w:t>
      </w:r>
      <w:r w:rsidR="52584615" w:rsidRPr="279880EA">
        <w:rPr>
          <w:b/>
          <w:bCs/>
        </w:rPr>
        <w:t>s</w:t>
      </w:r>
    </w:p>
    <w:p w14:paraId="597F9B44" w14:textId="3607C92E" w:rsidR="7B5EA15A" w:rsidRDefault="7B5EA15A" w:rsidP="279880EA">
      <w:pPr>
        <w:pStyle w:val="ListParagraph"/>
        <w:numPr>
          <w:ilvl w:val="0"/>
          <w:numId w:val="4"/>
        </w:numPr>
        <w:spacing w:before="240" w:line="360" w:lineRule="auto"/>
      </w:pPr>
      <w:r w:rsidRPr="279880EA">
        <w:lastRenderedPageBreak/>
        <w:t>Incentives for Innovation: Lower prices might disincentivize healthcare providers from investing in modern technologies, research, and innovation. The financial strain resulting from reduced revenues could hinder their ability to adopt advanced treatments</w:t>
      </w:r>
    </w:p>
    <w:p w14:paraId="35D4FDFC" w14:textId="31343115" w:rsidR="7B5EA15A" w:rsidRDefault="7B5EA15A" w:rsidP="279880EA">
      <w:pPr>
        <w:pStyle w:val="ListParagraph"/>
        <w:numPr>
          <w:ilvl w:val="0"/>
          <w:numId w:val="4"/>
        </w:numPr>
        <w:spacing w:before="240" w:line="360" w:lineRule="auto"/>
      </w:pPr>
      <w:r w:rsidRPr="279880EA">
        <w:t>Potential Shifts in Utilization: Lower prices may lead to increased utilization of healthcare services, as individuals find private health insurance more affordable. This could result in higher demand for surgeries and hospital care, potentially straining the capacity of healthcare providers.</w:t>
      </w:r>
    </w:p>
    <w:p w14:paraId="08E05907" w14:textId="04DBBCC3" w:rsidR="7B5EA15A" w:rsidRDefault="7B5EA15A" w:rsidP="279880EA">
      <w:pPr>
        <w:pStyle w:val="ListParagraph"/>
        <w:numPr>
          <w:ilvl w:val="0"/>
          <w:numId w:val="4"/>
        </w:numPr>
        <w:spacing w:before="240" w:line="360" w:lineRule="auto"/>
      </w:pPr>
      <w:r w:rsidRPr="279880EA">
        <w:t xml:space="preserve">Long-term Viability: Lowering prices may provide short-term benefits but could raise concerns about the long-term </w:t>
      </w:r>
      <w:r w:rsidR="2B7A4F51" w:rsidRPr="279880EA">
        <w:t>sustainability</w:t>
      </w:r>
      <w:r w:rsidRPr="279880EA">
        <w:t xml:space="preserve"> of the private health insurance market.</w:t>
      </w:r>
    </w:p>
    <w:p w14:paraId="1DD76212" w14:textId="5A1913F6" w:rsidR="54059300" w:rsidRDefault="54059300" w:rsidP="279880EA">
      <w:pPr>
        <w:pStyle w:val="ListParagraph"/>
        <w:numPr>
          <w:ilvl w:val="0"/>
          <w:numId w:val="19"/>
        </w:numPr>
        <w:spacing w:before="240" w:line="360" w:lineRule="auto"/>
        <w:rPr>
          <w:u w:val="single"/>
        </w:rPr>
      </w:pPr>
      <w:r w:rsidRPr="279880EA">
        <w:rPr>
          <w:b/>
          <w:bCs/>
          <w:u w:val="single"/>
        </w:rPr>
        <w:t>Recommendation</w:t>
      </w:r>
    </w:p>
    <w:p w14:paraId="77A55B9B" w14:textId="1CF4B09E" w:rsidR="3AD5FA77" w:rsidRDefault="3AD5FA77" w:rsidP="279880EA">
      <w:pPr>
        <w:spacing w:before="240" w:line="360" w:lineRule="auto"/>
        <w:ind w:firstLine="0"/>
      </w:pPr>
      <w:r w:rsidRPr="279880EA">
        <w:t xml:space="preserve">6.1) </w:t>
      </w:r>
      <w:r w:rsidR="1E478193" w:rsidRPr="279880EA">
        <w:t>After going through all the responses given, I would suggest the response to</w:t>
      </w:r>
      <w:r w:rsidR="2D3878BC" w:rsidRPr="279880EA">
        <w:t xml:space="preserve"> lower the threshold for Medicare levy </w:t>
      </w:r>
      <w:r w:rsidR="06A88713" w:rsidRPr="279880EA">
        <w:t xml:space="preserve">surcharge, although there is one </w:t>
      </w:r>
      <w:r w:rsidR="34848A28" w:rsidRPr="279880EA">
        <w:t>addition</w:t>
      </w:r>
      <w:r w:rsidR="06A88713" w:rsidRPr="279880EA">
        <w:t xml:space="preserve"> that I would like to make, we need to add a</w:t>
      </w:r>
      <w:r w:rsidR="43F8FA1D" w:rsidRPr="279880EA">
        <w:t xml:space="preserve"> 30%</w:t>
      </w:r>
      <w:r w:rsidR="06A88713" w:rsidRPr="279880EA">
        <w:t xml:space="preserve"> tax rebate on people with the income l</w:t>
      </w:r>
      <w:r w:rsidR="1375B3DB" w:rsidRPr="279880EA">
        <w:t>ess than $</w:t>
      </w:r>
      <w:r w:rsidR="607BC10E" w:rsidRPr="279880EA">
        <w:t>9</w:t>
      </w:r>
      <w:r w:rsidR="1375B3DB" w:rsidRPr="279880EA">
        <w:t xml:space="preserve">0,000, as the financial pressure on the lower class income category would get too high which could lead to a worse </w:t>
      </w:r>
      <w:r w:rsidR="66EDF477" w:rsidRPr="279880EA">
        <w:t xml:space="preserve">situation for the individuals involved. This additional response would also add to the number of people </w:t>
      </w:r>
      <w:r w:rsidR="10BF7E3E" w:rsidRPr="279880EA">
        <w:t>taking</w:t>
      </w:r>
      <w:r w:rsidR="2C6838B7" w:rsidRPr="279880EA">
        <w:t xml:space="preserve"> up the rate of</w:t>
      </w:r>
      <w:r w:rsidR="0A58E7DA" w:rsidRPr="279880EA">
        <w:t xml:space="preserve"> PHIs</w:t>
      </w:r>
      <w:r w:rsidR="4A9DE33A" w:rsidRPr="279880EA">
        <w:t>.</w:t>
      </w:r>
      <w:r w:rsidR="76971673" w:rsidRPr="279880EA">
        <w:t xml:space="preserve"> </w:t>
      </w:r>
    </w:p>
    <w:p w14:paraId="68D18F65" w14:textId="0D5DF358" w:rsidR="0F66E351" w:rsidRDefault="0F66E351" w:rsidP="279880EA">
      <w:pPr>
        <w:spacing w:before="240" w:line="360" w:lineRule="auto"/>
        <w:ind w:firstLine="0"/>
        <w:rPr>
          <w:b/>
          <w:bCs/>
          <w:u w:val="single"/>
        </w:rPr>
      </w:pPr>
      <w:r>
        <w:rPr>
          <w:noProof/>
          <w:lang w:val="en-IN" w:eastAsia="en-IN"/>
        </w:rPr>
        <w:drawing>
          <wp:inline distT="0" distB="0" distL="0" distR="0" wp14:anchorId="5DD64357" wp14:editId="232240E9">
            <wp:extent cx="3160568" cy="2897188"/>
            <wp:effectExtent l="0" t="0" r="0" b="0"/>
            <wp:docPr id="1340033149" name="Picture 134003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60568" cy="2897188"/>
                    </a:xfrm>
                    <a:prstGeom prst="rect">
                      <a:avLst/>
                    </a:prstGeom>
                  </pic:spPr>
                </pic:pic>
              </a:graphicData>
            </a:graphic>
          </wp:inline>
        </w:drawing>
      </w:r>
    </w:p>
    <w:p w14:paraId="7E8C697E" w14:textId="60C71190" w:rsidR="76971673" w:rsidRDefault="76971673" w:rsidP="279880EA">
      <w:pPr>
        <w:spacing w:before="240" w:line="360" w:lineRule="auto"/>
        <w:ind w:firstLine="0"/>
      </w:pPr>
      <w:r w:rsidRPr="279880EA">
        <w:t>We can see from the scenario from 2001, where the government a</w:t>
      </w:r>
      <w:r w:rsidR="3F1ABC6B" w:rsidRPr="279880EA">
        <w:t>dded a 30% rebate to all PHI policies</w:t>
      </w:r>
      <w:r w:rsidR="0044F081" w:rsidRPr="279880EA">
        <w:t xml:space="preserve"> which along with LHC were considered the most effective factors for the </w:t>
      </w:r>
      <w:r w:rsidR="0044F081" w:rsidRPr="279880EA">
        <w:lastRenderedPageBreak/>
        <w:t>increase in the take on rate by the people.</w:t>
      </w:r>
      <w:r w:rsidR="241EAC8D" w:rsidRPr="279880EA">
        <w:t xml:space="preserve"> The idea </w:t>
      </w:r>
      <w:r w:rsidR="62C391BE" w:rsidRPr="279880EA">
        <w:t>behind</w:t>
      </w:r>
      <w:r w:rsidR="241EAC8D" w:rsidRPr="279880EA">
        <w:t xml:space="preserve"> this was to increase affordability of PHI</w:t>
      </w:r>
      <w:r w:rsidR="1D7D5A80" w:rsidRPr="279880EA">
        <w:t>.</w:t>
      </w:r>
    </w:p>
    <w:p w14:paraId="12DF6091" w14:textId="11B0EB1B" w:rsidR="5E40EDD9" w:rsidRDefault="5E40EDD9" w:rsidP="279880EA">
      <w:pPr>
        <w:spacing w:before="240" w:line="360" w:lineRule="auto"/>
        <w:ind w:firstLine="0"/>
      </w:pPr>
      <w:r w:rsidRPr="279880EA">
        <w:t xml:space="preserve">6.2) </w:t>
      </w:r>
      <w:r w:rsidR="6296AD1C" w:rsidRPr="279880EA">
        <w:t>My recommendation is response 2 because the lowering of threshold would lead to more revenue for the government and additional</w:t>
      </w:r>
      <w:r w:rsidR="1E9395CB" w:rsidRPr="279880EA">
        <w:t xml:space="preserve">ly get more younger and newer applicants to sign up for PHIs, this would lead the government to have the </w:t>
      </w:r>
      <w:r w:rsidR="74450A40" w:rsidRPr="279880EA">
        <w:t>capability</w:t>
      </w:r>
      <w:r w:rsidR="1E9395CB" w:rsidRPr="279880EA">
        <w:t xml:space="preserve"> </w:t>
      </w:r>
      <w:r w:rsidR="6AF32731" w:rsidRPr="279880EA">
        <w:t>of</w:t>
      </w:r>
      <w:r w:rsidR="1E9395CB" w:rsidRPr="279880EA">
        <w:t xml:space="preserve"> improving the quality of </w:t>
      </w:r>
      <w:r w:rsidR="2D01EE69" w:rsidRPr="279880EA">
        <w:t>healthcare in</w:t>
      </w:r>
      <w:r w:rsidR="1E9395CB" w:rsidRPr="279880EA">
        <w:t xml:space="preserve"> Australia</w:t>
      </w:r>
      <w:r w:rsidR="1295822B" w:rsidRPr="279880EA">
        <w:t>, the response also leads to reduced pre</w:t>
      </w:r>
      <w:r w:rsidR="53977CD9" w:rsidRPr="279880EA">
        <w:t xml:space="preserve">ssure on the public healthcare system, reduction on the strain of the </w:t>
      </w:r>
      <w:r w:rsidR="395085D6" w:rsidRPr="279880EA">
        <w:t>public healthcare system would lead to shorter queue times and improved access to the public system. This system suppo</w:t>
      </w:r>
      <w:r w:rsidR="12C0942D" w:rsidRPr="279880EA">
        <w:t xml:space="preserve">rts the dual healthcare system by </w:t>
      </w:r>
      <w:r w:rsidR="40F9E0C7" w:rsidRPr="279880EA">
        <w:t>incentivizing</w:t>
      </w:r>
      <w:r w:rsidR="12C0942D" w:rsidRPr="279880EA">
        <w:t xml:space="preserve"> PHIs and improving </w:t>
      </w:r>
      <w:r w:rsidR="47271254" w:rsidRPr="279880EA">
        <w:t>public healthcare as well, Minimizes Disruption and Regulatory Burden: Compared to other policy options, Response 2 involves a straightforward regulatory change to the Medicare levy surcharge threshold. This minimizes disruption to the existing private health insurance market and reduces the administrative burden on both insurers and individuals. It offers a pragmatic solution that can be implemented more efficiently compared to more complex interventions.</w:t>
      </w:r>
    </w:p>
    <w:p w14:paraId="3C82F87E" w14:textId="22787E26" w:rsidR="2D15F7C4" w:rsidRDefault="2D15F7C4" w:rsidP="279880EA">
      <w:pPr>
        <w:spacing w:before="240" w:line="360" w:lineRule="auto"/>
        <w:ind w:firstLine="0"/>
      </w:pPr>
      <w:r>
        <w:rPr>
          <w:noProof/>
          <w:lang w:val="en-IN" w:eastAsia="en-IN"/>
        </w:rPr>
        <w:drawing>
          <wp:inline distT="0" distB="0" distL="0" distR="0" wp14:anchorId="2F680655" wp14:editId="62E358F2">
            <wp:extent cx="2540754" cy="2917612"/>
            <wp:effectExtent l="0" t="0" r="0" b="0"/>
            <wp:docPr id="221577103" name="Picture 221577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540754" cy="2917612"/>
                    </a:xfrm>
                    <a:prstGeom prst="rect">
                      <a:avLst/>
                    </a:prstGeom>
                  </pic:spPr>
                </pic:pic>
              </a:graphicData>
            </a:graphic>
          </wp:inline>
        </w:drawing>
      </w:r>
    </w:p>
    <w:p w14:paraId="046F8963" w14:textId="0B989D34" w:rsidR="328FD556" w:rsidRDefault="328FD556" w:rsidP="279880EA">
      <w:pPr>
        <w:spacing w:before="240" w:line="360" w:lineRule="auto"/>
      </w:pPr>
      <w:r w:rsidRPr="279880EA">
        <w:t xml:space="preserve">6.3) </w:t>
      </w:r>
      <w:r w:rsidR="24FBDA24" w:rsidRPr="279880EA">
        <w:t>Reasons for choosing response 2 over others</w:t>
      </w:r>
    </w:p>
    <w:p w14:paraId="40F9A881" w14:textId="10EB505B" w:rsidR="24FBDA24" w:rsidRDefault="24FBDA24" w:rsidP="279880EA">
      <w:pPr>
        <w:pStyle w:val="ListParagraph"/>
        <w:numPr>
          <w:ilvl w:val="0"/>
          <w:numId w:val="3"/>
        </w:numPr>
        <w:spacing w:before="240" w:line="360" w:lineRule="auto"/>
      </w:pPr>
      <w:r w:rsidRPr="279880EA">
        <w:t xml:space="preserve">Response 2 directly targets the issue of declining private health insurance enrollment by providing a financial incentive for individuals to obtain coverage. By lowering the threshold for the Medicare levy surcharge, younger and healthier individuals, who are more likely to opt out of private insurance, are motivated to purchase coverage to avoid the surcharge. </w:t>
      </w:r>
    </w:p>
    <w:p w14:paraId="4602FBF4" w14:textId="52CB2680" w:rsidR="24FBDA24" w:rsidRDefault="24FBDA24" w:rsidP="279880EA">
      <w:pPr>
        <w:pStyle w:val="ListParagraph"/>
        <w:numPr>
          <w:ilvl w:val="0"/>
          <w:numId w:val="3"/>
        </w:numPr>
        <w:spacing w:before="240" w:line="360" w:lineRule="auto"/>
      </w:pPr>
      <w:r w:rsidRPr="279880EA">
        <w:lastRenderedPageBreak/>
        <w:t xml:space="preserve">Response 2 will cause the least complexities and administrative </w:t>
      </w:r>
      <w:r w:rsidR="62717396" w:rsidRPr="279880EA">
        <w:t>burdens</w:t>
      </w:r>
    </w:p>
    <w:p w14:paraId="7D055151" w14:textId="35C8CE16" w:rsidR="2E1FD683" w:rsidRDefault="2E1FD683" w:rsidP="279880EA">
      <w:pPr>
        <w:pStyle w:val="ListParagraph"/>
        <w:numPr>
          <w:ilvl w:val="0"/>
          <w:numId w:val="3"/>
        </w:numPr>
        <w:spacing w:before="240" w:line="360" w:lineRule="auto"/>
      </w:pPr>
      <w:r w:rsidRPr="279880EA">
        <w:t>Response 2 leads to a more balanced risk pool. Younger and healthier individuals joining the pool reduce the concentration of higher-risk individuals, contributing to the long-term sustainability of private insurers. This helps stabilize premiums and ensures access to affordable private health insurance options for a broader range of individuals.</w:t>
      </w:r>
    </w:p>
    <w:p w14:paraId="3A000CE3" w14:textId="44149FE5" w:rsidR="2E1FD683" w:rsidRDefault="2E1FD683" w:rsidP="279880EA">
      <w:pPr>
        <w:spacing w:before="240" w:line="360" w:lineRule="auto"/>
        <w:ind w:left="360" w:firstLine="0"/>
      </w:pPr>
      <w:r w:rsidRPr="279880EA">
        <w:t xml:space="preserve">Now looking at the shortcoming of response 2, which is the </w:t>
      </w:r>
      <w:r w:rsidR="68FEA590" w:rsidRPr="279880EA">
        <w:t>increased taxation put on the people and especially people making lower wages, to counter act and increase the feasibility of the response the government should consider adding a 30% ta</w:t>
      </w:r>
      <w:r w:rsidR="37B29B8C" w:rsidRPr="279880EA">
        <w:t>x rebate, adding the rebate will increase affordability and help poorer people afford PHIs.</w:t>
      </w:r>
      <w:r w:rsidR="765780BD" w:rsidRPr="279880EA">
        <w:t xml:space="preserve"> This will not only increase the </w:t>
      </w:r>
      <w:r w:rsidR="7BA0ACA4" w:rsidRPr="279880EA">
        <w:t>number of people</w:t>
      </w:r>
      <w:r w:rsidR="765780BD" w:rsidRPr="279880EA">
        <w:t xml:space="preserve"> using PHIs but also make it a fair deal for the poorer consumers.</w:t>
      </w:r>
    </w:p>
    <w:p w14:paraId="4C65EFCE" w14:textId="0BBCF379" w:rsidR="279880EA" w:rsidRDefault="279880EA" w:rsidP="279880EA">
      <w:pPr>
        <w:spacing w:before="240" w:line="360" w:lineRule="auto"/>
        <w:ind w:left="360" w:firstLine="0"/>
        <w:rPr>
          <w:b/>
          <w:bCs/>
          <w:u w:val="single"/>
        </w:rPr>
      </w:pPr>
    </w:p>
    <w:p w14:paraId="260E1EFB" w14:textId="1A33FF63" w:rsidR="583C603E" w:rsidRDefault="583C603E" w:rsidP="279880EA">
      <w:pPr>
        <w:spacing w:before="240" w:line="360" w:lineRule="auto"/>
        <w:ind w:left="360" w:firstLine="0"/>
        <w:rPr>
          <w:b/>
          <w:bCs/>
          <w:u w:val="single"/>
        </w:rPr>
      </w:pPr>
      <w:r w:rsidRPr="279880EA">
        <w:rPr>
          <w:b/>
          <w:bCs/>
          <w:u w:val="single"/>
        </w:rPr>
        <w:t>Conclusion</w:t>
      </w:r>
    </w:p>
    <w:p w14:paraId="7C3AA86C" w14:textId="56ECEB67" w:rsidR="33DEFB72" w:rsidRDefault="33DEFB72" w:rsidP="279880EA">
      <w:pPr>
        <w:spacing w:before="240" w:line="360" w:lineRule="auto"/>
        <w:ind w:left="360" w:firstLine="0"/>
      </w:pPr>
      <w:r w:rsidRPr="279880EA">
        <w:t>Based on a thorough evaluation of the policy options, Response 2, which involves lowering the threshold for the Medicare levy surcharge, is recommended. This policy has the potential to incentivize individuals to purchase private health insurance, addressing the decline in membership and mitigating the risk of adverse selection. By reducing the burden on the public healthcare system, it promotes a more balanced risk pool and enhances the long-term sustainability of the private health insurance market. Monitoring and evaluation will be crucial to assess the effectiveness of this policy in achieving its objectives and ensuring affordable and accessible healthcare for all Australians.</w:t>
      </w:r>
    </w:p>
    <w:p w14:paraId="3E00E11E" w14:textId="0FDBE69E" w:rsidR="279880EA" w:rsidRDefault="279880EA" w:rsidP="279880EA">
      <w:pPr>
        <w:spacing w:before="240" w:line="360" w:lineRule="auto"/>
        <w:ind w:firstLine="0"/>
        <w:rPr>
          <w:b/>
          <w:bCs/>
          <w:u w:val="single"/>
        </w:rPr>
      </w:pPr>
    </w:p>
    <w:p w14:paraId="06EF275C" w14:textId="52D5EEC5" w:rsidR="279880EA" w:rsidRDefault="279880EA" w:rsidP="279880EA">
      <w:pPr>
        <w:spacing w:before="240" w:line="360" w:lineRule="auto"/>
        <w:ind w:firstLine="0"/>
        <w:rPr>
          <w:b/>
          <w:bCs/>
          <w:u w:val="single"/>
        </w:rPr>
      </w:pPr>
    </w:p>
    <w:p w14:paraId="7F56A009" w14:textId="3F130033" w:rsidR="279880EA" w:rsidRDefault="279880EA" w:rsidP="279880EA">
      <w:pPr>
        <w:spacing w:before="240" w:line="360" w:lineRule="auto"/>
        <w:ind w:firstLine="0"/>
        <w:rPr>
          <w:b/>
          <w:bCs/>
          <w:u w:val="single"/>
        </w:rPr>
      </w:pPr>
    </w:p>
    <w:p w14:paraId="26F76967" w14:textId="27997043" w:rsidR="279880EA" w:rsidRDefault="279880EA" w:rsidP="279880EA">
      <w:pPr>
        <w:spacing w:before="240" w:line="360" w:lineRule="auto"/>
        <w:ind w:firstLine="0"/>
        <w:rPr>
          <w:b/>
          <w:bCs/>
          <w:u w:val="single"/>
        </w:rPr>
      </w:pPr>
    </w:p>
    <w:p w14:paraId="2D19C358" w14:textId="3A8D616D" w:rsidR="279880EA" w:rsidRDefault="279880EA" w:rsidP="279880EA">
      <w:pPr>
        <w:spacing w:before="240" w:line="360" w:lineRule="auto"/>
        <w:ind w:firstLine="0"/>
        <w:rPr>
          <w:b/>
          <w:bCs/>
          <w:u w:val="single"/>
        </w:rPr>
      </w:pPr>
    </w:p>
    <w:p w14:paraId="24217E59" w14:textId="1AAC801E" w:rsidR="279880EA" w:rsidRDefault="279880EA" w:rsidP="279880EA">
      <w:pPr>
        <w:spacing w:before="240" w:line="360" w:lineRule="auto"/>
        <w:ind w:firstLine="0"/>
        <w:rPr>
          <w:b/>
          <w:bCs/>
          <w:u w:val="single"/>
        </w:rPr>
      </w:pPr>
      <w:bookmarkStart w:id="1" w:name="_GoBack"/>
      <w:bookmarkEnd w:id="1"/>
    </w:p>
    <w:p w14:paraId="509B264D" w14:textId="2160572C" w:rsidR="684CFEAD" w:rsidRDefault="684CFEAD" w:rsidP="279880EA">
      <w:pPr>
        <w:spacing w:before="240" w:line="360" w:lineRule="auto"/>
        <w:ind w:firstLine="0"/>
        <w:rPr>
          <w:u w:val="single"/>
        </w:rPr>
      </w:pPr>
      <w:r w:rsidRPr="279880EA">
        <w:rPr>
          <w:b/>
          <w:bCs/>
          <w:u w:val="single"/>
        </w:rPr>
        <w:lastRenderedPageBreak/>
        <w:t>References</w:t>
      </w:r>
    </w:p>
    <w:p w14:paraId="26F7C593" w14:textId="507647E4" w:rsidR="684CFEAD" w:rsidRDefault="684CFEAD" w:rsidP="279880EA">
      <w:pPr>
        <w:pStyle w:val="ListParagraph"/>
        <w:numPr>
          <w:ilvl w:val="0"/>
          <w:numId w:val="2"/>
        </w:numPr>
        <w:spacing w:before="240" w:line="360" w:lineRule="auto"/>
        <w:rPr>
          <w:b/>
          <w:bCs/>
        </w:rPr>
      </w:pPr>
      <w:r w:rsidRPr="279880EA">
        <w:rPr>
          <w:b/>
          <w:bCs/>
        </w:rPr>
        <w:t xml:space="preserve">Manager, External Data Reporting. "Private Health Insurance Annual Coverage Survey." APRA - Australian Prudential Regulation Authority, 21 July 2022, </w:t>
      </w:r>
      <w:hyperlink r:id="rId25">
        <w:r w:rsidRPr="279880EA">
          <w:rPr>
            <w:rStyle w:val="Hyperlink"/>
            <w:b/>
            <w:bCs/>
          </w:rPr>
          <w:t>https://www.apra.gov.au/operations-of-private-health-insurers-annual-report</w:t>
        </w:r>
      </w:hyperlink>
      <w:r w:rsidRPr="279880EA">
        <w:rPr>
          <w:b/>
          <w:bCs/>
        </w:rPr>
        <w:t>.</w:t>
      </w:r>
    </w:p>
    <w:p w14:paraId="37DDC2F9" w14:textId="17876288" w:rsidR="1757EE1B" w:rsidRDefault="1757EE1B" w:rsidP="279880EA">
      <w:pPr>
        <w:pStyle w:val="ListParagraph"/>
        <w:numPr>
          <w:ilvl w:val="0"/>
          <w:numId w:val="2"/>
        </w:numPr>
        <w:spacing w:before="240" w:line="360" w:lineRule="auto"/>
        <w:rPr>
          <w:b/>
          <w:bCs/>
        </w:rPr>
      </w:pPr>
      <w:r w:rsidRPr="279880EA">
        <w:rPr>
          <w:b/>
          <w:bCs/>
        </w:rPr>
        <w:t>Duckett, Stephen, and Kristina Nemet. Saving Private Health 1: Reining in Hospital Costs and Specialist Bills. Grattan Institute, 2019.</w:t>
      </w:r>
    </w:p>
    <w:p w14:paraId="5B673070" w14:textId="627ADD3C" w:rsidR="5CC88D0B" w:rsidRDefault="5CC88D0B" w:rsidP="279880EA">
      <w:pPr>
        <w:pStyle w:val="ListParagraph"/>
        <w:numPr>
          <w:ilvl w:val="0"/>
          <w:numId w:val="2"/>
        </w:numPr>
        <w:spacing w:before="240" w:line="360" w:lineRule="auto"/>
        <w:rPr>
          <w:b/>
          <w:bCs/>
        </w:rPr>
      </w:pPr>
      <w:r w:rsidRPr="279880EA">
        <w:rPr>
          <w:b/>
          <w:bCs/>
        </w:rPr>
        <w:t>Cheng, Terence. "Private health insurance rebates don’t serve their purpose. Let’s talk about scrapping them." The Conversation, 7 February 2018</w:t>
      </w:r>
    </w:p>
    <w:p w14:paraId="353C2288" w14:textId="491FF053" w:rsidR="5CC88D0B" w:rsidRDefault="5CC88D0B" w:rsidP="279880EA">
      <w:pPr>
        <w:pStyle w:val="ListParagraph"/>
        <w:numPr>
          <w:ilvl w:val="0"/>
          <w:numId w:val="2"/>
        </w:numPr>
        <w:spacing w:before="240" w:line="360" w:lineRule="auto"/>
        <w:rPr>
          <w:b/>
          <w:bCs/>
        </w:rPr>
      </w:pPr>
      <w:r w:rsidRPr="279880EA">
        <w:rPr>
          <w:b/>
          <w:bCs/>
        </w:rPr>
        <w:t xml:space="preserve">Rana, R.H., Alam, K. &amp; Gow, J. Selection of private or public hospital care: examining the care-seeking behaviour of patients with private health insurance. BMC Health Serv Res 20, 380 (2020). </w:t>
      </w:r>
      <w:hyperlink r:id="rId26">
        <w:r w:rsidRPr="279880EA">
          <w:rPr>
            <w:rStyle w:val="Hyperlink"/>
            <w:b/>
            <w:bCs/>
          </w:rPr>
          <w:t>https://doi.org/10.1186/s12913-020-05253-y</w:t>
        </w:r>
      </w:hyperlink>
    </w:p>
    <w:p w14:paraId="6794F422" w14:textId="434E75C2" w:rsidR="15113A7E" w:rsidRDefault="15113A7E" w:rsidP="279880EA">
      <w:pPr>
        <w:pStyle w:val="ListParagraph"/>
        <w:numPr>
          <w:ilvl w:val="0"/>
          <w:numId w:val="2"/>
        </w:numPr>
        <w:spacing w:before="240" w:line="360" w:lineRule="auto"/>
        <w:rPr>
          <w:b/>
          <w:bCs/>
        </w:rPr>
      </w:pPr>
      <w:r w:rsidRPr="279880EA">
        <w:rPr>
          <w:b/>
          <w:bCs/>
        </w:rPr>
        <w:t>Doiron, Denise, and Nathan Kettlewell. "The Effect of Health Insurance on the Substitution between Public and Private Hospital Care." Economic Record, vol. 94, no. 305, June 2018.</w:t>
      </w:r>
    </w:p>
    <w:p w14:paraId="67F69B55" w14:textId="26C7B745" w:rsidR="0B08A40F" w:rsidRDefault="0B08A40F" w:rsidP="279880EA">
      <w:pPr>
        <w:pStyle w:val="ListParagraph"/>
        <w:numPr>
          <w:ilvl w:val="0"/>
          <w:numId w:val="2"/>
        </w:numPr>
        <w:spacing w:before="240" w:line="360" w:lineRule="auto"/>
        <w:rPr>
          <w:b/>
          <w:bCs/>
        </w:rPr>
      </w:pPr>
      <w:r w:rsidRPr="279880EA">
        <w:rPr>
          <w:b/>
          <w:bCs/>
        </w:rPr>
        <w:t>Buchmueller, Thomas C., Terence C. Cheng, Ngoc T.A. Pham, and Kevin E. Staub. "The effect of income-based mandates on the demand for private hospital insurance and its dynamics." Journal of Health Economics, November 2020.</w:t>
      </w:r>
    </w:p>
    <w:p w14:paraId="425AD512" w14:textId="35E372BA" w:rsidR="65A8266F" w:rsidRDefault="65A8266F" w:rsidP="279880EA">
      <w:pPr>
        <w:pStyle w:val="ListParagraph"/>
        <w:numPr>
          <w:ilvl w:val="0"/>
          <w:numId w:val="2"/>
        </w:numPr>
        <w:spacing w:before="240" w:line="360" w:lineRule="auto"/>
        <w:rPr>
          <w:b/>
          <w:bCs/>
        </w:rPr>
      </w:pPr>
      <w:r w:rsidRPr="279880EA">
        <w:rPr>
          <w:b/>
          <w:bCs/>
        </w:rPr>
        <w:t>Cheng, T. (2014). Measuring the effects of reducing subsidies for private insurance on public expenditure for health care. Journal of Health Economics, 33(1), 159-179.</w:t>
      </w:r>
    </w:p>
    <w:p w14:paraId="14A535E5" w14:textId="58EE29BE" w:rsidR="38B19E62" w:rsidRDefault="38B19E62" w:rsidP="279880EA">
      <w:pPr>
        <w:pStyle w:val="ListParagraph"/>
        <w:numPr>
          <w:ilvl w:val="0"/>
          <w:numId w:val="2"/>
        </w:numPr>
        <w:spacing w:before="240" w:line="360" w:lineRule="auto"/>
        <w:rPr>
          <w:b/>
          <w:bCs/>
        </w:rPr>
      </w:pPr>
      <w:r w:rsidRPr="279880EA">
        <w:rPr>
          <w:b/>
          <w:bCs/>
        </w:rPr>
        <w:t>Gans, J. (2005). Does Australia’s Health Insurance System Really Provide Insurance? Policy, 20(3), 10-14.</w:t>
      </w:r>
    </w:p>
    <w:p w14:paraId="16F30C78" w14:textId="5FA82A74" w:rsidR="38B19E62" w:rsidRDefault="38B19E62" w:rsidP="279880EA">
      <w:pPr>
        <w:pStyle w:val="ListParagraph"/>
        <w:numPr>
          <w:ilvl w:val="0"/>
          <w:numId w:val="2"/>
        </w:numPr>
        <w:spacing w:line="360" w:lineRule="auto"/>
        <w:rPr>
          <w:b/>
          <w:bCs/>
        </w:rPr>
      </w:pPr>
      <w:r w:rsidRPr="279880EA">
        <w:rPr>
          <w:b/>
          <w:bCs/>
        </w:rPr>
        <w:t xml:space="preserve">Cheng, T. (2018). Private health insurance rebates </w:t>
      </w:r>
      <w:r w:rsidR="06A66BF5" w:rsidRPr="279880EA">
        <w:rPr>
          <w:b/>
          <w:bCs/>
        </w:rPr>
        <w:t>do not</w:t>
      </w:r>
      <w:r w:rsidRPr="279880EA">
        <w:rPr>
          <w:b/>
          <w:bCs/>
        </w:rPr>
        <w:t xml:space="preserve"> serve their purpose. </w:t>
      </w:r>
      <w:r w:rsidR="61614BC3" w:rsidRPr="279880EA">
        <w:rPr>
          <w:b/>
          <w:bCs/>
        </w:rPr>
        <w:t>Let us</w:t>
      </w:r>
      <w:r w:rsidRPr="279880EA">
        <w:rPr>
          <w:b/>
          <w:bCs/>
        </w:rPr>
        <w:t xml:space="preserve"> talk about scrapping them. The Conversation. Retrieved from [</w:t>
      </w:r>
      <w:hyperlink r:id="rId27">
        <w:r w:rsidRPr="279880EA">
          <w:rPr>
            <w:rStyle w:val="Hyperlink"/>
            <w:b/>
            <w:bCs/>
          </w:rPr>
          <w:t>https://theconversation.com/private-health-insurance-rebates-dont-serve-their-purpose-lets-talk-about-scrapping-them-91061</w:t>
        </w:r>
      </w:hyperlink>
      <w:r w:rsidRPr="279880EA">
        <w:rPr>
          <w:b/>
          <w:bCs/>
        </w:rPr>
        <w:t>]</w:t>
      </w:r>
    </w:p>
    <w:p w14:paraId="370E0E8B" w14:textId="6047C05F" w:rsidR="38B19E62" w:rsidRDefault="38B19E62" w:rsidP="279880EA">
      <w:pPr>
        <w:pStyle w:val="ListParagraph"/>
        <w:numPr>
          <w:ilvl w:val="0"/>
          <w:numId w:val="2"/>
        </w:numPr>
        <w:spacing w:line="360" w:lineRule="auto"/>
        <w:rPr>
          <w:b/>
          <w:bCs/>
        </w:rPr>
      </w:pPr>
      <w:r w:rsidRPr="279880EA">
        <w:rPr>
          <w:b/>
          <w:bCs/>
        </w:rPr>
        <w:t>Palangkaraya, A., &amp; Yong, J. (2005). Effects of Recent Carrot-and-Stick Policy Initiatives on Private Health Insurance Coverage in Australia. Economic Record, 81(254), 262-272.</w:t>
      </w:r>
    </w:p>
    <w:p w14:paraId="553C8CD6" w14:textId="15764566" w:rsidR="38B19E62" w:rsidRDefault="38B19E62" w:rsidP="279880EA">
      <w:pPr>
        <w:pStyle w:val="ListParagraph"/>
        <w:numPr>
          <w:ilvl w:val="0"/>
          <w:numId w:val="2"/>
        </w:numPr>
        <w:spacing w:line="360" w:lineRule="auto"/>
        <w:rPr>
          <w:b/>
          <w:bCs/>
        </w:rPr>
      </w:pPr>
      <w:r w:rsidRPr="279880EA">
        <w:rPr>
          <w:b/>
          <w:bCs/>
        </w:rPr>
        <w:t>Vaithianathan, R. (2005). A Critique of the Private Health Insurance Regulations. Australian Economic Review, 37(3), 257–270.</w:t>
      </w:r>
    </w:p>
    <w:p w14:paraId="4723E1CF" w14:textId="42952AA6" w:rsidR="279880EA" w:rsidRDefault="279880EA" w:rsidP="279880EA">
      <w:pPr>
        <w:spacing w:before="240" w:line="360" w:lineRule="auto"/>
        <w:ind w:firstLine="0"/>
      </w:pPr>
    </w:p>
    <w:p w14:paraId="56C10C39" w14:textId="06DEC273" w:rsidR="279880EA" w:rsidRDefault="279880EA" w:rsidP="279880EA">
      <w:pPr>
        <w:spacing w:before="240" w:line="360" w:lineRule="auto"/>
        <w:ind w:firstLine="0"/>
        <w:rPr>
          <w:b/>
          <w:bCs/>
        </w:rPr>
      </w:pPr>
    </w:p>
    <w:p w14:paraId="44609040" w14:textId="3E89E125" w:rsidR="279880EA" w:rsidRDefault="279880EA" w:rsidP="279880EA">
      <w:pPr>
        <w:spacing w:before="240" w:line="360" w:lineRule="auto"/>
        <w:ind w:firstLine="0"/>
        <w:rPr>
          <w:b/>
          <w:bCs/>
        </w:rPr>
      </w:pPr>
    </w:p>
    <w:p w14:paraId="4F15AD67" w14:textId="11CF9939" w:rsidR="279880EA" w:rsidRDefault="279880EA" w:rsidP="279880EA">
      <w:pPr>
        <w:spacing w:before="240" w:line="360" w:lineRule="auto"/>
        <w:ind w:left="360" w:firstLine="0"/>
      </w:pPr>
    </w:p>
    <w:p w14:paraId="12BF54EB" w14:textId="52F8AD77" w:rsidR="279880EA" w:rsidRDefault="279880EA" w:rsidP="279880EA">
      <w:pPr>
        <w:spacing w:before="240" w:line="360" w:lineRule="auto"/>
        <w:ind w:left="360"/>
      </w:pPr>
    </w:p>
    <w:p w14:paraId="45D26C49" w14:textId="372AEB03" w:rsidR="279880EA" w:rsidRDefault="279880EA" w:rsidP="279880EA">
      <w:pPr>
        <w:spacing w:before="240" w:line="360" w:lineRule="auto"/>
        <w:ind w:firstLine="0"/>
      </w:pPr>
    </w:p>
    <w:sectPr w:rsidR="279880EA" w:rsidSect="00C540C8">
      <w:headerReference w:type="default" r:id="rId28"/>
      <w:footerReference w:type="default" r:id="rId29"/>
      <w:headerReference w:type="first" r:id="rId30"/>
      <w:footerReference w:type="first" r:id="rId3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89DEE" w14:textId="77777777" w:rsidR="0009272C" w:rsidRDefault="0009272C">
      <w:pPr>
        <w:spacing w:line="240" w:lineRule="auto"/>
      </w:pPr>
      <w:r>
        <w:separator/>
      </w:r>
    </w:p>
    <w:p w14:paraId="0D4FAFFF" w14:textId="77777777" w:rsidR="0009272C" w:rsidRDefault="0009272C"/>
  </w:endnote>
  <w:endnote w:type="continuationSeparator" w:id="0">
    <w:p w14:paraId="636E9A73" w14:textId="77777777" w:rsidR="0009272C" w:rsidRDefault="0009272C">
      <w:pPr>
        <w:spacing w:line="240" w:lineRule="auto"/>
      </w:pPr>
      <w:r>
        <w:continuationSeparator/>
      </w:r>
    </w:p>
    <w:p w14:paraId="252807C5" w14:textId="77777777" w:rsidR="0009272C" w:rsidRDefault="000927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279880EA" w14:paraId="0EB06997" w14:textId="77777777" w:rsidTr="279880EA">
      <w:trPr>
        <w:trHeight w:val="300"/>
      </w:trPr>
      <w:tc>
        <w:tcPr>
          <w:tcW w:w="3005" w:type="dxa"/>
        </w:tcPr>
        <w:p w14:paraId="3E410C30" w14:textId="1DFACD5A" w:rsidR="279880EA" w:rsidRDefault="279880EA" w:rsidP="279880EA">
          <w:pPr>
            <w:pStyle w:val="Header"/>
            <w:ind w:left="-115"/>
          </w:pPr>
        </w:p>
      </w:tc>
      <w:tc>
        <w:tcPr>
          <w:tcW w:w="3005" w:type="dxa"/>
        </w:tcPr>
        <w:p w14:paraId="4A72F17D" w14:textId="54944AEE" w:rsidR="279880EA" w:rsidRDefault="279880EA" w:rsidP="279880EA">
          <w:pPr>
            <w:pStyle w:val="Header"/>
            <w:jc w:val="center"/>
          </w:pPr>
        </w:p>
      </w:tc>
      <w:tc>
        <w:tcPr>
          <w:tcW w:w="3005" w:type="dxa"/>
        </w:tcPr>
        <w:p w14:paraId="6945B4BF" w14:textId="6C3789CE" w:rsidR="279880EA" w:rsidRDefault="279880EA" w:rsidP="279880EA">
          <w:pPr>
            <w:pStyle w:val="Header"/>
            <w:ind w:right="-115"/>
            <w:jc w:val="right"/>
          </w:pPr>
        </w:p>
      </w:tc>
    </w:tr>
  </w:tbl>
  <w:p w14:paraId="0A2AB934" w14:textId="4FF41075" w:rsidR="279880EA" w:rsidRDefault="279880EA" w:rsidP="279880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279880EA" w14:paraId="71888724" w14:textId="77777777" w:rsidTr="279880EA">
      <w:trPr>
        <w:trHeight w:val="300"/>
      </w:trPr>
      <w:tc>
        <w:tcPr>
          <w:tcW w:w="3005" w:type="dxa"/>
        </w:tcPr>
        <w:p w14:paraId="79CB5B48" w14:textId="63FA53D7" w:rsidR="279880EA" w:rsidRDefault="279880EA" w:rsidP="279880EA">
          <w:pPr>
            <w:pStyle w:val="Header"/>
            <w:ind w:left="-115"/>
          </w:pPr>
        </w:p>
      </w:tc>
      <w:tc>
        <w:tcPr>
          <w:tcW w:w="3005" w:type="dxa"/>
        </w:tcPr>
        <w:p w14:paraId="13DEE230" w14:textId="3B2CA582" w:rsidR="279880EA" w:rsidRDefault="279880EA" w:rsidP="279880EA">
          <w:pPr>
            <w:pStyle w:val="Header"/>
            <w:jc w:val="center"/>
          </w:pPr>
        </w:p>
      </w:tc>
      <w:tc>
        <w:tcPr>
          <w:tcW w:w="3005" w:type="dxa"/>
        </w:tcPr>
        <w:p w14:paraId="5FAC93B8" w14:textId="16B214F2" w:rsidR="279880EA" w:rsidRDefault="279880EA" w:rsidP="279880EA">
          <w:pPr>
            <w:pStyle w:val="Header"/>
            <w:ind w:right="-115"/>
            <w:jc w:val="right"/>
          </w:pPr>
        </w:p>
      </w:tc>
    </w:tr>
  </w:tbl>
  <w:p w14:paraId="3FB10A1B" w14:textId="2340AE71" w:rsidR="279880EA" w:rsidRDefault="279880EA" w:rsidP="279880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09A46" w14:textId="77777777" w:rsidR="0009272C" w:rsidRDefault="0009272C">
      <w:pPr>
        <w:spacing w:line="240" w:lineRule="auto"/>
      </w:pPr>
      <w:r>
        <w:separator/>
      </w:r>
    </w:p>
    <w:p w14:paraId="197B5F27" w14:textId="77777777" w:rsidR="0009272C" w:rsidRDefault="0009272C"/>
  </w:footnote>
  <w:footnote w:type="continuationSeparator" w:id="0">
    <w:p w14:paraId="2887ACFF" w14:textId="77777777" w:rsidR="0009272C" w:rsidRDefault="0009272C">
      <w:pPr>
        <w:spacing w:line="240" w:lineRule="auto"/>
      </w:pPr>
      <w:r>
        <w:continuationSeparator/>
      </w:r>
    </w:p>
    <w:p w14:paraId="7804770B" w14:textId="77777777" w:rsidR="0009272C" w:rsidRDefault="000927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7985"/>
      <w:gridCol w:w="1041"/>
    </w:tblGrid>
    <w:tr w:rsidR="00913958" w14:paraId="21DD4FCB" w14:textId="77777777" w:rsidTr="279880EA">
      <w:tc>
        <w:tcPr>
          <w:tcW w:w="8280" w:type="dxa"/>
        </w:tcPr>
        <w:p w14:paraId="4DC9317A" w14:textId="315DF0CC" w:rsidR="00913958" w:rsidRDefault="279880EA" w:rsidP="279880EA">
          <w:pPr>
            <w:pStyle w:val="Header"/>
            <w:rPr>
              <w:lang w:val="en-GB" w:bidi="en-GB"/>
            </w:rPr>
          </w:pPr>
          <w:r w:rsidRPr="279880EA">
            <w:rPr>
              <w:lang w:val="en-GB" w:bidi="en-GB"/>
            </w:rPr>
            <w:t>Private Healthcare Industry in Australia</w:t>
          </w:r>
        </w:p>
      </w:tc>
      <w:tc>
        <w:tcPr>
          <w:tcW w:w="1080" w:type="dxa"/>
        </w:tcPr>
        <w:p w14:paraId="15EC428A" w14:textId="77777777" w:rsidR="00913958" w:rsidRDefault="008A19F0">
          <w:pPr>
            <w:pStyle w:val="Header"/>
            <w:jc w:val="right"/>
          </w:pPr>
          <w:r>
            <w:rPr>
              <w:lang w:val="en-GB" w:bidi="en-GB"/>
            </w:rPr>
            <w:fldChar w:fldCharType="begin"/>
          </w:r>
          <w:r>
            <w:rPr>
              <w:lang w:val="en-GB" w:bidi="en-GB"/>
            </w:rPr>
            <w:instrText xml:space="preserve"> PAGE   \* MERGEFORMAT </w:instrText>
          </w:r>
          <w:r>
            <w:rPr>
              <w:lang w:val="en-GB" w:bidi="en-GB"/>
            </w:rPr>
            <w:fldChar w:fldCharType="separate"/>
          </w:r>
          <w:r w:rsidR="00EF5355">
            <w:rPr>
              <w:noProof/>
              <w:lang w:val="en-GB" w:bidi="en-GB"/>
            </w:rPr>
            <w:t>20</w:t>
          </w:r>
          <w:r>
            <w:rPr>
              <w:noProof/>
              <w:lang w:val="en-GB" w:bidi="en-GB"/>
            </w:rPr>
            <w:fldChar w:fldCharType="end"/>
          </w:r>
        </w:p>
      </w:tc>
    </w:tr>
  </w:tbl>
  <w:p w14:paraId="0A37501D" w14:textId="77777777" w:rsidR="00913958" w:rsidRDefault="009139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7983"/>
      <w:gridCol w:w="1043"/>
    </w:tblGrid>
    <w:tr w:rsidR="00913958" w14:paraId="72F7F9AF" w14:textId="77777777" w:rsidTr="279880EA">
      <w:tc>
        <w:tcPr>
          <w:tcW w:w="8280" w:type="dxa"/>
        </w:tcPr>
        <w:p w14:paraId="3623F7F5" w14:textId="4C663375" w:rsidR="00913958" w:rsidRDefault="279880EA" w:rsidP="279880EA">
          <w:pPr>
            <w:pStyle w:val="Header"/>
          </w:pPr>
          <w:r w:rsidRPr="279880EA">
            <w:rPr>
              <w:lang w:val="en-GB" w:bidi="en-GB"/>
            </w:rPr>
            <w:t>Title Page</w:t>
          </w:r>
        </w:p>
        <w:p w14:paraId="4D1CDC70" w14:textId="40C9C4D4" w:rsidR="00913958" w:rsidRDefault="00913958" w:rsidP="279880EA">
          <w:pPr>
            <w:pStyle w:val="Header"/>
            <w:rPr>
              <w:lang w:val="en-GB" w:bidi="en-GB"/>
            </w:rPr>
          </w:pPr>
        </w:p>
      </w:tc>
      <w:tc>
        <w:tcPr>
          <w:tcW w:w="1080" w:type="dxa"/>
        </w:tcPr>
        <w:p w14:paraId="3D3D22A9" w14:textId="77777777" w:rsidR="00913958" w:rsidRDefault="008A19F0">
          <w:pPr>
            <w:pStyle w:val="Header"/>
            <w:jc w:val="right"/>
          </w:pPr>
          <w:r>
            <w:rPr>
              <w:lang w:val="en-GB" w:bidi="en-GB"/>
            </w:rPr>
            <w:fldChar w:fldCharType="begin"/>
          </w:r>
          <w:r>
            <w:rPr>
              <w:lang w:val="en-GB" w:bidi="en-GB"/>
            </w:rPr>
            <w:instrText xml:space="preserve"> PAGE   \* MERGEFORMAT </w:instrText>
          </w:r>
          <w:r>
            <w:rPr>
              <w:lang w:val="en-GB" w:bidi="en-GB"/>
            </w:rPr>
            <w:fldChar w:fldCharType="separate"/>
          </w:r>
          <w:r w:rsidR="00EF5355">
            <w:rPr>
              <w:noProof/>
              <w:lang w:val="en-GB" w:bidi="en-GB"/>
            </w:rPr>
            <w:t>1</w:t>
          </w:r>
          <w:r>
            <w:rPr>
              <w:noProof/>
              <w:lang w:val="en-GB" w:bidi="en-GB"/>
            </w:rPr>
            <w:fldChar w:fldCharType="end"/>
          </w:r>
        </w:p>
      </w:tc>
    </w:tr>
  </w:tbl>
  <w:p w14:paraId="60061E4C" w14:textId="77777777" w:rsidR="00913958" w:rsidRDefault="00913958">
    <w:pPr>
      <w:pStyle w:val="Header"/>
    </w:pPr>
  </w:p>
</w:hdr>
</file>

<file path=word/intelligence2.xml><?xml version="1.0" encoding="utf-8"?>
<int2:intelligence xmlns:int2="http://schemas.microsoft.com/office/intelligence/2020/intelligence">
  <int2:observations>
    <int2:textHash int2:hashCode="kRqQi7TmNjXFrf" int2:id="kJwLIFEG">
      <int2:state int2:type="AugLoop_Text_Critique" int2:value="Rejected"/>
    </int2:textHash>
    <int2:textHash int2:hashCode="lEptq6EqDcGf2/" int2:id="RxF3zAbD">
      <int2:state int2:type="AugLoop_Text_Critique" int2:value="Rejected"/>
    </int2:textHash>
    <int2:textHash int2:hashCode="CM4j0miw9jprDF" int2:id="a66OV1fj">
      <int2:state int2:type="AugLoop_Text_Critique" int2:value="Rejected"/>
    </int2:textHash>
    <int2:textHash int2:hashCode="v3jXqOAVqWKVSe" int2:id="8mFhzotl">
      <int2:state int2:type="AugLoop_Text_Critique" int2:value="Rejected"/>
    </int2:textHash>
    <int2:textHash int2:hashCode="x1Fzups5c0mh9G" int2:id="tippCL32">
      <int2:state int2:type="AugLoop_Text_Critique" int2:value="Rejected"/>
    </int2:textHash>
    <int2:textHash int2:hashCode="m/fLHkdorv2D0R" int2:id="WPJepSLy">
      <int2:state int2:type="AugLoop_Text_Critique" int2:value="Rejected"/>
    </int2:textHash>
    <int2:bookmark int2:bookmarkName="_Int_0wZYS5pU" int2:invalidationBookmarkName="" int2:hashCode="xOfQaadDOIX9VA" int2:id="7QFGyIU0">
      <int2:state int2:type="WordDesignerDefaultAnnotation"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59F47CE"/>
    <w:multiLevelType w:val="hybridMultilevel"/>
    <w:tmpl w:val="C6C887A8"/>
    <w:lvl w:ilvl="0" w:tplc="AFCA756E">
      <w:start w:val="1"/>
      <w:numFmt w:val="bullet"/>
      <w:lvlText w:val=""/>
      <w:lvlJc w:val="left"/>
      <w:pPr>
        <w:ind w:left="720" w:hanging="360"/>
      </w:pPr>
      <w:rPr>
        <w:rFonts w:ascii="Symbol" w:hAnsi="Symbol" w:hint="default"/>
      </w:rPr>
    </w:lvl>
    <w:lvl w:ilvl="1" w:tplc="657E0556">
      <w:start w:val="1"/>
      <w:numFmt w:val="bullet"/>
      <w:lvlText w:val="o"/>
      <w:lvlJc w:val="left"/>
      <w:pPr>
        <w:ind w:left="1440" w:hanging="360"/>
      </w:pPr>
      <w:rPr>
        <w:rFonts w:ascii="Courier New" w:hAnsi="Courier New" w:hint="default"/>
      </w:rPr>
    </w:lvl>
    <w:lvl w:ilvl="2" w:tplc="0382CD9E">
      <w:start w:val="1"/>
      <w:numFmt w:val="bullet"/>
      <w:lvlText w:val=""/>
      <w:lvlJc w:val="left"/>
      <w:pPr>
        <w:ind w:left="2160" w:hanging="360"/>
      </w:pPr>
      <w:rPr>
        <w:rFonts w:ascii="Wingdings" w:hAnsi="Wingdings" w:hint="default"/>
      </w:rPr>
    </w:lvl>
    <w:lvl w:ilvl="3" w:tplc="B7A016EE">
      <w:start w:val="1"/>
      <w:numFmt w:val="bullet"/>
      <w:lvlText w:val=""/>
      <w:lvlJc w:val="left"/>
      <w:pPr>
        <w:ind w:left="2880" w:hanging="360"/>
      </w:pPr>
      <w:rPr>
        <w:rFonts w:ascii="Symbol" w:hAnsi="Symbol" w:hint="default"/>
      </w:rPr>
    </w:lvl>
    <w:lvl w:ilvl="4" w:tplc="04FEBE5A">
      <w:start w:val="1"/>
      <w:numFmt w:val="bullet"/>
      <w:lvlText w:val="o"/>
      <w:lvlJc w:val="left"/>
      <w:pPr>
        <w:ind w:left="3600" w:hanging="360"/>
      </w:pPr>
      <w:rPr>
        <w:rFonts w:ascii="Courier New" w:hAnsi="Courier New" w:hint="default"/>
      </w:rPr>
    </w:lvl>
    <w:lvl w:ilvl="5" w:tplc="208CED84">
      <w:start w:val="1"/>
      <w:numFmt w:val="bullet"/>
      <w:lvlText w:val=""/>
      <w:lvlJc w:val="left"/>
      <w:pPr>
        <w:ind w:left="4320" w:hanging="360"/>
      </w:pPr>
      <w:rPr>
        <w:rFonts w:ascii="Wingdings" w:hAnsi="Wingdings" w:hint="default"/>
      </w:rPr>
    </w:lvl>
    <w:lvl w:ilvl="6" w:tplc="9138AF24">
      <w:start w:val="1"/>
      <w:numFmt w:val="bullet"/>
      <w:lvlText w:val=""/>
      <w:lvlJc w:val="left"/>
      <w:pPr>
        <w:ind w:left="5040" w:hanging="360"/>
      </w:pPr>
      <w:rPr>
        <w:rFonts w:ascii="Symbol" w:hAnsi="Symbol" w:hint="default"/>
      </w:rPr>
    </w:lvl>
    <w:lvl w:ilvl="7" w:tplc="A28C733C">
      <w:start w:val="1"/>
      <w:numFmt w:val="bullet"/>
      <w:lvlText w:val="o"/>
      <w:lvlJc w:val="left"/>
      <w:pPr>
        <w:ind w:left="5760" w:hanging="360"/>
      </w:pPr>
      <w:rPr>
        <w:rFonts w:ascii="Courier New" w:hAnsi="Courier New" w:hint="default"/>
      </w:rPr>
    </w:lvl>
    <w:lvl w:ilvl="8" w:tplc="2FFAFE00">
      <w:start w:val="1"/>
      <w:numFmt w:val="bullet"/>
      <w:lvlText w:val=""/>
      <w:lvlJc w:val="left"/>
      <w:pPr>
        <w:ind w:left="6480" w:hanging="360"/>
      </w:pPr>
      <w:rPr>
        <w:rFonts w:ascii="Wingdings" w:hAnsi="Wingdings" w:hint="default"/>
      </w:rPr>
    </w:lvl>
  </w:abstractNum>
  <w:abstractNum w:abstractNumId="11">
    <w:nsid w:val="08917426"/>
    <w:multiLevelType w:val="hybridMultilevel"/>
    <w:tmpl w:val="81FE4D5C"/>
    <w:lvl w:ilvl="0" w:tplc="3174AEC2">
      <w:start w:val="1"/>
      <w:numFmt w:val="bullet"/>
      <w:lvlText w:val=""/>
      <w:lvlJc w:val="left"/>
      <w:pPr>
        <w:ind w:left="720" w:hanging="360"/>
      </w:pPr>
      <w:rPr>
        <w:rFonts w:ascii="Symbol" w:hAnsi="Symbol" w:hint="default"/>
      </w:rPr>
    </w:lvl>
    <w:lvl w:ilvl="1" w:tplc="C22CAFC0">
      <w:start w:val="1"/>
      <w:numFmt w:val="bullet"/>
      <w:lvlText w:val="o"/>
      <w:lvlJc w:val="left"/>
      <w:pPr>
        <w:ind w:left="1440" w:hanging="360"/>
      </w:pPr>
      <w:rPr>
        <w:rFonts w:ascii="Courier New" w:hAnsi="Courier New" w:hint="default"/>
      </w:rPr>
    </w:lvl>
    <w:lvl w:ilvl="2" w:tplc="D93688FE">
      <w:start w:val="1"/>
      <w:numFmt w:val="bullet"/>
      <w:lvlText w:val=""/>
      <w:lvlJc w:val="left"/>
      <w:pPr>
        <w:ind w:left="2160" w:hanging="360"/>
      </w:pPr>
      <w:rPr>
        <w:rFonts w:ascii="Wingdings" w:hAnsi="Wingdings" w:hint="default"/>
      </w:rPr>
    </w:lvl>
    <w:lvl w:ilvl="3" w:tplc="FE0EF086">
      <w:start w:val="1"/>
      <w:numFmt w:val="bullet"/>
      <w:lvlText w:val=""/>
      <w:lvlJc w:val="left"/>
      <w:pPr>
        <w:ind w:left="2880" w:hanging="360"/>
      </w:pPr>
      <w:rPr>
        <w:rFonts w:ascii="Symbol" w:hAnsi="Symbol" w:hint="default"/>
      </w:rPr>
    </w:lvl>
    <w:lvl w:ilvl="4" w:tplc="F7F87FC4">
      <w:start w:val="1"/>
      <w:numFmt w:val="bullet"/>
      <w:lvlText w:val="o"/>
      <w:lvlJc w:val="left"/>
      <w:pPr>
        <w:ind w:left="3600" w:hanging="360"/>
      </w:pPr>
      <w:rPr>
        <w:rFonts w:ascii="Courier New" w:hAnsi="Courier New" w:hint="default"/>
      </w:rPr>
    </w:lvl>
    <w:lvl w:ilvl="5" w:tplc="0528373C">
      <w:start w:val="1"/>
      <w:numFmt w:val="bullet"/>
      <w:lvlText w:val=""/>
      <w:lvlJc w:val="left"/>
      <w:pPr>
        <w:ind w:left="4320" w:hanging="360"/>
      </w:pPr>
      <w:rPr>
        <w:rFonts w:ascii="Wingdings" w:hAnsi="Wingdings" w:hint="default"/>
      </w:rPr>
    </w:lvl>
    <w:lvl w:ilvl="6" w:tplc="727C9E7C">
      <w:start w:val="1"/>
      <w:numFmt w:val="bullet"/>
      <w:lvlText w:val=""/>
      <w:lvlJc w:val="left"/>
      <w:pPr>
        <w:ind w:left="5040" w:hanging="360"/>
      </w:pPr>
      <w:rPr>
        <w:rFonts w:ascii="Symbol" w:hAnsi="Symbol" w:hint="default"/>
      </w:rPr>
    </w:lvl>
    <w:lvl w:ilvl="7" w:tplc="A4086AFC">
      <w:start w:val="1"/>
      <w:numFmt w:val="bullet"/>
      <w:lvlText w:val="o"/>
      <w:lvlJc w:val="left"/>
      <w:pPr>
        <w:ind w:left="5760" w:hanging="360"/>
      </w:pPr>
      <w:rPr>
        <w:rFonts w:ascii="Courier New" w:hAnsi="Courier New" w:hint="default"/>
      </w:rPr>
    </w:lvl>
    <w:lvl w:ilvl="8" w:tplc="C892FC3A">
      <w:start w:val="1"/>
      <w:numFmt w:val="bullet"/>
      <w:lvlText w:val=""/>
      <w:lvlJc w:val="left"/>
      <w:pPr>
        <w:ind w:left="6480" w:hanging="360"/>
      </w:pPr>
      <w:rPr>
        <w:rFonts w:ascii="Wingdings" w:hAnsi="Wingdings" w:hint="default"/>
      </w:rPr>
    </w:lvl>
  </w:abstractNum>
  <w:abstractNum w:abstractNumId="12">
    <w:nsid w:val="0D0047C4"/>
    <w:multiLevelType w:val="hybridMultilevel"/>
    <w:tmpl w:val="078009D8"/>
    <w:lvl w:ilvl="0" w:tplc="F084791C">
      <w:start w:val="1"/>
      <w:numFmt w:val="bullet"/>
      <w:lvlText w:val=""/>
      <w:lvlJc w:val="left"/>
      <w:pPr>
        <w:ind w:left="720" w:hanging="360"/>
      </w:pPr>
      <w:rPr>
        <w:rFonts w:ascii="Symbol" w:hAnsi="Symbol" w:hint="default"/>
      </w:rPr>
    </w:lvl>
    <w:lvl w:ilvl="1" w:tplc="9ABC951A">
      <w:start w:val="1"/>
      <w:numFmt w:val="bullet"/>
      <w:lvlText w:val="o"/>
      <w:lvlJc w:val="left"/>
      <w:pPr>
        <w:ind w:left="1440" w:hanging="360"/>
      </w:pPr>
      <w:rPr>
        <w:rFonts w:ascii="Courier New" w:hAnsi="Courier New" w:hint="default"/>
      </w:rPr>
    </w:lvl>
    <w:lvl w:ilvl="2" w:tplc="AFC8F7A2">
      <w:start w:val="1"/>
      <w:numFmt w:val="bullet"/>
      <w:lvlText w:val=""/>
      <w:lvlJc w:val="left"/>
      <w:pPr>
        <w:ind w:left="2160" w:hanging="360"/>
      </w:pPr>
      <w:rPr>
        <w:rFonts w:ascii="Wingdings" w:hAnsi="Wingdings" w:hint="default"/>
      </w:rPr>
    </w:lvl>
    <w:lvl w:ilvl="3" w:tplc="A8B80984">
      <w:start w:val="1"/>
      <w:numFmt w:val="bullet"/>
      <w:lvlText w:val=""/>
      <w:lvlJc w:val="left"/>
      <w:pPr>
        <w:ind w:left="2880" w:hanging="360"/>
      </w:pPr>
      <w:rPr>
        <w:rFonts w:ascii="Symbol" w:hAnsi="Symbol" w:hint="default"/>
      </w:rPr>
    </w:lvl>
    <w:lvl w:ilvl="4" w:tplc="6F1A904A">
      <w:start w:val="1"/>
      <w:numFmt w:val="bullet"/>
      <w:lvlText w:val="o"/>
      <w:lvlJc w:val="left"/>
      <w:pPr>
        <w:ind w:left="3600" w:hanging="360"/>
      </w:pPr>
      <w:rPr>
        <w:rFonts w:ascii="Courier New" w:hAnsi="Courier New" w:hint="default"/>
      </w:rPr>
    </w:lvl>
    <w:lvl w:ilvl="5" w:tplc="EED88CCC">
      <w:start w:val="1"/>
      <w:numFmt w:val="bullet"/>
      <w:lvlText w:val=""/>
      <w:lvlJc w:val="left"/>
      <w:pPr>
        <w:ind w:left="4320" w:hanging="360"/>
      </w:pPr>
      <w:rPr>
        <w:rFonts w:ascii="Wingdings" w:hAnsi="Wingdings" w:hint="default"/>
      </w:rPr>
    </w:lvl>
    <w:lvl w:ilvl="6" w:tplc="E3D4FD6E">
      <w:start w:val="1"/>
      <w:numFmt w:val="bullet"/>
      <w:lvlText w:val=""/>
      <w:lvlJc w:val="left"/>
      <w:pPr>
        <w:ind w:left="5040" w:hanging="360"/>
      </w:pPr>
      <w:rPr>
        <w:rFonts w:ascii="Symbol" w:hAnsi="Symbol" w:hint="default"/>
      </w:rPr>
    </w:lvl>
    <w:lvl w:ilvl="7" w:tplc="0A3AB27E">
      <w:start w:val="1"/>
      <w:numFmt w:val="bullet"/>
      <w:lvlText w:val="o"/>
      <w:lvlJc w:val="left"/>
      <w:pPr>
        <w:ind w:left="5760" w:hanging="360"/>
      </w:pPr>
      <w:rPr>
        <w:rFonts w:ascii="Courier New" w:hAnsi="Courier New" w:hint="default"/>
      </w:rPr>
    </w:lvl>
    <w:lvl w:ilvl="8" w:tplc="0E4E0470">
      <w:start w:val="1"/>
      <w:numFmt w:val="bullet"/>
      <w:lvlText w:val=""/>
      <w:lvlJc w:val="left"/>
      <w:pPr>
        <w:ind w:left="6480" w:hanging="360"/>
      </w:pPr>
      <w:rPr>
        <w:rFonts w:ascii="Wingdings" w:hAnsi="Wingdings" w:hint="default"/>
      </w:rPr>
    </w:lvl>
  </w:abstractNum>
  <w:abstractNum w:abstractNumId="13">
    <w:nsid w:val="15765C64"/>
    <w:multiLevelType w:val="hybridMultilevel"/>
    <w:tmpl w:val="A22AC2FA"/>
    <w:lvl w:ilvl="0" w:tplc="6B8C6B7E">
      <w:start w:val="1"/>
      <w:numFmt w:val="bullet"/>
      <w:lvlText w:val=""/>
      <w:lvlJc w:val="left"/>
      <w:pPr>
        <w:ind w:left="720" w:hanging="360"/>
      </w:pPr>
      <w:rPr>
        <w:rFonts w:ascii="Symbol" w:hAnsi="Symbol" w:hint="default"/>
      </w:rPr>
    </w:lvl>
    <w:lvl w:ilvl="1" w:tplc="46581284">
      <w:start w:val="1"/>
      <w:numFmt w:val="bullet"/>
      <w:lvlText w:val="o"/>
      <w:lvlJc w:val="left"/>
      <w:pPr>
        <w:ind w:left="1440" w:hanging="360"/>
      </w:pPr>
      <w:rPr>
        <w:rFonts w:ascii="Courier New" w:hAnsi="Courier New" w:hint="default"/>
      </w:rPr>
    </w:lvl>
    <w:lvl w:ilvl="2" w:tplc="C242DAE0">
      <w:start w:val="1"/>
      <w:numFmt w:val="bullet"/>
      <w:lvlText w:val=""/>
      <w:lvlJc w:val="left"/>
      <w:pPr>
        <w:ind w:left="2160" w:hanging="360"/>
      </w:pPr>
      <w:rPr>
        <w:rFonts w:ascii="Wingdings" w:hAnsi="Wingdings" w:hint="default"/>
      </w:rPr>
    </w:lvl>
    <w:lvl w:ilvl="3" w:tplc="6B04154A">
      <w:start w:val="1"/>
      <w:numFmt w:val="bullet"/>
      <w:lvlText w:val=""/>
      <w:lvlJc w:val="left"/>
      <w:pPr>
        <w:ind w:left="2880" w:hanging="360"/>
      </w:pPr>
      <w:rPr>
        <w:rFonts w:ascii="Symbol" w:hAnsi="Symbol" w:hint="default"/>
      </w:rPr>
    </w:lvl>
    <w:lvl w:ilvl="4" w:tplc="03FE72CE">
      <w:start w:val="1"/>
      <w:numFmt w:val="bullet"/>
      <w:lvlText w:val="o"/>
      <w:lvlJc w:val="left"/>
      <w:pPr>
        <w:ind w:left="3600" w:hanging="360"/>
      </w:pPr>
      <w:rPr>
        <w:rFonts w:ascii="Courier New" w:hAnsi="Courier New" w:hint="default"/>
      </w:rPr>
    </w:lvl>
    <w:lvl w:ilvl="5" w:tplc="AF083F32">
      <w:start w:val="1"/>
      <w:numFmt w:val="bullet"/>
      <w:lvlText w:val=""/>
      <w:lvlJc w:val="left"/>
      <w:pPr>
        <w:ind w:left="4320" w:hanging="360"/>
      </w:pPr>
      <w:rPr>
        <w:rFonts w:ascii="Wingdings" w:hAnsi="Wingdings" w:hint="default"/>
      </w:rPr>
    </w:lvl>
    <w:lvl w:ilvl="6" w:tplc="B1467ABC">
      <w:start w:val="1"/>
      <w:numFmt w:val="bullet"/>
      <w:lvlText w:val=""/>
      <w:lvlJc w:val="left"/>
      <w:pPr>
        <w:ind w:left="5040" w:hanging="360"/>
      </w:pPr>
      <w:rPr>
        <w:rFonts w:ascii="Symbol" w:hAnsi="Symbol" w:hint="default"/>
      </w:rPr>
    </w:lvl>
    <w:lvl w:ilvl="7" w:tplc="163E9330">
      <w:start w:val="1"/>
      <w:numFmt w:val="bullet"/>
      <w:lvlText w:val="o"/>
      <w:lvlJc w:val="left"/>
      <w:pPr>
        <w:ind w:left="5760" w:hanging="360"/>
      </w:pPr>
      <w:rPr>
        <w:rFonts w:ascii="Courier New" w:hAnsi="Courier New" w:hint="default"/>
      </w:rPr>
    </w:lvl>
    <w:lvl w:ilvl="8" w:tplc="0AC2EF72">
      <w:start w:val="1"/>
      <w:numFmt w:val="bullet"/>
      <w:lvlText w:val=""/>
      <w:lvlJc w:val="left"/>
      <w:pPr>
        <w:ind w:left="6480" w:hanging="360"/>
      </w:pPr>
      <w:rPr>
        <w:rFonts w:ascii="Wingdings" w:hAnsi="Wingdings" w:hint="default"/>
      </w:rPr>
    </w:lvl>
  </w:abstractNum>
  <w:abstractNum w:abstractNumId="14">
    <w:nsid w:val="27316D47"/>
    <w:multiLevelType w:val="hybridMultilevel"/>
    <w:tmpl w:val="E376AAF0"/>
    <w:lvl w:ilvl="0" w:tplc="4DBEFEA0">
      <w:start w:val="1"/>
      <w:numFmt w:val="bullet"/>
      <w:lvlText w:val=""/>
      <w:lvlJc w:val="left"/>
      <w:pPr>
        <w:ind w:left="720" w:hanging="360"/>
      </w:pPr>
      <w:rPr>
        <w:rFonts w:ascii="Symbol" w:hAnsi="Symbol" w:hint="default"/>
      </w:rPr>
    </w:lvl>
    <w:lvl w:ilvl="1" w:tplc="06BA582A">
      <w:start w:val="1"/>
      <w:numFmt w:val="bullet"/>
      <w:lvlText w:val="o"/>
      <w:lvlJc w:val="left"/>
      <w:pPr>
        <w:ind w:left="1440" w:hanging="360"/>
      </w:pPr>
      <w:rPr>
        <w:rFonts w:ascii="Courier New" w:hAnsi="Courier New" w:hint="default"/>
      </w:rPr>
    </w:lvl>
    <w:lvl w:ilvl="2" w:tplc="977C1182">
      <w:start w:val="1"/>
      <w:numFmt w:val="bullet"/>
      <w:lvlText w:val=""/>
      <w:lvlJc w:val="left"/>
      <w:pPr>
        <w:ind w:left="2160" w:hanging="360"/>
      </w:pPr>
      <w:rPr>
        <w:rFonts w:ascii="Wingdings" w:hAnsi="Wingdings" w:hint="default"/>
      </w:rPr>
    </w:lvl>
    <w:lvl w:ilvl="3" w:tplc="E8AA57F4">
      <w:start w:val="1"/>
      <w:numFmt w:val="bullet"/>
      <w:lvlText w:val=""/>
      <w:lvlJc w:val="left"/>
      <w:pPr>
        <w:ind w:left="2880" w:hanging="360"/>
      </w:pPr>
      <w:rPr>
        <w:rFonts w:ascii="Symbol" w:hAnsi="Symbol" w:hint="default"/>
      </w:rPr>
    </w:lvl>
    <w:lvl w:ilvl="4" w:tplc="B4EC57B2">
      <w:start w:val="1"/>
      <w:numFmt w:val="bullet"/>
      <w:lvlText w:val="o"/>
      <w:lvlJc w:val="left"/>
      <w:pPr>
        <w:ind w:left="3600" w:hanging="360"/>
      </w:pPr>
      <w:rPr>
        <w:rFonts w:ascii="Courier New" w:hAnsi="Courier New" w:hint="default"/>
      </w:rPr>
    </w:lvl>
    <w:lvl w:ilvl="5" w:tplc="A6C09E7E">
      <w:start w:val="1"/>
      <w:numFmt w:val="bullet"/>
      <w:lvlText w:val=""/>
      <w:lvlJc w:val="left"/>
      <w:pPr>
        <w:ind w:left="4320" w:hanging="360"/>
      </w:pPr>
      <w:rPr>
        <w:rFonts w:ascii="Wingdings" w:hAnsi="Wingdings" w:hint="default"/>
      </w:rPr>
    </w:lvl>
    <w:lvl w:ilvl="6" w:tplc="AEC427BA">
      <w:start w:val="1"/>
      <w:numFmt w:val="bullet"/>
      <w:lvlText w:val=""/>
      <w:lvlJc w:val="left"/>
      <w:pPr>
        <w:ind w:left="5040" w:hanging="360"/>
      </w:pPr>
      <w:rPr>
        <w:rFonts w:ascii="Symbol" w:hAnsi="Symbol" w:hint="default"/>
      </w:rPr>
    </w:lvl>
    <w:lvl w:ilvl="7" w:tplc="676AD75A">
      <w:start w:val="1"/>
      <w:numFmt w:val="bullet"/>
      <w:lvlText w:val="o"/>
      <w:lvlJc w:val="left"/>
      <w:pPr>
        <w:ind w:left="5760" w:hanging="360"/>
      </w:pPr>
      <w:rPr>
        <w:rFonts w:ascii="Courier New" w:hAnsi="Courier New" w:hint="default"/>
      </w:rPr>
    </w:lvl>
    <w:lvl w:ilvl="8" w:tplc="42449482">
      <w:start w:val="1"/>
      <w:numFmt w:val="bullet"/>
      <w:lvlText w:val=""/>
      <w:lvlJc w:val="left"/>
      <w:pPr>
        <w:ind w:left="6480" w:hanging="360"/>
      </w:pPr>
      <w:rPr>
        <w:rFonts w:ascii="Wingdings" w:hAnsi="Wingdings" w:hint="default"/>
      </w:rPr>
    </w:lvl>
  </w:abstractNum>
  <w:abstractNum w:abstractNumId="15">
    <w:nsid w:val="37F145C5"/>
    <w:multiLevelType w:val="hybridMultilevel"/>
    <w:tmpl w:val="D9508D6A"/>
    <w:lvl w:ilvl="0" w:tplc="A65C8780">
      <w:start w:val="1"/>
      <w:numFmt w:val="bullet"/>
      <w:lvlText w:val=""/>
      <w:lvlJc w:val="left"/>
      <w:pPr>
        <w:ind w:left="720" w:hanging="360"/>
      </w:pPr>
      <w:rPr>
        <w:rFonts w:ascii="Symbol" w:hAnsi="Symbol" w:hint="default"/>
      </w:rPr>
    </w:lvl>
    <w:lvl w:ilvl="1" w:tplc="CC8802FE">
      <w:start w:val="1"/>
      <w:numFmt w:val="bullet"/>
      <w:lvlText w:val="o"/>
      <w:lvlJc w:val="left"/>
      <w:pPr>
        <w:ind w:left="1440" w:hanging="360"/>
      </w:pPr>
      <w:rPr>
        <w:rFonts w:ascii="Courier New" w:hAnsi="Courier New" w:hint="default"/>
      </w:rPr>
    </w:lvl>
    <w:lvl w:ilvl="2" w:tplc="1C08C236">
      <w:start w:val="1"/>
      <w:numFmt w:val="bullet"/>
      <w:lvlText w:val=""/>
      <w:lvlJc w:val="left"/>
      <w:pPr>
        <w:ind w:left="2160" w:hanging="360"/>
      </w:pPr>
      <w:rPr>
        <w:rFonts w:ascii="Wingdings" w:hAnsi="Wingdings" w:hint="default"/>
      </w:rPr>
    </w:lvl>
    <w:lvl w:ilvl="3" w:tplc="405A3C74">
      <w:start w:val="1"/>
      <w:numFmt w:val="bullet"/>
      <w:lvlText w:val=""/>
      <w:lvlJc w:val="left"/>
      <w:pPr>
        <w:ind w:left="2880" w:hanging="360"/>
      </w:pPr>
      <w:rPr>
        <w:rFonts w:ascii="Symbol" w:hAnsi="Symbol" w:hint="default"/>
      </w:rPr>
    </w:lvl>
    <w:lvl w:ilvl="4" w:tplc="AB30E334">
      <w:start w:val="1"/>
      <w:numFmt w:val="bullet"/>
      <w:lvlText w:val="o"/>
      <w:lvlJc w:val="left"/>
      <w:pPr>
        <w:ind w:left="3600" w:hanging="360"/>
      </w:pPr>
      <w:rPr>
        <w:rFonts w:ascii="Courier New" w:hAnsi="Courier New" w:hint="default"/>
      </w:rPr>
    </w:lvl>
    <w:lvl w:ilvl="5" w:tplc="FF60951C">
      <w:start w:val="1"/>
      <w:numFmt w:val="bullet"/>
      <w:lvlText w:val=""/>
      <w:lvlJc w:val="left"/>
      <w:pPr>
        <w:ind w:left="4320" w:hanging="360"/>
      </w:pPr>
      <w:rPr>
        <w:rFonts w:ascii="Wingdings" w:hAnsi="Wingdings" w:hint="default"/>
      </w:rPr>
    </w:lvl>
    <w:lvl w:ilvl="6" w:tplc="B62AE9FA">
      <w:start w:val="1"/>
      <w:numFmt w:val="bullet"/>
      <w:lvlText w:val=""/>
      <w:lvlJc w:val="left"/>
      <w:pPr>
        <w:ind w:left="5040" w:hanging="360"/>
      </w:pPr>
      <w:rPr>
        <w:rFonts w:ascii="Symbol" w:hAnsi="Symbol" w:hint="default"/>
      </w:rPr>
    </w:lvl>
    <w:lvl w:ilvl="7" w:tplc="A7782FB6">
      <w:start w:val="1"/>
      <w:numFmt w:val="bullet"/>
      <w:lvlText w:val="o"/>
      <w:lvlJc w:val="left"/>
      <w:pPr>
        <w:ind w:left="5760" w:hanging="360"/>
      </w:pPr>
      <w:rPr>
        <w:rFonts w:ascii="Courier New" w:hAnsi="Courier New" w:hint="default"/>
      </w:rPr>
    </w:lvl>
    <w:lvl w:ilvl="8" w:tplc="BD02848C">
      <w:start w:val="1"/>
      <w:numFmt w:val="bullet"/>
      <w:lvlText w:val=""/>
      <w:lvlJc w:val="left"/>
      <w:pPr>
        <w:ind w:left="6480" w:hanging="360"/>
      </w:pPr>
      <w:rPr>
        <w:rFonts w:ascii="Wingdings" w:hAnsi="Wingdings" w:hint="default"/>
      </w:rPr>
    </w:lvl>
  </w:abstractNum>
  <w:abstractNum w:abstractNumId="16">
    <w:nsid w:val="37F177DD"/>
    <w:multiLevelType w:val="hybridMultilevel"/>
    <w:tmpl w:val="0BF63FEC"/>
    <w:lvl w:ilvl="0" w:tplc="CC1835F0">
      <w:start w:val="1"/>
      <w:numFmt w:val="decimal"/>
      <w:lvlText w:val="%1."/>
      <w:lvlJc w:val="left"/>
      <w:pPr>
        <w:ind w:left="720" w:hanging="360"/>
      </w:pPr>
    </w:lvl>
    <w:lvl w:ilvl="1" w:tplc="8BE8E2FC">
      <w:start w:val="1"/>
      <w:numFmt w:val="lowerLetter"/>
      <w:lvlText w:val="%2."/>
      <w:lvlJc w:val="left"/>
      <w:pPr>
        <w:ind w:left="1440" w:hanging="360"/>
      </w:pPr>
    </w:lvl>
    <w:lvl w:ilvl="2" w:tplc="5F84E122">
      <w:start w:val="1"/>
      <w:numFmt w:val="lowerRoman"/>
      <w:lvlText w:val="%3."/>
      <w:lvlJc w:val="right"/>
      <w:pPr>
        <w:ind w:left="2160" w:hanging="180"/>
      </w:pPr>
    </w:lvl>
    <w:lvl w:ilvl="3" w:tplc="5CDE1F98">
      <w:start w:val="1"/>
      <w:numFmt w:val="decimal"/>
      <w:lvlText w:val="%4."/>
      <w:lvlJc w:val="left"/>
      <w:pPr>
        <w:ind w:left="2880" w:hanging="360"/>
      </w:pPr>
    </w:lvl>
    <w:lvl w:ilvl="4" w:tplc="6F42CA48">
      <w:start w:val="1"/>
      <w:numFmt w:val="lowerLetter"/>
      <w:lvlText w:val="%5."/>
      <w:lvlJc w:val="left"/>
      <w:pPr>
        <w:ind w:left="3600" w:hanging="360"/>
      </w:pPr>
    </w:lvl>
    <w:lvl w:ilvl="5" w:tplc="CAB03C46">
      <w:start w:val="1"/>
      <w:numFmt w:val="lowerRoman"/>
      <w:lvlText w:val="%6."/>
      <w:lvlJc w:val="right"/>
      <w:pPr>
        <w:ind w:left="4320" w:hanging="180"/>
      </w:pPr>
    </w:lvl>
    <w:lvl w:ilvl="6" w:tplc="D1E02136">
      <w:start w:val="1"/>
      <w:numFmt w:val="decimal"/>
      <w:lvlText w:val="%7."/>
      <w:lvlJc w:val="left"/>
      <w:pPr>
        <w:ind w:left="5040" w:hanging="360"/>
      </w:pPr>
    </w:lvl>
    <w:lvl w:ilvl="7" w:tplc="61D23386">
      <w:start w:val="1"/>
      <w:numFmt w:val="lowerLetter"/>
      <w:lvlText w:val="%8."/>
      <w:lvlJc w:val="left"/>
      <w:pPr>
        <w:ind w:left="5760" w:hanging="360"/>
      </w:pPr>
    </w:lvl>
    <w:lvl w:ilvl="8" w:tplc="25F0CCB0">
      <w:start w:val="1"/>
      <w:numFmt w:val="lowerRoman"/>
      <w:lvlText w:val="%9."/>
      <w:lvlJc w:val="right"/>
      <w:pPr>
        <w:ind w:left="6480" w:hanging="180"/>
      </w:pPr>
    </w:lvl>
  </w:abstractNum>
  <w:abstractNum w:abstractNumId="17">
    <w:nsid w:val="47D3F3DF"/>
    <w:multiLevelType w:val="hybridMultilevel"/>
    <w:tmpl w:val="41CED5B8"/>
    <w:lvl w:ilvl="0" w:tplc="76A28762">
      <w:start w:val="1"/>
      <w:numFmt w:val="bullet"/>
      <w:lvlText w:val=""/>
      <w:lvlJc w:val="left"/>
      <w:pPr>
        <w:ind w:left="720" w:hanging="360"/>
      </w:pPr>
      <w:rPr>
        <w:rFonts w:ascii="Symbol" w:hAnsi="Symbol" w:hint="default"/>
      </w:rPr>
    </w:lvl>
    <w:lvl w:ilvl="1" w:tplc="202452FC">
      <w:start w:val="1"/>
      <w:numFmt w:val="bullet"/>
      <w:lvlText w:val="o"/>
      <w:lvlJc w:val="left"/>
      <w:pPr>
        <w:ind w:left="1440" w:hanging="360"/>
      </w:pPr>
      <w:rPr>
        <w:rFonts w:ascii="Courier New" w:hAnsi="Courier New" w:hint="default"/>
      </w:rPr>
    </w:lvl>
    <w:lvl w:ilvl="2" w:tplc="0D34C1B2">
      <w:start w:val="1"/>
      <w:numFmt w:val="bullet"/>
      <w:lvlText w:val=""/>
      <w:lvlJc w:val="left"/>
      <w:pPr>
        <w:ind w:left="2160" w:hanging="360"/>
      </w:pPr>
      <w:rPr>
        <w:rFonts w:ascii="Wingdings" w:hAnsi="Wingdings" w:hint="default"/>
      </w:rPr>
    </w:lvl>
    <w:lvl w:ilvl="3" w:tplc="51BE6408">
      <w:start w:val="1"/>
      <w:numFmt w:val="bullet"/>
      <w:lvlText w:val=""/>
      <w:lvlJc w:val="left"/>
      <w:pPr>
        <w:ind w:left="2880" w:hanging="360"/>
      </w:pPr>
      <w:rPr>
        <w:rFonts w:ascii="Symbol" w:hAnsi="Symbol" w:hint="default"/>
      </w:rPr>
    </w:lvl>
    <w:lvl w:ilvl="4" w:tplc="F6A6C186">
      <w:start w:val="1"/>
      <w:numFmt w:val="bullet"/>
      <w:lvlText w:val="o"/>
      <w:lvlJc w:val="left"/>
      <w:pPr>
        <w:ind w:left="3600" w:hanging="360"/>
      </w:pPr>
      <w:rPr>
        <w:rFonts w:ascii="Courier New" w:hAnsi="Courier New" w:hint="default"/>
      </w:rPr>
    </w:lvl>
    <w:lvl w:ilvl="5" w:tplc="A9B893FA">
      <w:start w:val="1"/>
      <w:numFmt w:val="bullet"/>
      <w:lvlText w:val=""/>
      <w:lvlJc w:val="left"/>
      <w:pPr>
        <w:ind w:left="4320" w:hanging="360"/>
      </w:pPr>
      <w:rPr>
        <w:rFonts w:ascii="Wingdings" w:hAnsi="Wingdings" w:hint="default"/>
      </w:rPr>
    </w:lvl>
    <w:lvl w:ilvl="6" w:tplc="5A46BE3E">
      <w:start w:val="1"/>
      <w:numFmt w:val="bullet"/>
      <w:lvlText w:val=""/>
      <w:lvlJc w:val="left"/>
      <w:pPr>
        <w:ind w:left="5040" w:hanging="360"/>
      </w:pPr>
      <w:rPr>
        <w:rFonts w:ascii="Symbol" w:hAnsi="Symbol" w:hint="default"/>
      </w:rPr>
    </w:lvl>
    <w:lvl w:ilvl="7" w:tplc="C26ADCB6">
      <w:start w:val="1"/>
      <w:numFmt w:val="bullet"/>
      <w:lvlText w:val="o"/>
      <w:lvlJc w:val="left"/>
      <w:pPr>
        <w:ind w:left="5760" w:hanging="360"/>
      </w:pPr>
      <w:rPr>
        <w:rFonts w:ascii="Courier New" w:hAnsi="Courier New" w:hint="default"/>
      </w:rPr>
    </w:lvl>
    <w:lvl w:ilvl="8" w:tplc="D3E6B48A">
      <w:start w:val="1"/>
      <w:numFmt w:val="bullet"/>
      <w:lvlText w:val=""/>
      <w:lvlJc w:val="left"/>
      <w:pPr>
        <w:ind w:left="6480" w:hanging="360"/>
      </w:pPr>
      <w:rPr>
        <w:rFonts w:ascii="Wingdings" w:hAnsi="Wingdings" w:hint="default"/>
      </w:rPr>
    </w:lvl>
  </w:abstractNum>
  <w:abstractNum w:abstractNumId="18">
    <w:nsid w:val="4D47FB02"/>
    <w:multiLevelType w:val="hybridMultilevel"/>
    <w:tmpl w:val="7FC06540"/>
    <w:lvl w:ilvl="0" w:tplc="AD58945E">
      <w:start w:val="1"/>
      <w:numFmt w:val="bullet"/>
      <w:lvlText w:val=""/>
      <w:lvlJc w:val="left"/>
      <w:pPr>
        <w:ind w:left="720" w:hanging="360"/>
      </w:pPr>
      <w:rPr>
        <w:rFonts w:ascii="Symbol" w:hAnsi="Symbol" w:hint="default"/>
      </w:rPr>
    </w:lvl>
    <w:lvl w:ilvl="1" w:tplc="59AEDB3A">
      <w:start w:val="1"/>
      <w:numFmt w:val="bullet"/>
      <w:lvlText w:val="o"/>
      <w:lvlJc w:val="left"/>
      <w:pPr>
        <w:ind w:left="1440" w:hanging="360"/>
      </w:pPr>
      <w:rPr>
        <w:rFonts w:ascii="Courier New" w:hAnsi="Courier New" w:hint="default"/>
      </w:rPr>
    </w:lvl>
    <w:lvl w:ilvl="2" w:tplc="E848B84A">
      <w:start w:val="1"/>
      <w:numFmt w:val="bullet"/>
      <w:lvlText w:val=""/>
      <w:lvlJc w:val="left"/>
      <w:pPr>
        <w:ind w:left="2160" w:hanging="360"/>
      </w:pPr>
      <w:rPr>
        <w:rFonts w:ascii="Wingdings" w:hAnsi="Wingdings" w:hint="default"/>
      </w:rPr>
    </w:lvl>
    <w:lvl w:ilvl="3" w:tplc="64B4C910">
      <w:start w:val="1"/>
      <w:numFmt w:val="bullet"/>
      <w:lvlText w:val=""/>
      <w:lvlJc w:val="left"/>
      <w:pPr>
        <w:ind w:left="2880" w:hanging="360"/>
      </w:pPr>
      <w:rPr>
        <w:rFonts w:ascii="Symbol" w:hAnsi="Symbol" w:hint="default"/>
      </w:rPr>
    </w:lvl>
    <w:lvl w:ilvl="4" w:tplc="E0944F48">
      <w:start w:val="1"/>
      <w:numFmt w:val="bullet"/>
      <w:lvlText w:val="o"/>
      <w:lvlJc w:val="left"/>
      <w:pPr>
        <w:ind w:left="3600" w:hanging="360"/>
      </w:pPr>
      <w:rPr>
        <w:rFonts w:ascii="Courier New" w:hAnsi="Courier New" w:hint="default"/>
      </w:rPr>
    </w:lvl>
    <w:lvl w:ilvl="5" w:tplc="06F09272">
      <w:start w:val="1"/>
      <w:numFmt w:val="bullet"/>
      <w:lvlText w:val=""/>
      <w:lvlJc w:val="left"/>
      <w:pPr>
        <w:ind w:left="4320" w:hanging="360"/>
      </w:pPr>
      <w:rPr>
        <w:rFonts w:ascii="Wingdings" w:hAnsi="Wingdings" w:hint="default"/>
      </w:rPr>
    </w:lvl>
    <w:lvl w:ilvl="6" w:tplc="8DFEC784">
      <w:start w:val="1"/>
      <w:numFmt w:val="bullet"/>
      <w:lvlText w:val=""/>
      <w:lvlJc w:val="left"/>
      <w:pPr>
        <w:ind w:left="5040" w:hanging="360"/>
      </w:pPr>
      <w:rPr>
        <w:rFonts w:ascii="Symbol" w:hAnsi="Symbol" w:hint="default"/>
      </w:rPr>
    </w:lvl>
    <w:lvl w:ilvl="7" w:tplc="974A6C0A">
      <w:start w:val="1"/>
      <w:numFmt w:val="bullet"/>
      <w:lvlText w:val="o"/>
      <w:lvlJc w:val="left"/>
      <w:pPr>
        <w:ind w:left="5760" w:hanging="360"/>
      </w:pPr>
      <w:rPr>
        <w:rFonts w:ascii="Courier New" w:hAnsi="Courier New" w:hint="default"/>
      </w:rPr>
    </w:lvl>
    <w:lvl w:ilvl="8" w:tplc="3BC08BA6">
      <w:start w:val="1"/>
      <w:numFmt w:val="bullet"/>
      <w:lvlText w:val=""/>
      <w:lvlJc w:val="left"/>
      <w:pPr>
        <w:ind w:left="6480" w:hanging="360"/>
      </w:pPr>
      <w:rPr>
        <w:rFonts w:ascii="Wingdings" w:hAnsi="Wingdings" w:hint="default"/>
      </w:rPr>
    </w:lvl>
  </w:abstractNum>
  <w:abstractNum w:abstractNumId="19">
    <w:nsid w:val="4E5F18CB"/>
    <w:multiLevelType w:val="hybridMultilevel"/>
    <w:tmpl w:val="A4525384"/>
    <w:lvl w:ilvl="0" w:tplc="5E4E2BD0">
      <w:start w:val="1"/>
      <w:numFmt w:val="bullet"/>
      <w:lvlText w:val=""/>
      <w:lvlJc w:val="left"/>
      <w:pPr>
        <w:ind w:left="720" w:hanging="360"/>
      </w:pPr>
      <w:rPr>
        <w:rFonts w:ascii="Symbol" w:hAnsi="Symbol" w:hint="default"/>
      </w:rPr>
    </w:lvl>
    <w:lvl w:ilvl="1" w:tplc="2BE2D34C">
      <w:start w:val="1"/>
      <w:numFmt w:val="bullet"/>
      <w:lvlText w:val="o"/>
      <w:lvlJc w:val="left"/>
      <w:pPr>
        <w:ind w:left="1440" w:hanging="360"/>
      </w:pPr>
      <w:rPr>
        <w:rFonts w:ascii="Courier New" w:hAnsi="Courier New" w:hint="default"/>
      </w:rPr>
    </w:lvl>
    <w:lvl w:ilvl="2" w:tplc="9B98B066">
      <w:start w:val="1"/>
      <w:numFmt w:val="bullet"/>
      <w:lvlText w:val=""/>
      <w:lvlJc w:val="left"/>
      <w:pPr>
        <w:ind w:left="2160" w:hanging="360"/>
      </w:pPr>
      <w:rPr>
        <w:rFonts w:ascii="Wingdings" w:hAnsi="Wingdings" w:hint="default"/>
      </w:rPr>
    </w:lvl>
    <w:lvl w:ilvl="3" w:tplc="C42694CC">
      <w:start w:val="1"/>
      <w:numFmt w:val="bullet"/>
      <w:lvlText w:val=""/>
      <w:lvlJc w:val="left"/>
      <w:pPr>
        <w:ind w:left="2880" w:hanging="360"/>
      </w:pPr>
      <w:rPr>
        <w:rFonts w:ascii="Symbol" w:hAnsi="Symbol" w:hint="default"/>
      </w:rPr>
    </w:lvl>
    <w:lvl w:ilvl="4" w:tplc="C8D62EF2">
      <w:start w:val="1"/>
      <w:numFmt w:val="bullet"/>
      <w:lvlText w:val="o"/>
      <w:lvlJc w:val="left"/>
      <w:pPr>
        <w:ind w:left="3600" w:hanging="360"/>
      </w:pPr>
      <w:rPr>
        <w:rFonts w:ascii="Courier New" w:hAnsi="Courier New" w:hint="default"/>
      </w:rPr>
    </w:lvl>
    <w:lvl w:ilvl="5" w:tplc="40DEF3DC">
      <w:start w:val="1"/>
      <w:numFmt w:val="bullet"/>
      <w:lvlText w:val=""/>
      <w:lvlJc w:val="left"/>
      <w:pPr>
        <w:ind w:left="4320" w:hanging="360"/>
      </w:pPr>
      <w:rPr>
        <w:rFonts w:ascii="Wingdings" w:hAnsi="Wingdings" w:hint="default"/>
      </w:rPr>
    </w:lvl>
    <w:lvl w:ilvl="6" w:tplc="036CA35C">
      <w:start w:val="1"/>
      <w:numFmt w:val="bullet"/>
      <w:lvlText w:val=""/>
      <w:lvlJc w:val="left"/>
      <w:pPr>
        <w:ind w:left="5040" w:hanging="360"/>
      </w:pPr>
      <w:rPr>
        <w:rFonts w:ascii="Symbol" w:hAnsi="Symbol" w:hint="default"/>
      </w:rPr>
    </w:lvl>
    <w:lvl w:ilvl="7" w:tplc="97D8AF02">
      <w:start w:val="1"/>
      <w:numFmt w:val="bullet"/>
      <w:lvlText w:val="o"/>
      <w:lvlJc w:val="left"/>
      <w:pPr>
        <w:ind w:left="5760" w:hanging="360"/>
      </w:pPr>
      <w:rPr>
        <w:rFonts w:ascii="Courier New" w:hAnsi="Courier New" w:hint="default"/>
      </w:rPr>
    </w:lvl>
    <w:lvl w:ilvl="8" w:tplc="5CF0EA50">
      <w:start w:val="1"/>
      <w:numFmt w:val="bullet"/>
      <w:lvlText w:val=""/>
      <w:lvlJc w:val="left"/>
      <w:pPr>
        <w:ind w:left="6480" w:hanging="360"/>
      </w:pPr>
      <w:rPr>
        <w:rFonts w:ascii="Wingdings" w:hAnsi="Wingdings" w:hint="default"/>
      </w:rPr>
    </w:lvl>
  </w:abstractNum>
  <w:abstractNum w:abstractNumId="20">
    <w:nsid w:val="517EB947"/>
    <w:multiLevelType w:val="hybridMultilevel"/>
    <w:tmpl w:val="ACF0F2B2"/>
    <w:lvl w:ilvl="0" w:tplc="2D30E642">
      <w:start w:val="1"/>
      <w:numFmt w:val="bullet"/>
      <w:lvlText w:val=""/>
      <w:lvlJc w:val="left"/>
      <w:pPr>
        <w:ind w:left="720" w:hanging="360"/>
      </w:pPr>
      <w:rPr>
        <w:rFonts w:ascii="Symbol" w:hAnsi="Symbol" w:hint="default"/>
      </w:rPr>
    </w:lvl>
    <w:lvl w:ilvl="1" w:tplc="27182BB2">
      <w:start w:val="1"/>
      <w:numFmt w:val="bullet"/>
      <w:lvlText w:val="o"/>
      <w:lvlJc w:val="left"/>
      <w:pPr>
        <w:ind w:left="1440" w:hanging="360"/>
      </w:pPr>
      <w:rPr>
        <w:rFonts w:ascii="Courier New" w:hAnsi="Courier New" w:hint="default"/>
      </w:rPr>
    </w:lvl>
    <w:lvl w:ilvl="2" w:tplc="C5A00112">
      <w:start w:val="1"/>
      <w:numFmt w:val="bullet"/>
      <w:lvlText w:val=""/>
      <w:lvlJc w:val="left"/>
      <w:pPr>
        <w:ind w:left="2160" w:hanging="360"/>
      </w:pPr>
      <w:rPr>
        <w:rFonts w:ascii="Wingdings" w:hAnsi="Wingdings" w:hint="default"/>
      </w:rPr>
    </w:lvl>
    <w:lvl w:ilvl="3" w:tplc="5D248A92">
      <w:start w:val="1"/>
      <w:numFmt w:val="bullet"/>
      <w:lvlText w:val=""/>
      <w:lvlJc w:val="left"/>
      <w:pPr>
        <w:ind w:left="2880" w:hanging="360"/>
      </w:pPr>
      <w:rPr>
        <w:rFonts w:ascii="Symbol" w:hAnsi="Symbol" w:hint="default"/>
      </w:rPr>
    </w:lvl>
    <w:lvl w:ilvl="4" w:tplc="78D61450">
      <w:start w:val="1"/>
      <w:numFmt w:val="bullet"/>
      <w:lvlText w:val="o"/>
      <w:lvlJc w:val="left"/>
      <w:pPr>
        <w:ind w:left="3600" w:hanging="360"/>
      </w:pPr>
      <w:rPr>
        <w:rFonts w:ascii="Courier New" w:hAnsi="Courier New" w:hint="default"/>
      </w:rPr>
    </w:lvl>
    <w:lvl w:ilvl="5" w:tplc="907C4BC2">
      <w:start w:val="1"/>
      <w:numFmt w:val="bullet"/>
      <w:lvlText w:val=""/>
      <w:lvlJc w:val="left"/>
      <w:pPr>
        <w:ind w:left="4320" w:hanging="360"/>
      </w:pPr>
      <w:rPr>
        <w:rFonts w:ascii="Wingdings" w:hAnsi="Wingdings" w:hint="default"/>
      </w:rPr>
    </w:lvl>
    <w:lvl w:ilvl="6" w:tplc="D98A3F94">
      <w:start w:val="1"/>
      <w:numFmt w:val="bullet"/>
      <w:lvlText w:val=""/>
      <w:lvlJc w:val="left"/>
      <w:pPr>
        <w:ind w:left="5040" w:hanging="360"/>
      </w:pPr>
      <w:rPr>
        <w:rFonts w:ascii="Symbol" w:hAnsi="Symbol" w:hint="default"/>
      </w:rPr>
    </w:lvl>
    <w:lvl w:ilvl="7" w:tplc="67627A32">
      <w:start w:val="1"/>
      <w:numFmt w:val="bullet"/>
      <w:lvlText w:val="o"/>
      <w:lvlJc w:val="left"/>
      <w:pPr>
        <w:ind w:left="5760" w:hanging="360"/>
      </w:pPr>
      <w:rPr>
        <w:rFonts w:ascii="Courier New" w:hAnsi="Courier New" w:hint="default"/>
      </w:rPr>
    </w:lvl>
    <w:lvl w:ilvl="8" w:tplc="59A69982">
      <w:start w:val="1"/>
      <w:numFmt w:val="bullet"/>
      <w:lvlText w:val=""/>
      <w:lvlJc w:val="left"/>
      <w:pPr>
        <w:ind w:left="6480" w:hanging="360"/>
      </w:pPr>
      <w:rPr>
        <w:rFonts w:ascii="Wingdings" w:hAnsi="Wingdings" w:hint="default"/>
      </w:rPr>
    </w:lvl>
  </w:abstractNum>
  <w:abstractNum w:abstractNumId="21">
    <w:nsid w:val="5B880412"/>
    <w:multiLevelType w:val="hybridMultilevel"/>
    <w:tmpl w:val="B7C0D00E"/>
    <w:lvl w:ilvl="0" w:tplc="57C0D8EA">
      <w:start w:val="1"/>
      <w:numFmt w:val="bullet"/>
      <w:lvlText w:val=""/>
      <w:lvlJc w:val="left"/>
      <w:pPr>
        <w:ind w:left="720" w:hanging="360"/>
      </w:pPr>
      <w:rPr>
        <w:rFonts w:ascii="Symbol" w:hAnsi="Symbol" w:hint="default"/>
      </w:rPr>
    </w:lvl>
    <w:lvl w:ilvl="1" w:tplc="10F626FC">
      <w:start w:val="1"/>
      <w:numFmt w:val="bullet"/>
      <w:lvlText w:val="o"/>
      <w:lvlJc w:val="left"/>
      <w:pPr>
        <w:ind w:left="1440" w:hanging="360"/>
      </w:pPr>
      <w:rPr>
        <w:rFonts w:ascii="Courier New" w:hAnsi="Courier New" w:hint="default"/>
      </w:rPr>
    </w:lvl>
    <w:lvl w:ilvl="2" w:tplc="1B6088CC">
      <w:start w:val="1"/>
      <w:numFmt w:val="bullet"/>
      <w:lvlText w:val=""/>
      <w:lvlJc w:val="left"/>
      <w:pPr>
        <w:ind w:left="2160" w:hanging="360"/>
      </w:pPr>
      <w:rPr>
        <w:rFonts w:ascii="Wingdings" w:hAnsi="Wingdings" w:hint="default"/>
      </w:rPr>
    </w:lvl>
    <w:lvl w:ilvl="3" w:tplc="6A56E04C">
      <w:start w:val="1"/>
      <w:numFmt w:val="bullet"/>
      <w:lvlText w:val=""/>
      <w:lvlJc w:val="left"/>
      <w:pPr>
        <w:ind w:left="2880" w:hanging="360"/>
      </w:pPr>
      <w:rPr>
        <w:rFonts w:ascii="Symbol" w:hAnsi="Symbol" w:hint="default"/>
      </w:rPr>
    </w:lvl>
    <w:lvl w:ilvl="4" w:tplc="82602B7E">
      <w:start w:val="1"/>
      <w:numFmt w:val="bullet"/>
      <w:lvlText w:val="o"/>
      <w:lvlJc w:val="left"/>
      <w:pPr>
        <w:ind w:left="3600" w:hanging="360"/>
      </w:pPr>
      <w:rPr>
        <w:rFonts w:ascii="Courier New" w:hAnsi="Courier New" w:hint="default"/>
      </w:rPr>
    </w:lvl>
    <w:lvl w:ilvl="5" w:tplc="E98C1E88">
      <w:start w:val="1"/>
      <w:numFmt w:val="bullet"/>
      <w:lvlText w:val=""/>
      <w:lvlJc w:val="left"/>
      <w:pPr>
        <w:ind w:left="4320" w:hanging="360"/>
      </w:pPr>
      <w:rPr>
        <w:rFonts w:ascii="Wingdings" w:hAnsi="Wingdings" w:hint="default"/>
      </w:rPr>
    </w:lvl>
    <w:lvl w:ilvl="6" w:tplc="BADAD052">
      <w:start w:val="1"/>
      <w:numFmt w:val="bullet"/>
      <w:lvlText w:val=""/>
      <w:lvlJc w:val="left"/>
      <w:pPr>
        <w:ind w:left="5040" w:hanging="360"/>
      </w:pPr>
      <w:rPr>
        <w:rFonts w:ascii="Symbol" w:hAnsi="Symbol" w:hint="default"/>
      </w:rPr>
    </w:lvl>
    <w:lvl w:ilvl="7" w:tplc="702A7616">
      <w:start w:val="1"/>
      <w:numFmt w:val="bullet"/>
      <w:lvlText w:val="o"/>
      <w:lvlJc w:val="left"/>
      <w:pPr>
        <w:ind w:left="5760" w:hanging="360"/>
      </w:pPr>
      <w:rPr>
        <w:rFonts w:ascii="Courier New" w:hAnsi="Courier New" w:hint="default"/>
      </w:rPr>
    </w:lvl>
    <w:lvl w:ilvl="8" w:tplc="9028B0CE">
      <w:start w:val="1"/>
      <w:numFmt w:val="bullet"/>
      <w:lvlText w:val=""/>
      <w:lvlJc w:val="left"/>
      <w:pPr>
        <w:ind w:left="6480" w:hanging="360"/>
      </w:pPr>
      <w:rPr>
        <w:rFonts w:ascii="Wingdings" w:hAnsi="Wingdings" w:hint="default"/>
      </w:rPr>
    </w:lvl>
  </w:abstractNum>
  <w:abstractNum w:abstractNumId="22">
    <w:nsid w:val="5F0AF76D"/>
    <w:multiLevelType w:val="hybridMultilevel"/>
    <w:tmpl w:val="552E1AE6"/>
    <w:lvl w:ilvl="0" w:tplc="568EF690">
      <w:start w:val="1"/>
      <w:numFmt w:val="bullet"/>
      <w:lvlText w:val=""/>
      <w:lvlJc w:val="left"/>
      <w:pPr>
        <w:ind w:left="720" w:hanging="360"/>
      </w:pPr>
      <w:rPr>
        <w:rFonts w:ascii="Symbol" w:hAnsi="Symbol" w:hint="default"/>
      </w:rPr>
    </w:lvl>
    <w:lvl w:ilvl="1" w:tplc="72C682D4">
      <w:start w:val="1"/>
      <w:numFmt w:val="bullet"/>
      <w:lvlText w:val="o"/>
      <w:lvlJc w:val="left"/>
      <w:pPr>
        <w:ind w:left="1440" w:hanging="360"/>
      </w:pPr>
      <w:rPr>
        <w:rFonts w:ascii="Courier New" w:hAnsi="Courier New" w:hint="default"/>
      </w:rPr>
    </w:lvl>
    <w:lvl w:ilvl="2" w:tplc="9D38D486">
      <w:start w:val="1"/>
      <w:numFmt w:val="bullet"/>
      <w:lvlText w:val=""/>
      <w:lvlJc w:val="left"/>
      <w:pPr>
        <w:ind w:left="2160" w:hanging="360"/>
      </w:pPr>
      <w:rPr>
        <w:rFonts w:ascii="Wingdings" w:hAnsi="Wingdings" w:hint="default"/>
      </w:rPr>
    </w:lvl>
    <w:lvl w:ilvl="3" w:tplc="D4BCBE60">
      <w:start w:val="1"/>
      <w:numFmt w:val="bullet"/>
      <w:lvlText w:val=""/>
      <w:lvlJc w:val="left"/>
      <w:pPr>
        <w:ind w:left="2880" w:hanging="360"/>
      </w:pPr>
      <w:rPr>
        <w:rFonts w:ascii="Symbol" w:hAnsi="Symbol" w:hint="default"/>
      </w:rPr>
    </w:lvl>
    <w:lvl w:ilvl="4" w:tplc="19309D8E">
      <w:start w:val="1"/>
      <w:numFmt w:val="bullet"/>
      <w:lvlText w:val="o"/>
      <w:lvlJc w:val="left"/>
      <w:pPr>
        <w:ind w:left="3600" w:hanging="360"/>
      </w:pPr>
      <w:rPr>
        <w:rFonts w:ascii="Courier New" w:hAnsi="Courier New" w:hint="default"/>
      </w:rPr>
    </w:lvl>
    <w:lvl w:ilvl="5" w:tplc="C040DAF6">
      <w:start w:val="1"/>
      <w:numFmt w:val="bullet"/>
      <w:lvlText w:val=""/>
      <w:lvlJc w:val="left"/>
      <w:pPr>
        <w:ind w:left="4320" w:hanging="360"/>
      </w:pPr>
      <w:rPr>
        <w:rFonts w:ascii="Wingdings" w:hAnsi="Wingdings" w:hint="default"/>
      </w:rPr>
    </w:lvl>
    <w:lvl w:ilvl="6" w:tplc="9A80AFC8">
      <w:start w:val="1"/>
      <w:numFmt w:val="bullet"/>
      <w:lvlText w:val=""/>
      <w:lvlJc w:val="left"/>
      <w:pPr>
        <w:ind w:left="5040" w:hanging="360"/>
      </w:pPr>
      <w:rPr>
        <w:rFonts w:ascii="Symbol" w:hAnsi="Symbol" w:hint="default"/>
      </w:rPr>
    </w:lvl>
    <w:lvl w:ilvl="7" w:tplc="0E6A609E">
      <w:start w:val="1"/>
      <w:numFmt w:val="bullet"/>
      <w:lvlText w:val="o"/>
      <w:lvlJc w:val="left"/>
      <w:pPr>
        <w:ind w:left="5760" w:hanging="360"/>
      </w:pPr>
      <w:rPr>
        <w:rFonts w:ascii="Courier New" w:hAnsi="Courier New" w:hint="default"/>
      </w:rPr>
    </w:lvl>
    <w:lvl w:ilvl="8" w:tplc="F51E0E46">
      <w:start w:val="1"/>
      <w:numFmt w:val="bullet"/>
      <w:lvlText w:val=""/>
      <w:lvlJc w:val="left"/>
      <w:pPr>
        <w:ind w:left="6480" w:hanging="360"/>
      </w:pPr>
      <w:rPr>
        <w:rFonts w:ascii="Wingdings" w:hAnsi="Wingdings" w:hint="default"/>
      </w:rPr>
    </w:lvl>
  </w:abstractNum>
  <w:abstractNum w:abstractNumId="23">
    <w:nsid w:val="5F0FD34E"/>
    <w:multiLevelType w:val="hybridMultilevel"/>
    <w:tmpl w:val="843C9430"/>
    <w:lvl w:ilvl="0" w:tplc="954AA4AA">
      <w:start w:val="1"/>
      <w:numFmt w:val="bullet"/>
      <w:lvlText w:val=""/>
      <w:lvlJc w:val="left"/>
      <w:pPr>
        <w:ind w:left="720" w:hanging="360"/>
      </w:pPr>
      <w:rPr>
        <w:rFonts w:ascii="Symbol" w:hAnsi="Symbol" w:hint="default"/>
      </w:rPr>
    </w:lvl>
    <w:lvl w:ilvl="1" w:tplc="B1F46B94">
      <w:start w:val="1"/>
      <w:numFmt w:val="bullet"/>
      <w:lvlText w:val="o"/>
      <w:lvlJc w:val="left"/>
      <w:pPr>
        <w:ind w:left="1440" w:hanging="360"/>
      </w:pPr>
      <w:rPr>
        <w:rFonts w:ascii="Courier New" w:hAnsi="Courier New" w:hint="default"/>
      </w:rPr>
    </w:lvl>
    <w:lvl w:ilvl="2" w:tplc="7F289C00">
      <w:start w:val="1"/>
      <w:numFmt w:val="bullet"/>
      <w:lvlText w:val=""/>
      <w:lvlJc w:val="left"/>
      <w:pPr>
        <w:ind w:left="2160" w:hanging="360"/>
      </w:pPr>
      <w:rPr>
        <w:rFonts w:ascii="Wingdings" w:hAnsi="Wingdings" w:hint="default"/>
      </w:rPr>
    </w:lvl>
    <w:lvl w:ilvl="3" w:tplc="3DB2617C">
      <w:start w:val="1"/>
      <w:numFmt w:val="bullet"/>
      <w:lvlText w:val=""/>
      <w:lvlJc w:val="left"/>
      <w:pPr>
        <w:ind w:left="2880" w:hanging="360"/>
      </w:pPr>
      <w:rPr>
        <w:rFonts w:ascii="Symbol" w:hAnsi="Symbol" w:hint="default"/>
      </w:rPr>
    </w:lvl>
    <w:lvl w:ilvl="4" w:tplc="2DC66C92">
      <w:start w:val="1"/>
      <w:numFmt w:val="bullet"/>
      <w:lvlText w:val="o"/>
      <w:lvlJc w:val="left"/>
      <w:pPr>
        <w:ind w:left="3600" w:hanging="360"/>
      </w:pPr>
      <w:rPr>
        <w:rFonts w:ascii="Courier New" w:hAnsi="Courier New" w:hint="default"/>
      </w:rPr>
    </w:lvl>
    <w:lvl w:ilvl="5" w:tplc="B17EC13C">
      <w:start w:val="1"/>
      <w:numFmt w:val="bullet"/>
      <w:lvlText w:val=""/>
      <w:lvlJc w:val="left"/>
      <w:pPr>
        <w:ind w:left="4320" w:hanging="360"/>
      </w:pPr>
      <w:rPr>
        <w:rFonts w:ascii="Wingdings" w:hAnsi="Wingdings" w:hint="default"/>
      </w:rPr>
    </w:lvl>
    <w:lvl w:ilvl="6" w:tplc="C8EEE450">
      <w:start w:val="1"/>
      <w:numFmt w:val="bullet"/>
      <w:lvlText w:val=""/>
      <w:lvlJc w:val="left"/>
      <w:pPr>
        <w:ind w:left="5040" w:hanging="360"/>
      </w:pPr>
      <w:rPr>
        <w:rFonts w:ascii="Symbol" w:hAnsi="Symbol" w:hint="default"/>
      </w:rPr>
    </w:lvl>
    <w:lvl w:ilvl="7" w:tplc="527CC198">
      <w:start w:val="1"/>
      <w:numFmt w:val="bullet"/>
      <w:lvlText w:val="o"/>
      <w:lvlJc w:val="left"/>
      <w:pPr>
        <w:ind w:left="5760" w:hanging="360"/>
      </w:pPr>
      <w:rPr>
        <w:rFonts w:ascii="Courier New" w:hAnsi="Courier New" w:hint="default"/>
      </w:rPr>
    </w:lvl>
    <w:lvl w:ilvl="8" w:tplc="9A369026">
      <w:start w:val="1"/>
      <w:numFmt w:val="bullet"/>
      <w:lvlText w:val=""/>
      <w:lvlJc w:val="left"/>
      <w:pPr>
        <w:ind w:left="6480" w:hanging="360"/>
      </w:pPr>
      <w:rPr>
        <w:rFonts w:ascii="Wingdings" w:hAnsi="Wingdings" w:hint="default"/>
      </w:rPr>
    </w:lvl>
  </w:abstractNum>
  <w:abstractNum w:abstractNumId="24">
    <w:nsid w:val="60EADE79"/>
    <w:multiLevelType w:val="hybridMultilevel"/>
    <w:tmpl w:val="AD6C7C12"/>
    <w:lvl w:ilvl="0" w:tplc="5B5EA6F6">
      <w:start w:val="1"/>
      <w:numFmt w:val="decimal"/>
      <w:lvlText w:val="%1."/>
      <w:lvlJc w:val="left"/>
      <w:pPr>
        <w:ind w:left="720" w:hanging="360"/>
      </w:pPr>
    </w:lvl>
    <w:lvl w:ilvl="1" w:tplc="A836D45A">
      <w:start w:val="1"/>
      <w:numFmt w:val="lowerLetter"/>
      <w:lvlText w:val="%2."/>
      <w:lvlJc w:val="left"/>
      <w:pPr>
        <w:ind w:left="1440" w:hanging="360"/>
      </w:pPr>
    </w:lvl>
    <w:lvl w:ilvl="2" w:tplc="3D2AF1DC">
      <w:start w:val="1"/>
      <w:numFmt w:val="lowerRoman"/>
      <w:lvlText w:val="%3."/>
      <w:lvlJc w:val="right"/>
      <w:pPr>
        <w:ind w:left="2160" w:hanging="180"/>
      </w:pPr>
    </w:lvl>
    <w:lvl w:ilvl="3" w:tplc="19D6A37C">
      <w:start w:val="1"/>
      <w:numFmt w:val="decimal"/>
      <w:lvlText w:val="%4."/>
      <w:lvlJc w:val="left"/>
      <w:pPr>
        <w:ind w:left="2880" w:hanging="360"/>
      </w:pPr>
    </w:lvl>
    <w:lvl w:ilvl="4" w:tplc="395A881E">
      <w:start w:val="1"/>
      <w:numFmt w:val="lowerLetter"/>
      <w:lvlText w:val="%5."/>
      <w:lvlJc w:val="left"/>
      <w:pPr>
        <w:ind w:left="3600" w:hanging="360"/>
      </w:pPr>
    </w:lvl>
    <w:lvl w:ilvl="5" w:tplc="73863622">
      <w:start w:val="1"/>
      <w:numFmt w:val="lowerRoman"/>
      <w:lvlText w:val="%6."/>
      <w:lvlJc w:val="right"/>
      <w:pPr>
        <w:ind w:left="4320" w:hanging="180"/>
      </w:pPr>
    </w:lvl>
    <w:lvl w:ilvl="6" w:tplc="0152E394">
      <w:start w:val="1"/>
      <w:numFmt w:val="decimal"/>
      <w:lvlText w:val="%7."/>
      <w:lvlJc w:val="left"/>
      <w:pPr>
        <w:ind w:left="5040" w:hanging="360"/>
      </w:pPr>
    </w:lvl>
    <w:lvl w:ilvl="7" w:tplc="240C2AC4">
      <w:start w:val="1"/>
      <w:numFmt w:val="lowerLetter"/>
      <w:lvlText w:val="%8."/>
      <w:lvlJc w:val="left"/>
      <w:pPr>
        <w:ind w:left="5760" w:hanging="360"/>
      </w:pPr>
    </w:lvl>
    <w:lvl w:ilvl="8" w:tplc="E4F41CB2">
      <w:start w:val="1"/>
      <w:numFmt w:val="lowerRoman"/>
      <w:lvlText w:val="%9."/>
      <w:lvlJc w:val="right"/>
      <w:pPr>
        <w:ind w:left="6480" w:hanging="180"/>
      </w:pPr>
    </w:lvl>
  </w:abstractNum>
  <w:abstractNum w:abstractNumId="25">
    <w:nsid w:val="69959F9C"/>
    <w:multiLevelType w:val="hybridMultilevel"/>
    <w:tmpl w:val="CCCA1D38"/>
    <w:lvl w:ilvl="0" w:tplc="4BC63D40">
      <w:start w:val="1"/>
      <w:numFmt w:val="decimal"/>
      <w:lvlText w:val="%1."/>
      <w:lvlJc w:val="left"/>
      <w:pPr>
        <w:ind w:left="720" w:hanging="360"/>
      </w:pPr>
    </w:lvl>
    <w:lvl w:ilvl="1" w:tplc="0AB2C6BE">
      <w:start w:val="1"/>
      <w:numFmt w:val="lowerLetter"/>
      <w:lvlText w:val="%2."/>
      <w:lvlJc w:val="left"/>
      <w:pPr>
        <w:ind w:left="1440" w:hanging="360"/>
      </w:pPr>
    </w:lvl>
    <w:lvl w:ilvl="2" w:tplc="FDECD56E">
      <w:start w:val="1"/>
      <w:numFmt w:val="lowerRoman"/>
      <w:lvlText w:val="%3."/>
      <w:lvlJc w:val="right"/>
      <w:pPr>
        <w:ind w:left="2160" w:hanging="180"/>
      </w:pPr>
    </w:lvl>
    <w:lvl w:ilvl="3" w:tplc="59185D6C">
      <w:start w:val="1"/>
      <w:numFmt w:val="decimal"/>
      <w:lvlText w:val="%4."/>
      <w:lvlJc w:val="left"/>
      <w:pPr>
        <w:ind w:left="2880" w:hanging="360"/>
      </w:pPr>
    </w:lvl>
    <w:lvl w:ilvl="4" w:tplc="5450E6BA">
      <w:start w:val="1"/>
      <w:numFmt w:val="lowerLetter"/>
      <w:lvlText w:val="%5."/>
      <w:lvlJc w:val="left"/>
      <w:pPr>
        <w:ind w:left="3600" w:hanging="360"/>
      </w:pPr>
    </w:lvl>
    <w:lvl w:ilvl="5" w:tplc="02003D4E">
      <w:start w:val="1"/>
      <w:numFmt w:val="lowerRoman"/>
      <w:lvlText w:val="%6."/>
      <w:lvlJc w:val="right"/>
      <w:pPr>
        <w:ind w:left="4320" w:hanging="180"/>
      </w:pPr>
    </w:lvl>
    <w:lvl w:ilvl="6" w:tplc="45D21410">
      <w:start w:val="1"/>
      <w:numFmt w:val="decimal"/>
      <w:lvlText w:val="%7."/>
      <w:lvlJc w:val="left"/>
      <w:pPr>
        <w:ind w:left="5040" w:hanging="360"/>
      </w:pPr>
    </w:lvl>
    <w:lvl w:ilvl="7" w:tplc="1780130A">
      <w:start w:val="1"/>
      <w:numFmt w:val="lowerLetter"/>
      <w:lvlText w:val="%8."/>
      <w:lvlJc w:val="left"/>
      <w:pPr>
        <w:ind w:left="5760" w:hanging="360"/>
      </w:pPr>
    </w:lvl>
    <w:lvl w:ilvl="8" w:tplc="D3B6746E">
      <w:start w:val="1"/>
      <w:numFmt w:val="lowerRoman"/>
      <w:lvlText w:val="%9."/>
      <w:lvlJc w:val="right"/>
      <w:pPr>
        <w:ind w:left="6480" w:hanging="180"/>
      </w:pPr>
    </w:lvl>
  </w:abstractNum>
  <w:abstractNum w:abstractNumId="26">
    <w:nsid w:val="6AEEB3D5"/>
    <w:multiLevelType w:val="hybridMultilevel"/>
    <w:tmpl w:val="80D05350"/>
    <w:lvl w:ilvl="0" w:tplc="AD480E22">
      <w:start w:val="1"/>
      <w:numFmt w:val="bullet"/>
      <w:lvlText w:val=""/>
      <w:lvlJc w:val="left"/>
      <w:pPr>
        <w:ind w:left="720" w:hanging="360"/>
      </w:pPr>
      <w:rPr>
        <w:rFonts w:ascii="Symbol" w:hAnsi="Symbol" w:hint="default"/>
      </w:rPr>
    </w:lvl>
    <w:lvl w:ilvl="1" w:tplc="7296419C">
      <w:start w:val="1"/>
      <w:numFmt w:val="bullet"/>
      <w:lvlText w:val="o"/>
      <w:lvlJc w:val="left"/>
      <w:pPr>
        <w:ind w:left="1440" w:hanging="360"/>
      </w:pPr>
      <w:rPr>
        <w:rFonts w:ascii="Courier New" w:hAnsi="Courier New" w:hint="default"/>
      </w:rPr>
    </w:lvl>
    <w:lvl w:ilvl="2" w:tplc="6FF6BDC8">
      <w:start w:val="1"/>
      <w:numFmt w:val="bullet"/>
      <w:lvlText w:val=""/>
      <w:lvlJc w:val="left"/>
      <w:pPr>
        <w:ind w:left="2160" w:hanging="360"/>
      </w:pPr>
      <w:rPr>
        <w:rFonts w:ascii="Wingdings" w:hAnsi="Wingdings" w:hint="default"/>
      </w:rPr>
    </w:lvl>
    <w:lvl w:ilvl="3" w:tplc="5A9CA47E">
      <w:start w:val="1"/>
      <w:numFmt w:val="bullet"/>
      <w:lvlText w:val=""/>
      <w:lvlJc w:val="left"/>
      <w:pPr>
        <w:ind w:left="2880" w:hanging="360"/>
      </w:pPr>
      <w:rPr>
        <w:rFonts w:ascii="Symbol" w:hAnsi="Symbol" w:hint="default"/>
      </w:rPr>
    </w:lvl>
    <w:lvl w:ilvl="4" w:tplc="E3CC98F2">
      <w:start w:val="1"/>
      <w:numFmt w:val="bullet"/>
      <w:lvlText w:val="o"/>
      <w:lvlJc w:val="left"/>
      <w:pPr>
        <w:ind w:left="3600" w:hanging="360"/>
      </w:pPr>
      <w:rPr>
        <w:rFonts w:ascii="Courier New" w:hAnsi="Courier New" w:hint="default"/>
      </w:rPr>
    </w:lvl>
    <w:lvl w:ilvl="5" w:tplc="2884CC42">
      <w:start w:val="1"/>
      <w:numFmt w:val="bullet"/>
      <w:lvlText w:val=""/>
      <w:lvlJc w:val="left"/>
      <w:pPr>
        <w:ind w:left="4320" w:hanging="360"/>
      </w:pPr>
      <w:rPr>
        <w:rFonts w:ascii="Wingdings" w:hAnsi="Wingdings" w:hint="default"/>
      </w:rPr>
    </w:lvl>
    <w:lvl w:ilvl="6" w:tplc="A072CF54">
      <w:start w:val="1"/>
      <w:numFmt w:val="bullet"/>
      <w:lvlText w:val=""/>
      <w:lvlJc w:val="left"/>
      <w:pPr>
        <w:ind w:left="5040" w:hanging="360"/>
      </w:pPr>
      <w:rPr>
        <w:rFonts w:ascii="Symbol" w:hAnsi="Symbol" w:hint="default"/>
      </w:rPr>
    </w:lvl>
    <w:lvl w:ilvl="7" w:tplc="47D4DCEA">
      <w:start w:val="1"/>
      <w:numFmt w:val="bullet"/>
      <w:lvlText w:val="o"/>
      <w:lvlJc w:val="left"/>
      <w:pPr>
        <w:ind w:left="5760" w:hanging="360"/>
      </w:pPr>
      <w:rPr>
        <w:rFonts w:ascii="Courier New" w:hAnsi="Courier New" w:hint="default"/>
      </w:rPr>
    </w:lvl>
    <w:lvl w:ilvl="8" w:tplc="A448E004">
      <w:start w:val="1"/>
      <w:numFmt w:val="bullet"/>
      <w:lvlText w:val=""/>
      <w:lvlJc w:val="left"/>
      <w:pPr>
        <w:ind w:left="6480" w:hanging="360"/>
      </w:pPr>
      <w:rPr>
        <w:rFonts w:ascii="Wingdings" w:hAnsi="Wingdings" w:hint="default"/>
      </w:rPr>
    </w:lvl>
  </w:abstractNum>
  <w:abstractNum w:abstractNumId="27">
    <w:nsid w:val="71DCF6CB"/>
    <w:multiLevelType w:val="hybridMultilevel"/>
    <w:tmpl w:val="FCE81C7A"/>
    <w:lvl w:ilvl="0" w:tplc="C75A7BA0">
      <w:start w:val="1"/>
      <w:numFmt w:val="bullet"/>
      <w:lvlText w:val=""/>
      <w:lvlJc w:val="left"/>
      <w:pPr>
        <w:ind w:left="720" w:hanging="360"/>
      </w:pPr>
      <w:rPr>
        <w:rFonts w:ascii="Symbol" w:hAnsi="Symbol" w:hint="default"/>
      </w:rPr>
    </w:lvl>
    <w:lvl w:ilvl="1" w:tplc="4C48E19A">
      <w:start w:val="1"/>
      <w:numFmt w:val="bullet"/>
      <w:lvlText w:val="o"/>
      <w:lvlJc w:val="left"/>
      <w:pPr>
        <w:ind w:left="1440" w:hanging="360"/>
      </w:pPr>
      <w:rPr>
        <w:rFonts w:ascii="Courier New" w:hAnsi="Courier New" w:hint="default"/>
      </w:rPr>
    </w:lvl>
    <w:lvl w:ilvl="2" w:tplc="846A6B36">
      <w:start w:val="1"/>
      <w:numFmt w:val="bullet"/>
      <w:lvlText w:val=""/>
      <w:lvlJc w:val="left"/>
      <w:pPr>
        <w:ind w:left="2160" w:hanging="360"/>
      </w:pPr>
      <w:rPr>
        <w:rFonts w:ascii="Wingdings" w:hAnsi="Wingdings" w:hint="default"/>
      </w:rPr>
    </w:lvl>
    <w:lvl w:ilvl="3" w:tplc="74B0005A">
      <w:start w:val="1"/>
      <w:numFmt w:val="bullet"/>
      <w:lvlText w:val=""/>
      <w:lvlJc w:val="left"/>
      <w:pPr>
        <w:ind w:left="2880" w:hanging="360"/>
      </w:pPr>
      <w:rPr>
        <w:rFonts w:ascii="Symbol" w:hAnsi="Symbol" w:hint="default"/>
      </w:rPr>
    </w:lvl>
    <w:lvl w:ilvl="4" w:tplc="EF308AD0">
      <w:start w:val="1"/>
      <w:numFmt w:val="bullet"/>
      <w:lvlText w:val="o"/>
      <w:lvlJc w:val="left"/>
      <w:pPr>
        <w:ind w:left="3600" w:hanging="360"/>
      </w:pPr>
      <w:rPr>
        <w:rFonts w:ascii="Courier New" w:hAnsi="Courier New" w:hint="default"/>
      </w:rPr>
    </w:lvl>
    <w:lvl w:ilvl="5" w:tplc="E2A69E28">
      <w:start w:val="1"/>
      <w:numFmt w:val="bullet"/>
      <w:lvlText w:val=""/>
      <w:lvlJc w:val="left"/>
      <w:pPr>
        <w:ind w:left="4320" w:hanging="360"/>
      </w:pPr>
      <w:rPr>
        <w:rFonts w:ascii="Wingdings" w:hAnsi="Wingdings" w:hint="default"/>
      </w:rPr>
    </w:lvl>
    <w:lvl w:ilvl="6" w:tplc="0D283124">
      <w:start w:val="1"/>
      <w:numFmt w:val="bullet"/>
      <w:lvlText w:val=""/>
      <w:lvlJc w:val="left"/>
      <w:pPr>
        <w:ind w:left="5040" w:hanging="360"/>
      </w:pPr>
      <w:rPr>
        <w:rFonts w:ascii="Symbol" w:hAnsi="Symbol" w:hint="default"/>
      </w:rPr>
    </w:lvl>
    <w:lvl w:ilvl="7" w:tplc="79BCA572">
      <w:start w:val="1"/>
      <w:numFmt w:val="bullet"/>
      <w:lvlText w:val="o"/>
      <w:lvlJc w:val="left"/>
      <w:pPr>
        <w:ind w:left="5760" w:hanging="360"/>
      </w:pPr>
      <w:rPr>
        <w:rFonts w:ascii="Courier New" w:hAnsi="Courier New" w:hint="default"/>
      </w:rPr>
    </w:lvl>
    <w:lvl w:ilvl="8" w:tplc="798C9306">
      <w:start w:val="1"/>
      <w:numFmt w:val="bullet"/>
      <w:lvlText w:val=""/>
      <w:lvlJc w:val="left"/>
      <w:pPr>
        <w:ind w:left="6480" w:hanging="360"/>
      </w:pPr>
      <w:rPr>
        <w:rFonts w:ascii="Wingdings" w:hAnsi="Wingdings" w:hint="default"/>
      </w:rPr>
    </w:lvl>
  </w:abstractNum>
  <w:abstractNum w:abstractNumId="28">
    <w:nsid w:val="72EE3BB3"/>
    <w:multiLevelType w:val="hybridMultilevel"/>
    <w:tmpl w:val="21FE8E22"/>
    <w:lvl w:ilvl="0" w:tplc="1E8067F8">
      <w:start w:val="1"/>
      <w:numFmt w:val="bullet"/>
      <w:lvlText w:val=""/>
      <w:lvlJc w:val="left"/>
      <w:pPr>
        <w:ind w:left="720" w:hanging="360"/>
      </w:pPr>
      <w:rPr>
        <w:rFonts w:ascii="Symbol" w:hAnsi="Symbol" w:hint="default"/>
      </w:rPr>
    </w:lvl>
    <w:lvl w:ilvl="1" w:tplc="1C485DEC">
      <w:start w:val="1"/>
      <w:numFmt w:val="bullet"/>
      <w:lvlText w:val="o"/>
      <w:lvlJc w:val="left"/>
      <w:pPr>
        <w:ind w:left="1440" w:hanging="360"/>
      </w:pPr>
      <w:rPr>
        <w:rFonts w:ascii="Courier New" w:hAnsi="Courier New" w:hint="default"/>
      </w:rPr>
    </w:lvl>
    <w:lvl w:ilvl="2" w:tplc="7AC453A6">
      <w:start w:val="1"/>
      <w:numFmt w:val="bullet"/>
      <w:lvlText w:val=""/>
      <w:lvlJc w:val="left"/>
      <w:pPr>
        <w:ind w:left="2160" w:hanging="360"/>
      </w:pPr>
      <w:rPr>
        <w:rFonts w:ascii="Wingdings" w:hAnsi="Wingdings" w:hint="default"/>
      </w:rPr>
    </w:lvl>
    <w:lvl w:ilvl="3" w:tplc="6E50655A">
      <w:start w:val="1"/>
      <w:numFmt w:val="bullet"/>
      <w:lvlText w:val=""/>
      <w:lvlJc w:val="left"/>
      <w:pPr>
        <w:ind w:left="2880" w:hanging="360"/>
      </w:pPr>
      <w:rPr>
        <w:rFonts w:ascii="Symbol" w:hAnsi="Symbol" w:hint="default"/>
      </w:rPr>
    </w:lvl>
    <w:lvl w:ilvl="4" w:tplc="B2ACEB48">
      <w:start w:val="1"/>
      <w:numFmt w:val="bullet"/>
      <w:lvlText w:val="o"/>
      <w:lvlJc w:val="left"/>
      <w:pPr>
        <w:ind w:left="3600" w:hanging="360"/>
      </w:pPr>
      <w:rPr>
        <w:rFonts w:ascii="Courier New" w:hAnsi="Courier New" w:hint="default"/>
      </w:rPr>
    </w:lvl>
    <w:lvl w:ilvl="5" w:tplc="DF46FDF6">
      <w:start w:val="1"/>
      <w:numFmt w:val="bullet"/>
      <w:lvlText w:val=""/>
      <w:lvlJc w:val="left"/>
      <w:pPr>
        <w:ind w:left="4320" w:hanging="360"/>
      </w:pPr>
      <w:rPr>
        <w:rFonts w:ascii="Wingdings" w:hAnsi="Wingdings" w:hint="default"/>
      </w:rPr>
    </w:lvl>
    <w:lvl w:ilvl="6" w:tplc="8A28AEE6">
      <w:start w:val="1"/>
      <w:numFmt w:val="bullet"/>
      <w:lvlText w:val=""/>
      <w:lvlJc w:val="left"/>
      <w:pPr>
        <w:ind w:left="5040" w:hanging="360"/>
      </w:pPr>
      <w:rPr>
        <w:rFonts w:ascii="Symbol" w:hAnsi="Symbol" w:hint="default"/>
      </w:rPr>
    </w:lvl>
    <w:lvl w:ilvl="7" w:tplc="2E90D74E">
      <w:start w:val="1"/>
      <w:numFmt w:val="bullet"/>
      <w:lvlText w:val="o"/>
      <w:lvlJc w:val="left"/>
      <w:pPr>
        <w:ind w:left="5760" w:hanging="360"/>
      </w:pPr>
      <w:rPr>
        <w:rFonts w:ascii="Courier New" w:hAnsi="Courier New" w:hint="default"/>
      </w:rPr>
    </w:lvl>
    <w:lvl w:ilvl="8" w:tplc="498E39F8">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19"/>
  </w:num>
  <w:num w:numId="4">
    <w:abstractNumId w:val="23"/>
  </w:num>
  <w:num w:numId="5">
    <w:abstractNumId w:val="13"/>
  </w:num>
  <w:num w:numId="6">
    <w:abstractNumId w:val="26"/>
  </w:num>
  <w:num w:numId="7">
    <w:abstractNumId w:val="24"/>
  </w:num>
  <w:num w:numId="8">
    <w:abstractNumId w:val="28"/>
  </w:num>
  <w:num w:numId="9">
    <w:abstractNumId w:val="17"/>
  </w:num>
  <w:num w:numId="10">
    <w:abstractNumId w:val="20"/>
  </w:num>
  <w:num w:numId="11">
    <w:abstractNumId w:val="11"/>
  </w:num>
  <w:num w:numId="12">
    <w:abstractNumId w:val="14"/>
  </w:num>
  <w:num w:numId="13">
    <w:abstractNumId w:val="10"/>
  </w:num>
  <w:num w:numId="14">
    <w:abstractNumId w:val="27"/>
  </w:num>
  <w:num w:numId="15">
    <w:abstractNumId w:val="21"/>
  </w:num>
  <w:num w:numId="16">
    <w:abstractNumId w:val="22"/>
  </w:num>
  <w:num w:numId="17">
    <w:abstractNumId w:val="15"/>
  </w:num>
  <w:num w:numId="18">
    <w:abstractNumId w:val="18"/>
  </w:num>
  <w:num w:numId="19">
    <w:abstractNumId w:val="1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58"/>
    <w:rsid w:val="0009272C"/>
    <w:rsid w:val="0044F081"/>
    <w:rsid w:val="005FA669"/>
    <w:rsid w:val="008A19F0"/>
    <w:rsid w:val="00913958"/>
    <w:rsid w:val="009A523D"/>
    <w:rsid w:val="00C540C8"/>
    <w:rsid w:val="00E23901"/>
    <w:rsid w:val="00EF5355"/>
    <w:rsid w:val="01103DD2"/>
    <w:rsid w:val="0195B419"/>
    <w:rsid w:val="01A4B0DE"/>
    <w:rsid w:val="01AE5766"/>
    <w:rsid w:val="01B054BC"/>
    <w:rsid w:val="01FDC41B"/>
    <w:rsid w:val="02035F54"/>
    <w:rsid w:val="02321DAA"/>
    <w:rsid w:val="024D5C71"/>
    <w:rsid w:val="025369FC"/>
    <w:rsid w:val="030EA741"/>
    <w:rsid w:val="0333014F"/>
    <w:rsid w:val="035DFA0D"/>
    <w:rsid w:val="037F210C"/>
    <w:rsid w:val="03AD7F34"/>
    <w:rsid w:val="03AEB233"/>
    <w:rsid w:val="03CF83FB"/>
    <w:rsid w:val="03FBBA6F"/>
    <w:rsid w:val="0440E830"/>
    <w:rsid w:val="0479EE5A"/>
    <w:rsid w:val="049E35C2"/>
    <w:rsid w:val="04BCDF94"/>
    <w:rsid w:val="04CE0F4A"/>
    <w:rsid w:val="04F15DC3"/>
    <w:rsid w:val="04F9CA6E"/>
    <w:rsid w:val="054EDA37"/>
    <w:rsid w:val="05978AD0"/>
    <w:rsid w:val="0669DFAB"/>
    <w:rsid w:val="066AFE0C"/>
    <w:rsid w:val="068CB385"/>
    <w:rsid w:val="06A66BF5"/>
    <w:rsid w:val="06A88713"/>
    <w:rsid w:val="071A853C"/>
    <w:rsid w:val="071D59D2"/>
    <w:rsid w:val="0736822F"/>
    <w:rsid w:val="073FC5CC"/>
    <w:rsid w:val="078461C8"/>
    <w:rsid w:val="07EC87AF"/>
    <w:rsid w:val="08317823"/>
    <w:rsid w:val="083298F6"/>
    <w:rsid w:val="0864571B"/>
    <w:rsid w:val="08722B02"/>
    <w:rsid w:val="08AE8D03"/>
    <w:rsid w:val="08C2AB80"/>
    <w:rsid w:val="08CF2B92"/>
    <w:rsid w:val="08D5DB57"/>
    <w:rsid w:val="090474AA"/>
    <w:rsid w:val="09C51FF3"/>
    <w:rsid w:val="09E3AB5A"/>
    <w:rsid w:val="09F49C34"/>
    <w:rsid w:val="0A58E7DA"/>
    <w:rsid w:val="0A7931C7"/>
    <w:rsid w:val="0A8539E1"/>
    <w:rsid w:val="0ACCC1EA"/>
    <w:rsid w:val="0B08A40F"/>
    <w:rsid w:val="0B19B926"/>
    <w:rsid w:val="0B3C007C"/>
    <w:rsid w:val="0B60F054"/>
    <w:rsid w:val="0BE123E5"/>
    <w:rsid w:val="0C17EB64"/>
    <w:rsid w:val="0C33CC2C"/>
    <w:rsid w:val="0C63ED39"/>
    <w:rsid w:val="0CD9212F"/>
    <w:rsid w:val="0CFBF509"/>
    <w:rsid w:val="0D00E044"/>
    <w:rsid w:val="0D2F7BF5"/>
    <w:rsid w:val="0D350012"/>
    <w:rsid w:val="0D48763A"/>
    <w:rsid w:val="0E73E7F2"/>
    <w:rsid w:val="0E8A0E2E"/>
    <w:rsid w:val="0E997CB2"/>
    <w:rsid w:val="0EF875CF"/>
    <w:rsid w:val="0F66E351"/>
    <w:rsid w:val="0F769FF3"/>
    <w:rsid w:val="0FA2AD3B"/>
    <w:rsid w:val="0FB5490F"/>
    <w:rsid w:val="102361AB"/>
    <w:rsid w:val="102EDB06"/>
    <w:rsid w:val="103395CB"/>
    <w:rsid w:val="106F507C"/>
    <w:rsid w:val="10ACE437"/>
    <w:rsid w:val="10BF7E3E"/>
    <w:rsid w:val="10DD5F09"/>
    <w:rsid w:val="11314DED"/>
    <w:rsid w:val="11460403"/>
    <w:rsid w:val="114FE9F7"/>
    <w:rsid w:val="11E48770"/>
    <w:rsid w:val="12190D48"/>
    <w:rsid w:val="121BE75D"/>
    <w:rsid w:val="127FEE67"/>
    <w:rsid w:val="128B3F4C"/>
    <w:rsid w:val="128E932A"/>
    <w:rsid w:val="1295822B"/>
    <w:rsid w:val="12C0942D"/>
    <w:rsid w:val="12E1AFB4"/>
    <w:rsid w:val="130FCD34"/>
    <w:rsid w:val="13233516"/>
    <w:rsid w:val="1375B3DB"/>
    <w:rsid w:val="138057D1"/>
    <w:rsid w:val="13835CBB"/>
    <w:rsid w:val="1388737A"/>
    <w:rsid w:val="13EF7E9A"/>
    <w:rsid w:val="13FBDCDA"/>
    <w:rsid w:val="142A8EAF"/>
    <w:rsid w:val="14AB9B3F"/>
    <w:rsid w:val="15113A7E"/>
    <w:rsid w:val="1523ECE3"/>
    <w:rsid w:val="155B3567"/>
    <w:rsid w:val="15C633EC"/>
    <w:rsid w:val="15EA88CE"/>
    <w:rsid w:val="15FAE2E3"/>
    <w:rsid w:val="17271F5C"/>
    <w:rsid w:val="17370663"/>
    <w:rsid w:val="1757EE1B"/>
    <w:rsid w:val="1766FC7B"/>
    <w:rsid w:val="17969A42"/>
    <w:rsid w:val="17BFA64D"/>
    <w:rsid w:val="1888C99E"/>
    <w:rsid w:val="18E684CB"/>
    <w:rsid w:val="196DD83B"/>
    <w:rsid w:val="19F43059"/>
    <w:rsid w:val="19FD0A65"/>
    <w:rsid w:val="1AABEF53"/>
    <w:rsid w:val="1B09A89C"/>
    <w:rsid w:val="1B3E409A"/>
    <w:rsid w:val="1B4239C1"/>
    <w:rsid w:val="1B6A4DDA"/>
    <w:rsid w:val="1BA61A7D"/>
    <w:rsid w:val="1BE611D4"/>
    <w:rsid w:val="1C9B36E8"/>
    <w:rsid w:val="1CAEDA1B"/>
    <w:rsid w:val="1CB68C96"/>
    <w:rsid w:val="1CBB0830"/>
    <w:rsid w:val="1D1B342A"/>
    <w:rsid w:val="1D3AAB85"/>
    <w:rsid w:val="1D7D5A80"/>
    <w:rsid w:val="1D992290"/>
    <w:rsid w:val="1DB37668"/>
    <w:rsid w:val="1E2EE7D1"/>
    <w:rsid w:val="1E478193"/>
    <w:rsid w:val="1E8140C5"/>
    <w:rsid w:val="1E9395CB"/>
    <w:rsid w:val="1F421848"/>
    <w:rsid w:val="1F916B14"/>
    <w:rsid w:val="2022AB64"/>
    <w:rsid w:val="20D9F82D"/>
    <w:rsid w:val="224DBCC1"/>
    <w:rsid w:val="22523E45"/>
    <w:rsid w:val="2275C88E"/>
    <w:rsid w:val="22CC5205"/>
    <w:rsid w:val="23453911"/>
    <w:rsid w:val="235A4C26"/>
    <w:rsid w:val="237E8F89"/>
    <w:rsid w:val="23A2B359"/>
    <w:rsid w:val="23B76E28"/>
    <w:rsid w:val="23DE92B4"/>
    <w:rsid w:val="2410FE84"/>
    <w:rsid w:val="241EAC8D"/>
    <w:rsid w:val="241FF8B6"/>
    <w:rsid w:val="2420D17E"/>
    <w:rsid w:val="243E292A"/>
    <w:rsid w:val="243EB45C"/>
    <w:rsid w:val="248CE982"/>
    <w:rsid w:val="24C6EF68"/>
    <w:rsid w:val="24FBDA24"/>
    <w:rsid w:val="253A3982"/>
    <w:rsid w:val="258B6EE0"/>
    <w:rsid w:val="25FC0BD8"/>
    <w:rsid w:val="26231D4C"/>
    <w:rsid w:val="268497F5"/>
    <w:rsid w:val="269535B8"/>
    <w:rsid w:val="26B2149A"/>
    <w:rsid w:val="26BB5A78"/>
    <w:rsid w:val="26C6510D"/>
    <w:rsid w:val="27287C7A"/>
    <w:rsid w:val="273C4A15"/>
    <w:rsid w:val="27793A46"/>
    <w:rsid w:val="2796EFAE"/>
    <w:rsid w:val="2797DC39"/>
    <w:rsid w:val="279880EA"/>
    <w:rsid w:val="27DCB4BA"/>
    <w:rsid w:val="27F0E341"/>
    <w:rsid w:val="28448A67"/>
    <w:rsid w:val="285BAE16"/>
    <w:rsid w:val="288BFBDE"/>
    <w:rsid w:val="28D2DE7D"/>
    <w:rsid w:val="2A3334EA"/>
    <w:rsid w:val="2A7CD16E"/>
    <w:rsid w:val="2A8CB875"/>
    <w:rsid w:val="2AA3B745"/>
    <w:rsid w:val="2AB7306E"/>
    <w:rsid w:val="2ACC5E20"/>
    <w:rsid w:val="2AD2A9AE"/>
    <w:rsid w:val="2AD34F3F"/>
    <w:rsid w:val="2AF0D15E"/>
    <w:rsid w:val="2AFC2B06"/>
    <w:rsid w:val="2B4F7E7E"/>
    <w:rsid w:val="2B584651"/>
    <w:rsid w:val="2B5FE6A0"/>
    <w:rsid w:val="2B7A4F51"/>
    <w:rsid w:val="2BA97B06"/>
    <w:rsid w:val="2BAEB851"/>
    <w:rsid w:val="2BF0D057"/>
    <w:rsid w:val="2C0BF1B0"/>
    <w:rsid w:val="2C6838B7"/>
    <w:rsid w:val="2D01EE69"/>
    <w:rsid w:val="2D15F7C4"/>
    <w:rsid w:val="2D3878BC"/>
    <w:rsid w:val="2D8984DC"/>
    <w:rsid w:val="2D9A0505"/>
    <w:rsid w:val="2D9A663D"/>
    <w:rsid w:val="2DA9E935"/>
    <w:rsid w:val="2E1FD683"/>
    <w:rsid w:val="2E996CD2"/>
    <w:rsid w:val="2EDEB37B"/>
    <w:rsid w:val="2EE11BC8"/>
    <w:rsid w:val="2F209461"/>
    <w:rsid w:val="3040BE5A"/>
    <w:rsid w:val="30C5C35B"/>
    <w:rsid w:val="30E1EFC5"/>
    <w:rsid w:val="30FB9922"/>
    <w:rsid w:val="314B59B8"/>
    <w:rsid w:val="314F9939"/>
    <w:rsid w:val="315D0A49"/>
    <w:rsid w:val="31DC8D15"/>
    <w:rsid w:val="31EA72E9"/>
    <w:rsid w:val="326193BC"/>
    <w:rsid w:val="32823F44"/>
    <w:rsid w:val="328FD556"/>
    <w:rsid w:val="32EA4812"/>
    <w:rsid w:val="32FE7B4F"/>
    <w:rsid w:val="336EDC29"/>
    <w:rsid w:val="33785D76"/>
    <w:rsid w:val="3393DD0B"/>
    <w:rsid w:val="33DEFB72"/>
    <w:rsid w:val="33FD641D"/>
    <w:rsid w:val="33FE2312"/>
    <w:rsid w:val="341E0FA5"/>
    <w:rsid w:val="34848A28"/>
    <w:rsid w:val="34893847"/>
    <w:rsid w:val="34AAFAD2"/>
    <w:rsid w:val="34B6DF52"/>
    <w:rsid w:val="34C6876E"/>
    <w:rsid w:val="34F2E656"/>
    <w:rsid w:val="350940F4"/>
    <w:rsid w:val="35983928"/>
    <w:rsid w:val="35C6D581"/>
    <w:rsid w:val="36225DFA"/>
    <w:rsid w:val="366257CF"/>
    <w:rsid w:val="370F456B"/>
    <w:rsid w:val="37340989"/>
    <w:rsid w:val="37B29B8C"/>
    <w:rsid w:val="37C02693"/>
    <w:rsid w:val="380B7D7D"/>
    <w:rsid w:val="3839F811"/>
    <w:rsid w:val="38A0D66B"/>
    <w:rsid w:val="38AB58DE"/>
    <w:rsid w:val="38B19E62"/>
    <w:rsid w:val="38C923C0"/>
    <w:rsid w:val="38F13B22"/>
    <w:rsid w:val="38FC8F54"/>
    <w:rsid w:val="3948BC9B"/>
    <w:rsid w:val="395085D6"/>
    <w:rsid w:val="3967A8FD"/>
    <w:rsid w:val="39FD5096"/>
    <w:rsid w:val="3A20BF0F"/>
    <w:rsid w:val="3A290BBA"/>
    <w:rsid w:val="3A3DB5BE"/>
    <w:rsid w:val="3A58D111"/>
    <w:rsid w:val="3A5FC0E8"/>
    <w:rsid w:val="3AA2DC3F"/>
    <w:rsid w:val="3AAD4B8A"/>
    <w:rsid w:val="3AC1E7E0"/>
    <w:rsid w:val="3AD5FA77"/>
    <w:rsid w:val="3AFCE59B"/>
    <w:rsid w:val="3B3B8CE8"/>
    <w:rsid w:val="3B470304"/>
    <w:rsid w:val="3B76C710"/>
    <w:rsid w:val="3BA7E592"/>
    <w:rsid w:val="3BBD6FD9"/>
    <w:rsid w:val="3BC93A30"/>
    <w:rsid w:val="3BF3992B"/>
    <w:rsid w:val="3C29218A"/>
    <w:rsid w:val="3C5A6DCE"/>
    <w:rsid w:val="3C6BEFC5"/>
    <w:rsid w:val="3C7733F4"/>
    <w:rsid w:val="3C957E18"/>
    <w:rsid w:val="3D585FD1"/>
    <w:rsid w:val="3D723FE4"/>
    <w:rsid w:val="3D781D7D"/>
    <w:rsid w:val="3D9761AA"/>
    <w:rsid w:val="3DDA7D01"/>
    <w:rsid w:val="3E6D69B4"/>
    <w:rsid w:val="3E9FE8EB"/>
    <w:rsid w:val="3F1ABC6B"/>
    <w:rsid w:val="3F33320B"/>
    <w:rsid w:val="3F6D3BB5"/>
    <w:rsid w:val="3FAED4B6"/>
    <w:rsid w:val="3FCF3E56"/>
    <w:rsid w:val="3FD618B6"/>
    <w:rsid w:val="4056DFD1"/>
    <w:rsid w:val="409696E2"/>
    <w:rsid w:val="40E1706C"/>
    <w:rsid w:val="40F9E0C7"/>
    <w:rsid w:val="41E7267E"/>
    <w:rsid w:val="41FAA00B"/>
    <w:rsid w:val="41FE8DE6"/>
    <w:rsid w:val="422E9054"/>
    <w:rsid w:val="42B85D6F"/>
    <w:rsid w:val="42C98896"/>
    <w:rsid w:val="4358DB85"/>
    <w:rsid w:val="4369163A"/>
    <w:rsid w:val="438D3878"/>
    <w:rsid w:val="439A5E47"/>
    <w:rsid w:val="43AFC736"/>
    <w:rsid w:val="43DE6E42"/>
    <w:rsid w:val="43F8FA1D"/>
    <w:rsid w:val="441A7516"/>
    <w:rsid w:val="441B756D"/>
    <w:rsid w:val="44542DD0"/>
    <w:rsid w:val="4478C2E6"/>
    <w:rsid w:val="44CE51F1"/>
    <w:rsid w:val="45111762"/>
    <w:rsid w:val="45112944"/>
    <w:rsid w:val="454B4D4C"/>
    <w:rsid w:val="45B5A6C0"/>
    <w:rsid w:val="45D7F156"/>
    <w:rsid w:val="46012958"/>
    <w:rsid w:val="4604EC37"/>
    <w:rsid w:val="46051ACF"/>
    <w:rsid w:val="4686793A"/>
    <w:rsid w:val="471E453E"/>
    <w:rsid w:val="47271254"/>
    <w:rsid w:val="47A27760"/>
    <w:rsid w:val="47A9E7A7"/>
    <w:rsid w:val="47B063A8"/>
    <w:rsid w:val="482663DB"/>
    <w:rsid w:val="4828E7CF"/>
    <w:rsid w:val="485BF9DD"/>
    <w:rsid w:val="48A006B5"/>
    <w:rsid w:val="49093B7D"/>
    <w:rsid w:val="498679EE"/>
    <w:rsid w:val="49B5CC5F"/>
    <w:rsid w:val="49EC8993"/>
    <w:rsid w:val="49EEA8DF"/>
    <w:rsid w:val="4A5FFB86"/>
    <w:rsid w:val="4A810B7A"/>
    <w:rsid w:val="4A9DE33A"/>
    <w:rsid w:val="4AA00D19"/>
    <w:rsid w:val="4AAB6279"/>
    <w:rsid w:val="4B03F27F"/>
    <w:rsid w:val="4B2E3097"/>
    <w:rsid w:val="4B4EB5DD"/>
    <w:rsid w:val="4B6F34ED"/>
    <w:rsid w:val="4B9E09EA"/>
    <w:rsid w:val="4BC70F3F"/>
    <w:rsid w:val="4BFE1DA9"/>
    <w:rsid w:val="4D41408D"/>
    <w:rsid w:val="4DB80AEA"/>
    <w:rsid w:val="4E330534"/>
    <w:rsid w:val="4E57769C"/>
    <w:rsid w:val="4EBD63D2"/>
    <w:rsid w:val="4EBDFA3B"/>
    <w:rsid w:val="4EDE1255"/>
    <w:rsid w:val="4F53DB4B"/>
    <w:rsid w:val="4F5D2CBE"/>
    <w:rsid w:val="4FC70AFC"/>
    <w:rsid w:val="508B6141"/>
    <w:rsid w:val="516A88E3"/>
    <w:rsid w:val="51E36E9F"/>
    <w:rsid w:val="520A40FA"/>
    <w:rsid w:val="522265AE"/>
    <w:rsid w:val="52584615"/>
    <w:rsid w:val="527B016B"/>
    <w:rsid w:val="52CF83D2"/>
    <w:rsid w:val="52EFB409"/>
    <w:rsid w:val="52F3F5D3"/>
    <w:rsid w:val="5360C466"/>
    <w:rsid w:val="53977CD9"/>
    <w:rsid w:val="53CB0040"/>
    <w:rsid w:val="53E87205"/>
    <w:rsid w:val="54059300"/>
    <w:rsid w:val="54774339"/>
    <w:rsid w:val="548B170B"/>
    <w:rsid w:val="54F7618E"/>
    <w:rsid w:val="5502B52A"/>
    <w:rsid w:val="551B1C17"/>
    <w:rsid w:val="552D3BBF"/>
    <w:rsid w:val="558E81C7"/>
    <w:rsid w:val="55A75D4B"/>
    <w:rsid w:val="55B4413B"/>
    <w:rsid w:val="55DB2B17"/>
    <w:rsid w:val="561242E5"/>
    <w:rsid w:val="561C9D8A"/>
    <w:rsid w:val="561F3AA8"/>
    <w:rsid w:val="5622FF2D"/>
    <w:rsid w:val="5630E35B"/>
    <w:rsid w:val="563C278A"/>
    <w:rsid w:val="56BD24E9"/>
    <w:rsid w:val="574DAD5D"/>
    <w:rsid w:val="576CDD6C"/>
    <w:rsid w:val="576D39E1"/>
    <w:rsid w:val="57C48E39"/>
    <w:rsid w:val="57FADE56"/>
    <w:rsid w:val="583C603E"/>
    <w:rsid w:val="589FFB6B"/>
    <w:rsid w:val="58A85509"/>
    <w:rsid w:val="595A9FEF"/>
    <w:rsid w:val="59C8DC07"/>
    <w:rsid w:val="59F4C5AB"/>
    <w:rsid w:val="5A4AFFAE"/>
    <w:rsid w:val="5A57B389"/>
    <w:rsid w:val="5B6F7547"/>
    <w:rsid w:val="5B90960C"/>
    <w:rsid w:val="5B94FACB"/>
    <w:rsid w:val="5BD79C2D"/>
    <w:rsid w:val="5BF94438"/>
    <w:rsid w:val="5C2382BF"/>
    <w:rsid w:val="5C4BB657"/>
    <w:rsid w:val="5C7F11A4"/>
    <w:rsid w:val="5C8E7C2C"/>
    <w:rsid w:val="5CC88D0B"/>
    <w:rsid w:val="5D3B61B0"/>
    <w:rsid w:val="5D5F51DD"/>
    <w:rsid w:val="5DBF5320"/>
    <w:rsid w:val="5DDE157B"/>
    <w:rsid w:val="5DF38E27"/>
    <w:rsid w:val="5E40EDD9"/>
    <w:rsid w:val="5E95C653"/>
    <w:rsid w:val="5F09E78B"/>
    <w:rsid w:val="5F3BCA69"/>
    <w:rsid w:val="5F8F5E88"/>
    <w:rsid w:val="5FB76AE8"/>
    <w:rsid w:val="5FB86B8E"/>
    <w:rsid w:val="602C25F5"/>
    <w:rsid w:val="6064072F"/>
    <w:rsid w:val="6072C9B2"/>
    <w:rsid w:val="607BC10E"/>
    <w:rsid w:val="61543BEF"/>
    <w:rsid w:val="61614BC3"/>
    <w:rsid w:val="61A71CEE"/>
    <w:rsid w:val="62717396"/>
    <w:rsid w:val="627C6BCF"/>
    <w:rsid w:val="6296AD1C"/>
    <w:rsid w:val="62C391BE"/>
    <w:rsid w:val="62E5A808"/>
    <w:rsid w:val="62FE09CE"/>
    <w:rsid w:val="62FFF1CC"/>
    <w:rsid w:val="6321F693"/>
    <w:rsid w:val="6333D148"/>
    <w:rsid w:val="639BA7F1"/>
    <w:rsid w:val="642ED725"/>
    <w:rsid w:val="647AAB72"/>
    <w:rsid w:val="648229BE"/>
    <w:rsid w:val="64C8027D"/>
    <w:rsid w:val="6549A072"/>
    <w:rsid w:val="65855711"/>
    <w:rsid w:val="658AB3E6"/>
    <w:rsid w:val="65A8266F"/>
    <w:rsid w:val="65E4A651"/>
    <w:rsid w:val="66017080"/>
    <w:rsid w:val="662FA004"/>
    <w:rsid w:val="6644D56D"/>
    <w:rsid w:val="665333FA"/>
    <w:rsid w:val="66BD2CA2"/>
    <w:rsid w:val="66DED380"/>
    <w:rsid w:val="66EDF477"/>
    <w:rsid w:val="6727D7B0"/>
    <w:rsid w:val="673406A1"/>
    <w:rsid w:val="67479C36"/>
    <w:rsid w:val="6748BEC0"/>
    <w:rsid w:val="681F206E"/>
    <w:rsid w:val="684CFEAD"/>
    <w:rsid w:val="68D76625"/>
    <w:rsid w:val="68E917CC"/>
    <w:rsid w:val="68FEA590"/>
    <w:rsid w:val="68FFA684"/>
    <w:rsid w:val="691E2BB6"/>
    <w:rsid w:val="699D41D0"/>
    <w:rsid w:val="69D1C63E"/>
    <w:rsid w:val="6A0498B7"/>
    <w:rsid w:val="6A31382D"/>
    <w:rsid w:val="6A3FF439"/>
    <w:rsid w:val="6A5A8ED7"/>
    <w:rsid w:val="6A8A3712"/>
    <w:rsid w:val="6A9912E2"/>
    <w:rsid w:val="6AF32731"/>
    <w:rsid w:val="6B2301E7"/>
    <w:rsid w:val="6B8E4434"/>
    <w:rsid w:val="6BEEC482"/>
    <w:rsid w:val="6BF43AEF"/>
    <w:rsid w:val="6BF512DE"/>
    <w:rsid w:val="6C41940F"/>
    <w:rsid w:val="6C61D1B8"/>
    <w:rsid w:val="6CD103A2"/>
    <w:rsid w:val="6D7C9D6E"/>
    <w:rsid w:val="6D7D4C3C"/>
    <w:rsid w:val="6D82FF11"/>
    <w:rsid w:val="6D8458A6"/>
    <w:rsid w:val="6DEC85AA"/>
    <w:rsid w:val="6DEEDA52"/>
    <w:rsid w:val="6E0184B0"/>
    <w:rsid w:val="6E2B604D"/>
    <w:rsid w:val="6E378AEB"/>
    <w:rsid w:val="6E40BC75"/>
    <w:rsid w:val="6E73C5CC"/>
    <w:rsid w:val="6F828C9F"/>
    <w:rsid w:val="6F8AAAB3"/>
    <w:rsid w:val="6FFF56CF"/>
    <w:rsid w:val="706B9940"/>
    <w:rsid w:val="70B89F58"/>
    <w:rsid w:val="70CF9001"/>
    <w:rsid w:val="71360CB2"/>
    <w:rsid w:val="714883AF"/>
    <w:rsid w:val="7163F06F"/>
    <w:rsid w:val="7168B0AC"/>
    <w:rsid w:val="717252AB"/>
    <w:rsid w:val="72404109"/>
    <w:rsid w:val="72500E91"/>
    <w:rsid w:val="7252ABAF"/>
    <w:rsid w:val="72632899"/>
    <w:rsid w:val="7277FE3F"/>
    <w:rsid w:val="72B7CE61"/>
    <w:rsid w:val="73238160"/>
    <w:rsid w:val="73432EEB"/>
    <w:rsid w:val="73EBDEF2"/>
    <w:rsid w:val="74450A40"/>
    <w:rsid w:val="74802471"/>
    <w:rsid w:val="74911C8C"/>
    <w:rsid w:val="74DD724C"/>
    <w:rsid w:val="75330606"/>
    <w:rsid w:val="756FBBC4"/>
    <w:rsid w:val="759BF524"/>
    <w:rsid w:val="762C9B71"/>
    <w:rsid w:val="76414440"/>
    <w:rsid w:val="7653BBE0"/>
    <w:rsid w:val="765780BD"/>
    <w:rsid w:val="7672E8BE"/>
    <w:rsid w:val="76971673"/>
    <w:rsid w:val="76B84950"/>
    <w:rsid w:val="76DBCEED"/>
    <w:rsid w:val="771F96EC"/>
    <w:rsid w:val="77568393"/>
    <w:rsid w:val="77AB8A82"/>
    <w:rsid w:val="77C86BD2"/>
    <w:rsid w:val="77F6F283"/>
    <w:rsid w:val="782949BC"/>
    <w:rsid w:val="784E4845"/>
    <w:rsid w:val="7887E4DC"/>
    <w:rsid w:val="7894E6D2"/>
    <w:rsid w:val="78C35232"/>
    <w:rsid w:val="78C3B13D"/>
    <w:rsid w:val="79071CD2"/>
    <w:rsid w:val="79A579C4"/>
    <w:rsid w:val="79EFEA12"/>
    <w:rsid w:val="7AD0FCE5"/>
    <w:rsid w:val="7AD6FA22"/>
    <w:rsid w:val="7B5EA15A"/>
    <w:rsid w:val="7B8BBA73"/>
    <w:rsid w:val="7B8C3545"/>
    <w:rsid w:val="7BA0ACA4"/>
    <w:rsid w:val="7BCF8272"/>
    <w:rsid w:val="7C0D3C6E"/>
    <w:rsid w:val="7C72CA83"/>
    <w:rsid w:val="7D0A1FE1"/>
    <w:rsid w:val="7D2FEE30"/>
    <w:rsid w:val="7D52FDF7"/>
    <w:rsid w:val="7DAEC2B2"/>
    <w:rsid w:val="7E0D728B"/>
    <w:rsid w:val="7E5ECDC5"/>
    <w:rsid w:val="7E8A88E9"/>
    <w:rsid w:val="7EC35B35"/>
    <w:rsid w:val="7ECBBE91"/>
    <w:rsid w:val="7EDDFB17"/>
    <w:rsid w:val="7FD7067E"/>
    <w:rsid w:val="7FE175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30606"/>
  <w15:chartTrackingRefBased/>
  <w15:docId w15:val="{EDAF4F4A-E6FB-4A31-935A-9D9BE35D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0"/>
      </w:numPr>
      <w:contextualSpacing/>
    </w:pPr>
  </w:style>
  <w:style w:type="paragraph" w:styleId="ListBullet2">
    <w:name w:val="List Bullet 2"/>
    <w:basedOn w:val="Normal"/>
    <w:uiPriority w:val="99"/>
    <w:semiHidden/>
    <w:unhideWhenUsed/>
    <w:pPr>
      <w:numPr>
        <w:numId w:val="21"/>
      </w:numPr>
      <w:ind w:firstLine="0"/>
      <w:contextualSpacing/>
    </w:pPr>
  </w:style>
  <w:style w:type="paragraph" w:styleId="ListBullet3">
    <w:name w:val="List Bullet 3"/>
    <w:basedOn w:val="Normal"/>
    <w:uiPriority w:val="99"/>
    <w:semiHidden/>
    <w:unhideWhenUsed/>
    <w:pPr>
      <w:numPr>
        <w:numId w:val="22"/>
      </w:numPr>
      <w:ind w:firstLine="0"/>
      <w:contextualSpacing/>
    </w:pPr>
  </w:style>
  <w:style w:type="paragraph" w:styleId="ListBullet4">
    <w:name w:val="List Bullet 4"/>
    <w:basedOn w:val="Normal"/>
    <w:uiPriority w:val="99"/>
    <w:semiHidden/>
    <w:unhideWhenUsed/>
    <w:pPr>
      <w:numPr>
        <w:numId w:val="23"/>
      </w:numPr>
      <w:ind w:firstLine="0"/>
      <w:contextualSpacing/>
    </w:pPr>
  </w:style>
  <w:style w:type="paragraph" w:styleId="ListBullet5">
    <w:name w:val="List Bullet 5"/>
    <w:basedOn w:val="Normal"/>
    <w:uiPriority w:val="99"/>
    <w:semiHidden/>
    <w:unhideWhenUsed/>
    <w:pPr>
      <w:numPr>
        <w:numId w:val="24"/>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25"/>
      </w:numPr>
      <w:contextualSpacing/>
    </w:pPr>
  </w:style>
  <w:style w:type="paragraph" w:styleId="ListNumber2">
    <w:name w:val="List Number 2"/>
    <w:basedOn w:val="Normal"/>
    <w:uiPriority w:val="99"/>
    <w:semiHidden/>
    <w:unhideWhenUsed/>
    <w:pPr>
      <w:numPr>
        <w:numId w:val="26"/>
      </w:numPr>
      <w:ind w:firstLine="0"/>
      <w:contextualSpacing/>
    </w:pPr>
  </w:style>
  <w:style w:type="paragraph" w:styleId="ListNumber3">
    <w:name w:val="List Number 3"/>
    <w:basedOn w:val="Normal"/>
    <w:uiPriority w:val="99"/>
    <w:semiHidden/>
    <w:unhideWhenUsed/>
    <w:pPr>
      <w:numPr>
        <w:numId w:val="27"/>
      </w:numPr>
      <w:ind w:firstLine="0"/>
      <w:contextualSpacing/>
    </w:pPr>
  </w:style>
  <w:style w:type="paragraph" w:styleId="ListNumber4">
    <w:name w:val="List Number 4"/>
    <w:basedOn w:val="Normal"/>
    <w:uiPriority w:val="99"/>
    <w:semiHidden/>
    <w:unhideWhenUsed/>
    <w:pPr>
      <w:numPr>
        <w:numId w:val="28"/>
      </w:numPr>
      <w:ind w:firstLine="0"/>
      <w:contextualSpacing/>
    </w:pPr>
  </w:style>
  <w:style w:type="paragraph" w:styleId="ListNumber5">
    <w:name w:val="List Number 5"/>
    <w:basedOn w:val="Normal"/>
    <w:uiPriority w:val="99"/>
    <w:semiHidden/>
    <w:unhideWhenUsed/>
    <w:pPr>
      <w:numPr>
        <w:numId w:val="29"/>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yperlink" Target="https://doi.org/10.1186/s12913-020-05253-y"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apra.gov.au/operations-of-private-health-insurers-annual-report" TargetMode="External"/><Relationship Id="rId33" Type="http://schemas.openxmlformats.org/officeDocument/2006/relationships/theme" Target="theme/theme1.xml"/><Relationship Id="R4ac2ea54a2234d16"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yperlink" Target="https://theconversation.com/private-health-insurance-rebates-dont-serve-their-purpose-lets-talk-about-scrapping-them-91061" TargetMode="External"/><Relationship Id="rId30" Type="http://schemas.openxmlformats.org/officeDocument/2006/relationships/header" Target="head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3412</Words>
  <Characters>19450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Hasim Rahman</dc:creator>
  <cp:keywords/>
  <dc:description/>
  <cp:lastModifiedBy>Microsoft account</cp:lastModifiedBy>
  <cp:revision>2</cp:revision>
  <dcterms:created xsi:type="dcterms:W3CDTF">2023-06-04T07:59:00Z</dcterms:created>
  <dcterms:modified xsi:type="dcterms:W3CDTF">2023-06-04T07:59:00Z</dcterms:modified>
</cp:coreProperties>
</file>