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C78"/>
        </w:rPr>
        <w:t>État de l’art — Plateforme d’aide à la décision « Mobilité Urbaine »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Mémoire de stage M2 professionnel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Projet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MobilitySmart / Mobilité Urbaine (lot 1 : modules M1, M2, M5, M6)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Cadre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88 jours · cahier des charges </w:t>
      </w:r>
      <w:r>
        <w:rPr>
          <w:rFonts w:ascii="Consolas" w:hAnsi="Consolas" w:eastAsia="Consolas"/>
          <w:b w:val="0"/>
          <w:i w:val="0"/>
          <w:sz w:val="20"/>
        </w:rPr>
        <w:t>specification_mobilite_urbaine-stage.pdf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Nature du chapitre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veille technologique argumentée (pas une revue de littérature scientifique)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Grille suivie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20 axes en 5 blocs — *Grille d’analyse pour l’état de l’art — Projet informatique de stage, Master 2 professionnel* (consultée le 1er septembre 2026)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Date de rédaction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1er septembre 2026</w:t>
      </w:r>
    </w:p>
    <w:p>
      <w:pPr>
        <w:pStyle w:val="Heading1"/>
      </w:pPr>
      <w:r>
        <w:rPr>
          <w:color w:val="1E3C78"/>
        </w:rPr>
        <w:t>Comment lire ce chapitre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En master professionnel, l’état de l’art sert à </w:t>
      </w:r>
      <w:r>
        <w:rPr>
          <w:rFonts w:ascii="Times New Roman" w:hAnsi="Times New Roman" w:eastAsia="Times New Roman"/>
          <w:b/>
          <w:i w:val="0"/>
          <w:sz w:val="24"/>
        </w:rPr>
        <w:t>justifier des choix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que l’équipe pourra encore maintenir après le stage. Chaque affirmation technique est sourcée et datée. Les sources éditeurs (FastAPI, PostGIS, MapLibre, OSM) sont légitimes ; leur biais commercial éventuel est signalé.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La question que le jury pose en soutenance est toujours la même : </w:t>
      </w:r>
      <w:r>
        <w:rPr>
          <w:rFonts w:ascii="Times New Roman" w:hAnsi="Times New Roman" w:eastAsia="Times New Roman"/>
          <w:b/>
          <w:i w:val="0"/>
          <w:sz w:val="24"/>
        </w:rPr>
        <w:t>pourquoi ce choix, et pas l’autre ?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L’axe 19 rassemble la réponse. Les axes 1 (existant interne) et 14 (faisabilité Madagascar) empêchent de confondre ce mémoire avec un exposé générique sur les « smart cities ».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Périmètre volontairement refusé.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Ce n’est pas un GPS temps réel, ni un concurrent de Waze / Google Maps, ni une plateforme IoT / Big Data. Le produit est une </w:t>
      </w:r>
      <w:r>
        <w:rPr>
          <w:rFonts w:ascii="Times New Roman" w:hAnsi="Times New Roman" w:eastAsia="Times New Roman"/>
          <w:b/>
          <w:i w:val="0"/>
          <w:sz w:val="24"/>
        </w:rPr>
        <w:t>aide à la décision territoriale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flux domicile–travail agrégés, zones clés, indice emploi-habitat.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Volume.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Ce chapitre est calé pour 8 à 15 pages imprimées (~15–20 % d’un mémoire). La contribution personnelle (implémentation, résultats, limites) reste la partie dominante du rapport.</w:t>
      </w:r>
    </w:p>
    <w:p>
      <w:pPr>
        <w:pStyle w:val="Title"/>
      </w:pPr>
      <w:r>
        <w:rPr>
          <w:color w:val="1E3C78"/>
        </w:rPr>
        <w:t>Bloc A — Cadrage du besoin et de la démarche</w:t>
      </w:r>
    </w:p>
    <w:p>
      <w:pPr>
        <w:pStyle w:val="Heading1"/>
      </w:pPr>
      <w:r>
        <w:rPr>
          <w:color w:val="1E3C78"/>
        </w:rPr>
        <w:t>Axe 0 — Démarche de veille et traçabilité des sources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Période couverte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mai 2026 – 1er septembre 2026 (cadrage, développement, clôture du lot 1).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Mots-clés utilisés (FR / EN)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aide à la décision urbaine, matrice origine-destination, desire lines, modèle gravitaire, emploi-habitat, k-anonymité, PostGIS, pgRouting, MapLibre, FastAPI GeoJSON, clustering spatial K-means vs DBSCAN, 2SFCA, OpenStreetMap Madagascar, loi 2014-038, OWASP Top 10 2025.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Types de sources, par ordre de poids dans ce stage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Type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Rôle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Biais à signaler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Documentation officielle (FastAPI, PostgreSQL/PostGIS, pgRouting, MapLibre, osm2pgsql, Docker, OSM)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Source de vérité technique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Éditeur : décrit le produit sous son meilleur jour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Cahier des charges et vision produit du stage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Imposé / négociable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Document interne de cadrage, pas une évaluation neutre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Dépôts publics et guides de praticiens (OWASP, CNIL, ThoughtWorks Radar, Stack Overflow Survey)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Maturité, risques, compétences marché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Enquêtes auto-déclaratives ; Radar = opinion d’un cabinet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Articles fondateurs (Wilson 1971, Luo &amp; Wang 2003, Sweeney 2002, Ester et al. 1996)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Ancrer un algorithme, pas « faire de la recherche »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Âge : on les cite pour le **principe**, pas comme état 2026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Fiches commerciales (ArcGIS, Google Maps Platform, Carto, Kepler.gl)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Benchmark « faire vs acheter »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Biais commercial fort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Ce qui n’a pas été fait.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Une revue systématique Scopus/IEEE sur la *smart mobility*. Ce n’aurait pas aidé à choisir entre PostGIS et un GeoJSON statique pour un prototype de 88 jours.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Outil de traçabilité.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Bibliographie en fin de chapitre, avec date de consultation de chaque URL. Constitution au fil de l’eau (recommandation de la grille : ne pas reconstruire en fin de stage).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18 références tracées (cible 12–20).</w:t>
      </w:r>
    </w:p>
    <w:p>
      <w:pPr>
        <w:pStyle w:val="Heading1"/>
      </w:pPr>
      <w:r>
        <w:rPr>
          <w:color w:val="1E3C78"/>
        </w:rPr>
        <w:t>Axe 1 — Entreprise d’accueil, commanditaire et existant interne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 stage s’inscrit dans un </w:t>
      </w:r>
      <w:r>
        <w:rPr>
          <w:rFonts w:ascii="Times New Roman" w:hAnsi="Times New Roman" w:eastAsia="Times New Roman"/>
          <w:b/>
          <w:i w:val="0"/>
          <w:sz w:val="24"/>
        </w:rPr>
        <w:t>projet informatique de master professionnel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(cadre BIHAR, étudiant ETU001083), commandité par le cahier des charges *Spécification mobilité urbaine — stage* et la vision produit associée. Il n’existe </w:t>
      </w:r>
      <w:r>
        <w:rPr>
          <w:rFonts w:ascii="Times New Roman" w:hAnsi="Times New Roman" w:eastAsia="Times New Roman"/>
          <w:b/>
          <w:i w:val="0"/>
          <w:sz w:val="24"/>
        </w:rPr>
        <w:t>pas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 système d’information métier déjà en production à étendre : le livrable est un </w:t>
      </w:r>
      <w:r>
        <w:rPr>
          <w:rFonts w:ascii="Times New Roman" w:hAnsi="Times New Roman" w:eastAsia="Times New Roman"/>
          <w:b/>
          <w:i w:val="0"/>
          <w:sz w:val="24"/>
        </w:rPr>
        <w:t>prototype greenfield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démontrable, pas une évolution d’un SI legacy.</w:t>
      </w:r>
    </w:p>
    <w:p>
      <w:pPr>
        <w:pStyle w:val="Heading2"/>
      </w:pPr>
      <w:r>
        <w:rPr>
          <w:color w:val="2E5A9C"/>
        </w:rPr>
        <w:t>Ce qui s’impose (non négociable)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Contrainte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Origine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Conséquence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Durée ~ 88 jours ouvrés (~ 4 mois)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Estimation de charge stage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Lot 1 = Must (M1, M2, M5, M6) ; M3/M4 reportés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Aide à la décision, pas le temps réel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CDC + vision produit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Écarte Kafka, capteurs, SLA trafic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Agrégation zone→zone, k-anonymité k ≥ 5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CDC + RGPD / éthique mobilité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de traces individuelles, pas de GPS usager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Stack cadrée : Python, API, carte web, spatial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CDC / estimation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FastAPI, PostGIS, MapLibre — pas un choix « au hasard »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Démo soutenance reproductible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Attendu M2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Docker Compose + runbook + smoke QA</w:t>
            </w:r>
          </w:p>
        </w:tc>
      </w:tr>
    </w:tbl>
    <w:p/>
    <w:p>
      <w:pPr>
        <w:pStyle w:val="Heading2"/>
      </w:pPr>
      <w:r>
        <w:rPr>
          <w:color w:val="2E5A9C"/>
        </w:rPr>
        <w:t>Ce qui est négociable (et a été négocié)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Sujet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Décision lot 1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Motif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OD réelle (MOBPRO / enquête) vs estimée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**Estimée** (gravité OSM) + disclaimer UI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de matrice officielle Antananarivo dans le délai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Clustering « ML » vs règles métier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**Les deux niveaux** : heuristiques lisibles + regroupement spatial simple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Un élu doit comprendre le label « dortoir »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Auth JWT dès le jour 1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**Reportée**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Démo réseau contrôlé ; Must métier d’abord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Multi-villes industrialisé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Presets + import OSM, pas un SaaS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Extract PBF hors image Docker</w:t>
            </w:r>
          </w:p>
        </w:tc>
      </w:tr>
    </w:tbl>
    <w:p/>
    <w:p>
      <w:pPr>
        <w:pStyle w:val="Heading2"/>
      </w:pPr>
      <w:r>
        <w:rPr>
          <w:color w:val="2E5A9C"/>
        </w:rPr>
        <w:t>Compétences et maintenance après le stage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L’équipe de reprise n’est pas une DSI de 20 personnes. Le critère retenu : </w:t>
      </w:r>
      <w:r>
        <w:rPr>
          <w:rFonts w:ascii="Times New Roman" w:hAnsi="Times New Roman" w:eastAsia="Times New Roman"/>
          <w:b/>
          <w:i w:val="0"/>
          <w:sz w:val="24"/>
        </w:rPr>
        <w:t>un autre stagiaire ou un tuteur Python/SQL doit pouvoir relancer la démo</w:t>
      </w:r>
      <w:r>
        <w:rPr>
          <w:rFonts w:ascii="Times New Roman" w:hAnsi="Times New Roman" w:eastAsia="Times New Roman"/>
          <w:b w:val="0"/>
          <w:i w:val="0"/>
          <w:sz w:val="24"/>
        </w:rPr>
        <w:t>. D’où 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trois conteneurs (</w:t>
      </w:r>
      <w:r>
        <w:rPr>
          <w:rFonts w:ascii="Consolas" w:hAnsi="Consolas" w:eastAsia="Consolas"/>
          <w:b w:val="0"/>
          <w:i w:val="0"/>
          <w:sz w:val="20"/>
        </w:rPr>
        <w:t>frontend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backend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db</w:t>
      </w:r>
      <w:r>
        <w:rPr>
          <w:rFonts w:ascii="Times New Roman" w:hAnsi="Times New Roman" w:eastAsia="Times New Roman"/>
          <w:b w:val="0"/>
          <w:i w:val="0"/>
          <w:sz w:val="24"/>
        </w:rPr>
        <w:t>), pas de microservices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SQL paramétré plutôt qu’un ORM géospatial lourd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documentation dans </w:t>
      </w:r>
      <w:r>
        <w:rPr>
          <w:rFonts w:ascii="Consolas" w:hAnsi="Consolas" w:eastAsia="Consolas"/>
          <w:b w:val="0"/>
          <w:i w:val="0"/>
          <w:sz w:val="20"/>
        </w:rPr>
        <w:t>docs/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(architecture, méthodes, runbook, sécurité)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secrets hors Git (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Une architecture « élégante » que personne ne saura relancer dans un an serait un </w:t>
      </w:r>
      <w:r>
        <w:rPr>
          <w:rFonts w:ascii="Times New Roman" w:hAnsi="Times New Roman" w:eastAsia="Times New Roman"/>
          <w:b/>
          <w:i w:val="0"/>
          <w:sz w:val="24"/>
        </w:rPr>
        <w:t>mauvais choix</w:t>
      </w:r>
      <w:r>
        <w:rPr>
          <w:rFonts w:ascii="Times New Roman" w:hAnsi="Times New Roman" w:eastAsia="Times New Roman"/>
          <w:b w:val="0"/>
          <w:i w:val="0"/>
          <w:sz w:val="24"/>
        </w:rPr>
        <w:t>, quelles que soient ses qualités (note d’utilisation de la grille, axes 1 et 14).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contraintes imposées vs négociables (tableaux ci-dessus).</w:t>
      </w:r>
    </w:p>
    <w:p>
      <w:pPr>
        <w:pStyle w:val="Heading1"/>
      </w:pPr>
      <w:r>
        <w:rPr>
          <w:color w:val="1E3C78"/>
        </w:rPr>
        <w:t>Axe 2 — Besoin métier, domaine et cadre réglementaire</w:t>
      </w:r>
    </w:p>
    <w:p>
      <w:pPr>
        <w:pStyle w:val="Heading2"/>
      </w:pPr>
      <w:r>
        <w:rPr>
          <w:color w:val="2E5A9C"/>
        </w:rPr>
        <w:t>Problème réel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Les décisions d’urbanisme mobilité (où concentrer l’attention : déséquilibre emploi-habitat, corridors de demande) se font trop souvent à partir de cartes statiques, d’intuitions et de données éclatées. Le commanditaire veut </w:t>
      </w:r>
      <w:r>
        <w:rPr>
          <w:rFonts w:ascii="Times New Roman" w:hAnsi="Times New Roman" w:eastAsia="Times New Roman"/>
          <w:b/>
          <w:i w:val="0"/>
          <w:sz w:val="24"/>
        </w:rPr>
        <w:t>une vue unique</w:t>
      </w:r>
      <w:r>
        <w:rPr>
          <w:rFonts w:ascii="Times New Roman" w:hAnsi="Times New Roman" w:eastAsia="Times New Roman"/>
          <w:b w:val="0"/>
          <w:i w:val="0"/>
          <w:sz w:val="24"/>
        </w:rPr>
        <w:t>, compréhensible en moins de deux minutes par un urbaniste et un élu.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Personas lot 1 : </w:t>
      </w:r>
      <w:r>
        <w:rPr>
          <w:rFonts w:ascii="Times New Roman" w:hAnsi="Times New Roman" w:eastAsia="Times New Roman"/>
          <w:b/>
          <w:i w:val="0"/>
          <w:sz w:val="24"/>
        </w:rPr>
        <w:t>urbaniste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(couches, fiche zone, corridors) et </w:t>
      </w:r>
      <w:r>
        <w:rPr>
          <w:rFonts w:ascii="Times New Roman" w:hAnsi="Times New Roman" w:eastAsia="Times New Roman"/>
          <w:b/>
          <w:i w:val="0"/>
          <w:sz w:val="24"/>
        </w:rPr>
        <w:t>élu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(KPI, top flux, message simple). Le persona DRH (sites candidats) relève du module M3, </w:t>
      </w:r>
      <w:r>
        <w:rPr>
          <w:rFonts w:ascii="Times New Roman" w:hAnsi="Times New Roman" w:eastAsia="Times New Roman"/>
          <w:b/>
          <w:i w:val="0"/>
          <w:sz w:val="24"/>
        </w:rPr>
        <w:t>hors lot 1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rPr>
          <w:color w:val="2E5A9C"/>
        </w:rPr>
        <w:t>Ce que le processus TO-BE doit produire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Une carte des </w:t>
      </w:r>
      <w:r>
        <w:rPr>
          <w:rFonts w:ascii="Times New Roman" w:hAnsi="Times New Roman" w:eastAsia="Times New Roman"/>
          <w:b/>
          <w:i w:val="0"/>
          <w:sz w:val="24"/>
        </w:rPr>
        <w:t>flux OD agrégés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(desire lines : demande quartier → quartier, </w:t>
      </w:r>
      <w:r>
        <w:rPr>
          <w:rFonts w:ascii="Times New Roman" w:hAnsi="Times New Roman" w:eastAsia="Times New Roman"/>
          <w:b/>
          <w:i w:val="0"/>
          <w:sz w:val="24"/>
        </w:rPr>
        <w:t>pas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 itinéraire rue).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Des </w:t>
      </w:r>
      <w:r>
        <w:rPr>
          <w:rFonts w:ascii="Times New Roman" w:hAnsi="Times New Roman" w:eastAsia="Times New Roman"/>
          <w:b/>
          <w:i w:val="0"/>
          <w:sz w:val="24"/>
        </w:rPr>
        <w:t>points clés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zone dortoir, pôle d’emploi, zone mixte, corridors de volume.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Un </w:t>
      </w:r>
      <w:r>
        <w:rPr>
          <w:rFonts w:ascii="Times New Roman" w:hAnsi="Times New Roman" w:eastAsia="Times New Roman"/>
          <w:b/>
          <w:i w:val="0"/>
          <w:sz w:val="24"/>
        </w:rPr>
        <w:t>indice emploi-habitat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intra-zone (proxy), coloré, avec ses limites affichées.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Un socle cartographique OSM (voirie, bâti, bus) et un itinéraire A→B sur le graphe réel (pgRouting), pour </w:t>
      </w:r>
      <w:r>
        <w:rPr>
          <w:rFonts w:ascii="Times New Roman" w:hAnsi="Times New Roman" w:eastAsia="Times New Roman"/>
          <w:b/>
          <w:i w:val="0"/>
          <w:sz w:val="24"/>
        </w:rPr>
        <w:t>contraster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demande et réseau.</w:t>
      </w:r>
    </w:p>
    <w:p>
      <w:pPr>
        <w:pStyle w:val="Heading2"/>
      </w:pPr>
      <w:r>
        <w:rPr>
          <w:color w:val="2E5A9C"/>
        </w:rPr>
        <w:t>Règles métier incontournables (extrait)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Aucune donnée individuelle ; agrégation zone→zone.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Seuil k-anonymité k ≥ 5 (défaut d’exposition souvent 20).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Desire line ≠ itinéraire routier.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Volumes du seed OSM = </w:t>
      </w:r>
      <w:r>
        <w:rPr>
          <w:rFonts w:ascii="Times New Roman" w:hAnsi="Times New Roman" w:eastAsia="Times New Roman"/>
          <w:b/>
          <w:i w:val="0"/>
          <w:sz w:val="24"/>
        </w:rPr>
        <w:t>estimés</w:t>
      </w:r>
      <w:r>
        <w:rPr>
          <w:rFonts w:ascii="Times New Roman" w:hAnsi="Times New Roman" w:eastAsia="Times New Roman"/>
          <w:b w:val="0"/>
          <w:i w:val="0"/>
          <w:sz w:val="24"/>
        </w:rPr>
        <w:t>, pas une enquête ménage.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Indice M6 ≠ accessibilité 2SFCA.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Produit ≠ surveillance ni pilotage trafic live.</w:t>
      </w:r>
    </w:p>
    <w:p>
      <w:pPr>
        <w:pStyle w:val="Heading2"/>
      </w:pPr>
      <w:r>
        <w:rPr>
          <w:color w:val="2E5A9C"/>
        </w:rPr>
        <w:t>Cadre réglementaire applicable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Texte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Portée pour ce prototype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Loi malgache n° 2014-038 relative à la protection des données personnelles + CMIL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Applicable dès qu’on traiterait des données personnelles ; le MVP **évite** ce traitement (OSM public + agrégats synthétiques)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RGPD (UE)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Applicable si hébergement / responsable UE ou personnes UE ; principe de minimisation repris même en démo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CNIL — géolocalisation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Interdit le tracking individuel « pour voir » ; conforte l’agrégation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Licence OSM Open Database License (ODbL)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Attribution obligatoire ; dérivés de la base à partager sous ODbL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Politique d’usage Nominatim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Rate-limit ; pas un geocoder de production sans instance dédiée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cartographie processus + règles + parties prenantes (urbaniste, élu, tuteur, stagiaire ; pas l’usager GPS).</w:t>
      </w:r>
    </w:p>
    <w:p>
      <w:pPr>
        <w:pStyle w:val="Title"/>
      </w:pPr>
      <w:r>
        <w:rPr>
          <w:color w:val="1E3C78"/>
        </w:rPr>
        <w:t>Bloc B — Analyse de l’existant et des utilisateurs</w:t>
      </w:r>
    </w:p>
    <w:p>
      <w:pPr>
        <w:pStyle w:val="Heading1"/>
      </w:pPr>
      <w:r>
        <w:rPr>
          <w:color w:val="1E3C78"/>
        </w:rPr>
        <w:t>Axe 3 — Solutions existantes et benchmark (faire vs acheter)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 piège classique est de comparer le projet à </w:t>
      </w:r>
      <w:r>
        <w:rPr>
          <w:rFonts w:ascii="Times New Roman" w:hAnsi="Times New Roman" w:eastAsia="Times New Roman"/>
          <w:b/>
          <w:i w:val="0"/>
          <w:sz w:val="24"/>
        </w:rPr>
        <w:t>Google Maps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ou </w:t>
      </w:r>
      <w:r>
        <w:rPr>
          <w:rFonts w:ascii="Times New Roman" w:hAnsi="Times New Roman" w:eastAsia="Times New Roman"/>
          <w:b/>
          <w:i w:val="0"/>
          <w:sz w:val="24"/>
        </w:rPr>
        <w:t>Waze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Ces produits optimisent le </w:t>
      </w:r>
      <w:r>
        <w:rPr>
          <w:rFonts w:ascii="Times New Roman" w:hAnsi="Times New Roman" w:eastAsia="Times New Roman"/>
          <w:b/>
          <w:i w:val="0"/>
          <w:sz w:val="24"/>
        </w:rPr>
        <w:t>trajet d’un usager en temps réel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Notre besoin est un </w:t>
      </w:r>
      <w:r>
        <w:rPr>
          <w:rFonts w:ascii="Times New Roman" w:hAnsi="Times New Roman" w:eastAsia="Times New Roman"/>
          <w:b/>
          <w:i w:val="0"/>
          <w:sz w:val="24"/>
        </w:rPr>
        <w:t>diagnostic territorial agrégé</w:t>
      </w:r>
      <w:r>
        <w:rPr>
          <w:rFonts w:ascii="Times New Roman" w:hAnsi="Times New Roman" w:eastAsia="Times New Roman"/>
          <w:b w:val="0"/>
          <w:i w:val="0"/>
          <w:sz w:val="24"/>
        </w:rPr>
        <w:t>. Le benchmark utile est donc : SIG décisionnel, visualisation OD, accessibilité, pas la navigation grand public.</w:t>
      </w:r>
    </w:p>
    <w:p>
      <w:pPr>
        <w:pStyle w:val="Heading2"/>
      </w:pPr>
      <w:r>
        <w:rPr>
          <w:color w:val="2E5A9C"/>
        </w:rPr>
        <w:t>Tableau comparatif multicritères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Critères (pondération indicative, total 100) : adéquation au diagnostic OD/emploi-habitat (25), coût 3 ans / licences (20), données Madagascar / OSM (15), maintenabilité par un profil Python (15), délai 88 jours (15), souveraineté / pas de lock-in API payante (10).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Solution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Type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Licence / coût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Couvre OD agrégé + labels métier + indice EH ?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Madagascar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Verdict stage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Google Maps Platform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Navigation / fond de carte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Payant à l’usage (biais éditeur)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Non (pas de M2/M6 métier)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Oui, mais TOS + facture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**Écarté** comme cœur ; fond payant inutile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Waze / Citymapper / Moovit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Info voyageur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SaaS grand public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Couverture inégale, transport informel mal décrit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**Mauvais analogue**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ArcGIS Online / Urban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SIG commercial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Licences élevées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 en théorie (Spatial Analyst, Urban)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 si on paie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**Acheter** = hors budget stage + lock-in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QGIS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SIG desktop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GPL, gratuit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 pour un expert, non pour un élu en 60 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 (OSM)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**Complément** hors ligne, pas le livrable web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Carto / Felt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SaaS carto analytics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Abonnement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Visualisation forte, métier M2/M6 à reconstruire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Coût récurrent en devises + dépendance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Kepler.gl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Lib visuel (Uber)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Superbe pour desire lines, **pas** d’API métier ni RGPD k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**Écarté** comme produit ; idée UX retenue (arcs)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OpenTripPlanner / r5 / Conveyal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Accessibilité / GTFS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Open source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Accessibilité ≠ OD emploi-habitat du CDC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GTFS Tana quasi absent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**Écarté** (pas de GTFS fiable)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Prototype dédié (ce stage)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Web FastAPI + PostGIS + MapLibre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Stack libre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Oui, calé CDC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OSM Geofabrik Madagascar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**Retenu**</w:t>
            </w:r>
          </w:p>
        </w:tc>
      </w:tr>
    </w:tbl>
    <w:p/>
    <w:p>
      <w:pPr>
        <w:pStyle w:val="Heading2"/>
      </w:pPr>
      <w:r>
        <w:rPr>
          <w:color w:val="2E5A9C"/>
        </w:rPr>
        <w:t>Argumentaire « développer » plutôt qu’« acquérir »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sz w:val="24"/>
        </w:rPr>
        <w:t>Aucune offre du marché ne livre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les règles métier du CDC (dortoir / pôle / mixte + indice intra-zone + k-anonymité) clés en main pour Antananarivo.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sz w:val="24"/>
        </w:rPr>
        <w:t>MOBPRO / IRIS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(France) n’existent pas à Madagascar : un achat « stack INSEE » serait un faux ami.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Le stage a une </w:t>
      </w:r>
      <w:r>
        <w:rPr>
          <w:rFonts w:ascii="Times New Roman" w:hAnsi="Times New Roman" w:eastAsia="Times New Roman"/>
          <w:b/>
          <w:i w:val="0"/>
          <w:sz w:val="24"/>
        </w:rPr>
        <w:t>valeur pédagogique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concevoir le pipeline, pas paramétrer ArcGIS.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4. Le coût d’un SaaS carto en devises (axe 16) n’est pas soutenable pour un prototype de soutenance, et crée une dépendance après le départ du stagiaire.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Ce que le « faire » </w:t>
      </w:r>
      <w:r>
        <w:rPr>
          <w:rFonts w:ascii="Times New Roman" w:hAnsi="Times New Roman" w:eastAsia="Times New Roman"/>
          <w:b/>
          <w:i w:val="0"/>
          <w:sz w:val="24"/>
        </w:rPr>
        <w:t>ne justifie pas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réécrire un moteur de tuiles, un geocoder mondial, ou un simulateur what-if (M4) — on </w:t>
      </w:r>
      <w:r>
        <w:rPr>
          <w:rFonts w:ascii="Times New Roman" w:hAnsi="Times New Roman" w:eastAsia="Times New Roman"/>
          <w:b/>
          <w:i w:val="0"/>
          <w:sz w:val="24"/>
        </w:rPr>
        <w:t>consomme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OSM, Carto CDN (fond), Nominatim (recherche de ville), pgRouting (Dijkstra).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tableau + argumentaire faire / acheter.</w:t>
      </w:r>
    </w:p>
    <w:p>
      <w:pPr>
        <w:pStyle w:val="Heading1"/>
      </w:pPr>
      <w:r>
        <w:rPr>
          <w:color w:val="1E3C78"/>
        </w:rPr>
        <w:t>Axe 4 — Utilisateurs, usages et expérience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Persona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Matériel réel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Contexte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Exigence UX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Urbaniste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PC de bureau, navigateur récent, écran ≥ 14"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Analyse 90 s : search, couches, fiche zone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Carte full-bleed, toggles, légende, popup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Élu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PC ou visio, peu de temps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Lecture 60 s : 4 chiffres + top flux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de jargon non traduit ; limites visibles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Reprise technique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PC + Docker Desktop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Relancer la démo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Runbook, pas un wizard SaaS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Parcours cibles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(déjà spécifiés dans </w:t>
      </w:r>
      <w:r>
        <w:rPr>
          <w:rFonts w:ascii="Consolas" w:hAnsi="Consolas" w:eastAsia="Consolas"/>
          <w:b w:val="0"/>
          <w:i w:val="0"/>
          <w:sz w:val="20"/>
        </w:rPr>
        <w:t>docs/ux-mvp.md</w:t>
      </w:r>
      <w:r>
        <w:rPr>
          <w:rFonts w:ascii="Times New Roman" w:hAnsi="Times New Roman" w:eastAsia="Times New Roman"/>
          <w:b w:val="0"/>
          <w:i w:val="0"/>
          <w:sz w:val="24"/>
        </w:rPr>
        <w:t>) : quatre vues = quatre jobs (Carte, Flux OD, Zones clés, Indicateurs). Pas de pages « bientôt » pour M3/M4.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Accessibilité (WCAG 2.2).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Lot 1 : contraste des couches (rouge/vert M6 </w:t>
      </w:r>
      <w:r>
        <w:rPr>
          <w:rFonts w:ascii="Times New Roman" w:hAnsi="Times New Roman" w:eastAsia="Times New Roman"/>
          <w:b/>
          <w:i w:val="0"/>
          <w:sz w:val="24"/>
        </w:rPr>
        <w:t>doublé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d’un libellé texte dans le panneau — on ne s’appuie pas sur la seule couleur), focus clavier partiel, pas d’audit RGAA formel. </w:t>
      </w:r>
      <w:r>
        <w:rPr>
          <w:rFonts w:ascii="Times New Roman" w:hAnsi="Times New Roman" w:eastAsia="Times New Roman"/>
          <w:b/>
          <w:i w:val="0"/>
          <w:sz w:val="24"/>
        </w:rPr>
        <w:t>Écart accepté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un audit WCAG complet dépasse 88 jours ; c’est un risque résiduel (axe 19).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Localisation.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Interface </w:t>
      </w:r>
      <w:r>
        <w:rPr>
          <w:rFonts w:ascii="Times New Roman" w:hAnsi="Times New Roman" w:eastAsia="Times New Roman"/>
          <w:b/>
          <w:i w:val="0"/>
          <w:sz w:val="24"/>
        </w:rPr>
        <w:t>française</w:t>
      </w:r>
      <w:r>
        <w:rPr>
          <w:rFonts w:ascii="Times New Roman" w:hAnsi="Times New Roman" w:eastAsia="Times New Roman"/>
          <w:b w:val="0"/>
          <w:i w:val="0"/>
          <w:sz w:val="24"/>
        </w:rPr>
        <w:t>. Malgache : hors lot 1 (public décideur francophone). Pas d’app mobile native : le besoin n’est pas le terrain piéton, c’est le poste de travail.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Équipement et réseau.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Voir axe 14 : le parcours élu suppose une connexion pour les tuiles Carto ; la démo Docker locale reste possible une fois les images tirées. Pas d’offline-first carte (PWA tuiles) — écart conscient.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personas + parcours + exigences d’ergonomie (lot 1 vs reporté).</w:t>
      </w:r>
    </w:p>
    <w:p>
      <w:pPr>
        <w:pStyle w:val="Title"/>
      </w:pPr>
      <w:r>
        <w:rPr>
          <w:color w:val="1E3C78"/>
        </w:rPr>
        <w:t>Bloc C — Analyse technique</w:t>
      </w:r>
    </w:p>
    <w:p>
      <w:pPr>
        <w:pStyle w:val="Heading1"/>
      </w:pPr>
      <w:r>
        <w:rPr>
          <w:color w:val="1E3C78"/>
        </w:rPr>
        <w:t>Axe 5 — Paradigmes et architectures logicielles</w:t>
      </w:r>
    </w:p>
    <w:p>
      <w:pPr>
        <w:pStyle w:val="Heading2"/>
      </w:pPr>
      <w:r>
        <w:rPr>
          <w:color w:val="2E5A9C"/>
        </w:rPr>
        <w:t>Options envisagées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Style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Coût de complexité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Adéquation 88 j / 1 développeur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Monolithe modulaire (API + front + SGBD)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Faible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**Retenu**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Microservices (OD, carte, auth, jobs)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Élevé (réseau, observabilité, versions)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Rejeté : sur-ingénierie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Event-driven (Kafka, Spark)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Très élevé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Rejeté : pas de flux temps réel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Serverless multi-cloud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Moyen-élevé + coût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Rejeté : devises + reprise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Hexagonal / clean architecture stricte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Moyen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Rejeté : volume de code vs valeur ; **séparation router / service** suffit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Offline-first (sync CRDT)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Élevé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Rejeté ; mitigation : Docker local (axe 14)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L’architecture livrée est un </w:t>
      </w:r>
      <w:r>
        <w:rPr>
          <w:rFonts w:ascii="Times New Roman" w:hAnsi="Times New Roman" w:eastAsia="Times New Roman"/>
          <w:b/>
          <w:i w:val="0"/>
          <w:sz w:val="24"/>
        </w:rPr>
        <w:t>monolithe modulaire en 3 conteneurs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</w:t>
      </w:r>
    </w:p>
    <w:p>
      <w:pPr>
        <w:spacing w:after="200"/>
      </w:pPr>
      <w:r>
        <w:rPr>
          <w:rFonts w:ascii="Consolas" w:hAnsi="Consolas" w:eastAsia="Consolas"/>
          <w:b w:val="0"/>
          <w:i w:val="0"/>
          <w:sz w:val="18"/>
        </w:rPr>
        <w:t>[Urbaniste / Élu]</w:t>
        <w:br/>
        <w:t xml:space="preserve">        │  HTTP localhost</w:t>
        <w:br/>
        <w:t xml:space="preserve">        ▼</w:t>
        <w:br/>
        <w:t>[React + MapLibre] ──REST JSON / GeoJSON──► [FastAPI]</w:t>
        <w:br/>
        <w:t xml:space="preserve">                                               │ SQL paramétré</w:t>
        <w:br/>
        <w:t xml:space="preserve">                                               ▼</w:t>
        <w:br/>
        <w:t xml:space="preserve">                                        [PostgreSQL + PostGIS + pgRouting]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Pas de bus de messages. Front et API découplés par contrat REST (OpenAPI en développement). Côté code : routeurs minces, logique dans </w:t>
      </w:r>
      <w:r>
        <w:rPr>
          <w:rFonts w:ascii="Consolas" w:hAnsi="Consolas" w:eastAsia="Consolas"/>
          <w:b w:val="0"/>
          <w:i w:val="0"/>
          <w:sz w:val="20"/>
        </w:rPr>
        <w:t>services/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Motif du rejet des microservices.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Fowler rappelle qu’il faut d’abord un monolithe qui fonctionne ; le Radar ThoughtWorks a longtemps classé la « microservices envy » comme un risque. Avec un stagiaire, le coût de complexité l’emporte.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architecture cible + alternatives écartées.</w:t>
      </w:r>
    </w:p>
    <w:p>
      <w:pPr>
        <w:pStyle w:val="Heading1"/>
      </w:pPr>
      <w:r>
        <w:rPr>
          <w:color w:val="1E3C78"/>
        </w:rPr>
        <w:t>Axe 6 — Écosystème technologique (stack)</w:t>
      </w:r>
    </w:p>
    <w:p>
      <w:pPr>
        <w:pStyle w:val="Heading2"/>
      </w:pPr>
      <w:r>
        <w:rPr>
          <w:color w:val="2E5A9C"/>
        </w:rPr>
        <w:t>Matrice de sélection (pondération explicite)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Critères : maturité 2026 (20), licence compatible usage académique / commercial ultérieur (15), compétences trouvables (Python/JS/SQL à Antananarivo et en M2) (20), adéquation géospatiale (25), pérennité 3 ans (10), documentation (10).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Couche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Candidats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Retenu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Écarté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Pourquoi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FastAPI, Django, Flask, Express, Spring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**FastAPI 0.136**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Django (batteries mais lourd pour API geo), Node (moins de GeoPandas/PostGIS en CDC), Spring (courbe Java)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OpenAPI natif, typage Pydantic, CDC Python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Front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React, Vue, Svelte, Angular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**React 19 + Vite**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Angular (surdimensionné), Svelte (moins de profils locaux)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Écosystème, compétences M2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Carte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MapLibre GL, Leaflet, Mapbox GL payant, OpenLayers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**MapLibre GL 5**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Leaflet (raster, moins fluide pour beaucoup de GeoJSON), Mapbox token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Fork libre de Mapbox GL ; pas de facture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SGBD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PostGIS, SpatiaLite, Mongo + GeoJSON, fichiers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**PostgreSQL 16 + PostGIS + pgRouting**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Fichiers (pas de Dijkstra ni bbox SQL), Mongo (moins d’outil métier SIG)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Déjà le standard SIG ; image `pgrouting/pgrouting:16-3.4-3.6.1`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HTTP client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axios, fetch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**axios**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Déjà en place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Conteneurs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Docker Compose, K8s, Vagrant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**Compose v2**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K8s (sur-ingénierie)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Démo J-1 en une commande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Import OSM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osm2pgsql, osmium+imposm, GeoJSON pré-découpés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**osm2pgsql**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Imposm (moins documenté dans le CDC)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Pipeline officiel OSM → `planet_osm_*`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Licences.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FastAPI (MIT), React (MIT), MapLibre (BSD), PostgreSQL (PostgreSQL Licence), osm2pgsql (GPL) : compatibles avec un prototype académique et une éventuelle suite interne. OSM : ODbL (attribution).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Compétences locales.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Python, JavaScript et PostgreSQL sont les profils les plus enseignés / demandés en développement web à Antananarivo, contrairement à Scala/Spark ou à un stack ArcGIS sous licence.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Pérennité 3 ans.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PostGIS et PostgreSQL sont des piliers SIG depuis plus de quinze ans. MapLibre est le successeur communautaire de Mapbox GL JS v1 (sortie de Mapbox du 100 % open source : biais éditeur Mapbox). FastAPI est devenu un standard d’API Python (enquête développeurs : Python reste dans le peloton de tête des langages backend).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matrice ci-dessus.</w:t>
      </w:r>
    </w:p>
    <w:p>
      <w:pPr>
        <w:pStyle w:val="Heading1"/>
      </w:pPr>
      <w:r>
        <w:rPr>
          <w:color w:val="1E3C78"/>
        </w:rPr>
        <w:t>Axe 7 — Données et flux d’information</w:t>
      </w:r>
    </w:p>
    <w:p>
      <w:pPr>
        <w:pStyle w:val="Heading2"/>
      </w:pPr>
      <w:r>
        <w:rPr>
          <w:color w:val="2E5A9C"/>
        </w:rPr>
        <w:t>Persistance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SRID 3857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en tables OSM (</w:t>
      </w:r>
      <w:r>
        <w:rPr>
          <w:rFonts w:ascii="Consolas" w:hAnsi="Consolas" w:eastAsia="Consolas"/>
          <w:b w:val="0"/>
          <w:i w:val="0"/>
          <w:sz w:val="20"/>
        </w:rPr>
        <w:t>planet_osm_*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), </w:t>
      </w:r>
      <w:r>
        <w:rPr>
          <w:rFonts w:ascii="Times New Roman" w:hAnsi="Times New Roman" w:eastAsia="Times New Roman"/>
          <w:b/>
          <w:i w:val="0"/>
          <w:sz w:val="24"/>
        </w:rPr>
        <w:t>4326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en sortie API et pour </w:t>
      </w:r>
      <w:r>
        <w:rPr>
          <w:rFonts w:ascii="Consolas" w:hAnsi="Consolas" w:eastAsia="Consolas"/>
          <w:b w:val="0"/>
          <w:i w:val="0"/>
          <w:sz w:val="20"/>
        </w:rPr>
        <w:t>mobility_zones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desire lines.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Tables métier : </w:t>
      </w:r>
      <w:r>
        <w:rPr>
          <w:rFonts w:ascii="Consolas" w:hAnsi="Consolas" w:eastAsia="Consolas"/>
          <w:b w:val="0"/>
          <w:i w:val="0"/>
          <w:sz w:val="20"/>
        </w:rPr>
        <w:t>mobility_zones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(polygones, proxies population/emplois), </w:t>
      </w:r>
      <w:r>
        <w:rPr>
          <w:rFonts w:ascii="Consolas" w:hAnsi="Consolas" w:eastAsia="Consolas"/>
          <w:b w:val="0"/>
          <w:i w:val="0"/>
          <w:sz w:val="20"/>
        </w:rPr>
        <w:t>mobility_flows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(couplets O→D, </w:t>
      </w:r>
      <w:r>
        <w:rPr>
          <w:rFonts w:ascii="Consolas" w:hAnsi="Consolas" w:eastAsia="Consolas"/>
          <w:b w:val="0"/>
          <w:i w:val="0"/>
          <w:sz w:val="20"/>
        </w:rPr>
        <w:t>trip_count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), vue </w:t>
      </w:r>
      <w:r>
        <w:rPr>
          <w:rFonts w:ascii="Consolas" w:hAnsi="Consolas" w:eastAsia="Consolas"/>
          <w:b w:val="0"/>
          <w:i w:val="0"/>
          <w:sz w:val="20"/>
        </w:rPr>
        <w:t>v_od_desire_lines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Graphe : </w:t>
      </w:r>
      <w:r>
        <w:rPr>
          <w:rFonts w:ascii="Consolas" w:hAnsi="Consolas" w:eastAsia="Consolas"/>
          <w:b w:val="0"/>
          <w:i w:val="0"/>
          <w:sz w:val="20"/>
        </w:rPr>
        <w:t>roads_network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+ vertices, Dijkstra (</w:t>
      </w:r>
      <w:r>
        <w:rPr>
          <w:rFonts w:ascii="Consolas" w:hAnsi="Consolas" w:eastAsia="Consolas"/>
          <w:b w:val="0"/>
          <w:i w:val="0"/>
          <w:sz w:val="20"/>
        </w:rPr>
        <w:t>pgr_dijkstra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sur </w:t>
      </w:r>
      <w:r>
        <w:rPr>
          <w:rFonts w:ascii="Times New Roman" w:hAnsi="Times New Roman" w:eastAsia="Times New Roman"/>
          <w:b/>
          <w:i w:val="0"/>
          <w:sz w:val="24"/>
        </w:rPr>
        <w:t>sous-graphe bbox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(~5 km autour de A/B).</w:t>
      </w:r>
    </w:p>
    <w:p>
      <w:pPr>
        <w:pStyle w:val="Heading2"/>
      </w:pPr>
      <w:r>
        <w:rPr>
          <w:color w:val="2E5A9C"/>
        </w:rPr>
        <w:t>Échange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Sujet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Choix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Alternative écartée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API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REST + JSON / GeoJSON `FeatureCollection`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GraphQL (pas de graphe de ressources profond), WebSocket (pas de live)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Contrat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OpenAPI (Swagger **off** si `APP_ENV=production`)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WSDL, gRPC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Volumétrie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Bbox + LIMIT (routes 5000, bâtiments 3000, flows ≤ 300–1000)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Tout charger côté client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Sync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Requête à la demande (debounce carte 450 ms)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MQTT / cache Redis (hors scope)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Volumétrie à 3 ans.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Si l’on passe d’une ville (Tana, ~16–40 zones) à une métropole IRIS, le goulot sera le </w:t>
      </w:r>
      <w:r>
        <w:rPr>
          <w:rFonts w:ascii="Times New Roman" w:hAnsi="Times New Roman" w:eastAsia="Times New Roman"/>
          <w:b/>
          <w:i w:val="0"/>
          <w:sz w:val="24"/>
        </w:rPr>
        <w:t>GeoJSON OSM au zoom trop large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pas le JSON des flux. Repli documenté : tuiles vectorielles MVT — </w:t>
      </w:r>
      <w:r>
        <w:rPr>
          <w:rFonts w:ascii="Times New Roman" w:hAnsi="Times New Roman" w:eastAsia="Times New Roman"/>
          <w:b/>
          <w:i w:val="0"/>
          <w:sz w:val="24"/>
        </w:rPr>
        <w:t>non fait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 lot 1 (axe 11).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Perte de connexion.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L’API et la carte tuiles échouent de façon visible (message panneau). Pas de file offline. Mitigation : instance Docker locale (axe 14).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Cycle de vie.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OSM se rafraîchit par ré-import PBF (pas de réplication osm2pgsql-replication en prod stage). OD seed : script </w:t>
      </w:r>
      <w:r>
        <w:rPr>
          <w:rFonts w:ascii="Consolas" w:hAnsi="Consolas" w:eastAsia="Consolas"/>
          <w:b w:val="0"/>
          <w:i w:val="0"/>
          <w:sz w:val="20"/>
        </w:rPr>
        <w:t>seed_zones_od.py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reproductible. Pas d’archivage légal : pas de données personnelles.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paradigme de persistance PostGIS + REST GeoJSON.</w:t>
      </w:r>
    </w:p>
    <w:p>
      <w:pPr>
        <w:pStyle w:val="Heading1"/>
      </w:pPr>
      <w:r>
        <w:rPr>
          <w:color w:val="1E3C78"/>
        </w:rPr>
        <w:t>Axe 8 — Briques algorithmiques et services d’IA *(selon projet)*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 CDC parle d’analyse spatiale, pas d’un LLM ni d’une API d’IA payante. </w:t>
      </w:r>
      <w:r>
        <w:rPr>
          <w:rFonts w:ascii="Times New Roman" w:hAnsi="Times New Roman" w:eastAsia="Times New Roman"/>
          <w:b/>
          <w:i w:val="0"/>
          <w:sz w:val="24"/>
        </w:rPr>
        <w:t>Aucune brique IA tierce n’est consommée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(pas d’OpenAI, pas de Hugging Face en production). Coût récurrent d’API : zéro. Risque « le fournisseur ferme l’API » : </w:t>
      </w:r>
      <w:r>
        <w:rPr>
          <w:rFonts w:ascii="Times New Roman" w:hAnsi="Times New Roman" w:eastAsia="Times New Roman"/>
          <w:b/>
          <w:i w:val="0"/>
          <w:sz w:val="24"/>
        </w:rPr>
        <w:t>non applicable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rPr>
          <w:color w:val="2E5A9C"/>
        </w:rPr>
        <w:t>Algorithmes réellement en jeu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Brique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Rôle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Faire vs consommer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Modèle **gravitaire** (principe Wilson 1971)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Estimer `trip_count` ∝ pop_i × jobs_j / f(distance)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**Implémenté** en SQL/Python de seed ; pas un SaaS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**Heuristiques M2**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Labels dortoir / pôle / mixte (médianes)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**Implémenté** (`keypoints.py`) — lisible en soutenance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**K-means** (centroïdes de zones)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Regroupement spatial optionnel / cible architecture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 petit (~16–40) ; sklearn **non** imposé dans l’image Docker minimale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Dijkstra **pgRouting**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Itinéraire A→B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**Consommer** la bibliothèque C/SQL, pas réécrire A*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Indice **M6**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`1 − \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E−H\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/(E+H)`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Formule maison documentée ; **pas** un 2SFCA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2SFCA (Luo &amp; Wang 2003)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Accessibilité aux emplois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**Écarté** : pas de temps de trajet emplois réels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DBSCAN / HDBSCAN (Ester 1996 et suite)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Clusters de traces GPS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**Écarté** : pas de traces ; n zones trop petit ; moins lisible pour un élu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p-médianes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Localisation de sites (M3)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**Reporté** avec M3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Pourquoi pas DBSCAN « parce que c’est plus scientifique ».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DBSCAN brille sur des nuages GPS bruités. Ici les objets sont des </w:t>
      </w:r>
      <w:r>
        <w:rPr>
          <w:rFonts w:ascii="Times New Roman" w:hAnsi="Times New Roman" w:eastAsia="Times New Roman"/>
          <w:b/>
          <w:i w:val="0"/>
          <w:sz w:val="24"/>
        </w:rPr>
        <w:t>zones déjà agrégées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Un clustering densité sur 16 polygones est du théâtre méthodologique. Les heuristiques sur médianes sont </w:t>
      </w:r>
      <w:r>
        <w:rPr>
          <w:rFonts w:ascii="Times New Roman" w:hAnsi="Times New Roman" w:eastAsia="Times New Roman"/>
          <w:b/>
          <w:i w:val="0"/>
          <w:sz w:val="24"/>
        </w:rPr>
        <w:t>évaluables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(on peut contester le seuil 0,38) ; un epsilon DBSCAN ne l’est pas par un élu.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Pourquoi pas un service d’IA générative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pour « recommander des sites ». Hors lot 1 (M3), coût, non-reproductibilité, et hallucination sur du spatial.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Protocole d’évaluation (lot 1)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smoke QA (bornes M6 ∈ [0,1], pas d’id individuels, LIMIT) ; silhouette K-means si clustering exposé ; lecture métier qualitative (top 5 OD). Pas de vérité terrain enquête — limite assumée.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comparatif briques + protocole d’évaluation.</w:t>
      </w:r>
    </w:p>
    <w:p>
      <w:pPr>
        <w:pStyle w:val="Heading1"/>
      </w:pPr>
      <w:r>
        <w:rPr>
          <w:color w:val="1E3C78"/>
        </w:rPr>
        <w:t>Axe 9 — Interopérabilité et intégration au SI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Constat.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 d’API métier préexistante, pas d’annuaire d’entreprise, pas de SSO. L’intégration, c’est </w:t>
      </w:r>
      <w:r>
        <w:rPr>
          <w:rFonts w:ascii="Times New Roman" w:hAnsi="Times New Roman" w:eastAsia="Times New Roman"/>
          <w:b/>
          <w:i w:val="0"/>
          <w:sz w:val="24"/>
        </w:rPr>
        <w:t>ouvrir le prototype vers des données et des fonds publics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Système externe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Mode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Stratégie de reprise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OpenStreetMap (PBF Geofabrik Madagascar)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Import batch osm2pgsql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Ré-import ; pas de CDC incremental au lot 1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Nominatim (recherche de ville)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HTTP GET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Presets locaux si 502 / rate-limit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Fond de carte Carto Voyager (OSM)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Tuiles raster HTTPS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Attribution OSM + CARTO ; repli visuel si CDN down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Matrice OD officielle (futur)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Import table `mobility_flows` pré-agrégée k ≥ 5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**Conçu pour** : le schéma ne stocke pas de `user_id`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GTFS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**Pas repris** : offre informelle Tana mal numérisée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MOBPRO / IRIS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**Pas repris** : référentiel français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Authentification centralisée : </w:t>
      </w:r>
      <w:r>
        <w:rPr>
          <w:rFonts w:ascii="Times New Roman" w:hAnsi="Times New Roman" w:eastAsia="Times New Roman"/>
          <w:b/>
          <w:i w:val="0"/>
          <w:sz w:val="24"/>
        </w:rPr>
        <w:t>absente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(axe 10). Reprise des données « existantes » = OSM + seed, pas une migration d’un entrepôt interne.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schéma d’intégration ci-dessus.</w:t>
      </w:r>
    </w:p>
    <w:p>
      <w:pPr>
        <w:pStyle w:val="Heading1"/>
      </w:pPr>
      <w:r>
        <w:rPr>
          <w:color w:val="1E3C78"/>
        </w:rPr>
        <w:t>Axe 10 — Sécurité et conformité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Référentiel : </w:t>
      </w:r>
      <w:r>
        <w:rPr>
          <w:rFonts w:ascii="Times New Roman" w:hAnsi="Times New Roman" w:eastAsia="Times New Roman"/>
          <w:b/>
          <w:i w:val="0"/>
          <w:sz w:val="24"/>
        </w:rPr>
        <w:t>OWASP Top 10:2025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(A01 contrôle d’accès cassé, A02 mauvaise config, A03 supply chain, A05 injection, A07 auth, A09 journalisation).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Risque OWASP 2025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Exposition du prototype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Mesure lot 1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Écart / repli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A01 Broken Access Control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API ouverte sur le LAN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Démo **réseau contrôlé** ; pas d’Internet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JWT + RBAC en prod réelle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A02 Misconfiguration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Swagger exposé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`APP_ENV=production` → `/docs` off ; CORS **sans** `*`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A03 Supply chain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Images Docker + pip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Versions pinnées (`requirements.txt`) ; scan CVE reporté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`pip-audit` en CI future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A05 Injection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Requêtes spatiales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SQL `text()` + paramètres nommés ; pas de concat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A07 Auth failures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d’auth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Accepté en démo ; **bloquant** hors localhost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Backlog JWT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A09 Logging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Accès OD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Logs d’accès **sans** dump des couplets nominatifs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Secrets : variables </w:t>
      </w:r>
      <w:r>
        <w:rPr>
          <w:rFonts w:ascii="Consolas" w:hAnsi="Consolas" w:eastAsia="Consolas"/>
          <w:b w:val="0"/>
          <w:i w:val="0"/>
          <w:sz w:val="20"/>
        </w:rPr>
        <w:t>DB_*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gitignored. Headers nginx (</w:t>
      </w:r>
      <w:r>
        <w:rPr>
          <w:rFonts w:ascii="Consolas" w:hAnsi="Consolas" w:eastAsia="Consolas"/>
          <w:b w:val="0"/>
          <w:i w:val="0"/>
          <w:sz w:val="20"/>
        </w:rPr>
        <w:t>X-Content-Type-Options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X-Frame-Options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Referrer-Policy</w:t>
      </w:r>
      <w:r>
        <w:rPr>
          <w:rFonts w:ascii="Times New Roman" w:hAnsi="Times New Roman" w:eastAsia="Times New Roman"/>
          <w:b w:val="0"/>
          <w:i w:val="0"/>
          <w:sz w:val="24"/>
        </w:rPr>
        <w:t>). Méthodes CORS limitées à GET/OPTIONS.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Habilitations lot 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 seul rôle implicite : lecteur. Matrice prod cible : urbaniste (lecture) / admin (seed, villes) — non implémentée.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checklist </w:t>
      </w:r>
      <w:r>
        <w:rPr>
          <w:rFonts w:ascii="Consolas" w:hAnsi="Consolas" w:eastAsia="Consolas"/>
          <w:b w:val="0"/>
          <w:i w:val="0"/>
          <w:sz w:val="20"/>
        </w:rPr>
        <w:t>docs/securite-rgpd.md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(preuve projet).</w:t>
      </w:r>
    </w:p>
    <w:p>
      <w:pPr>
        <w:pStyle w:val="Heading1"/>
      </w:pPr>
      <w:r>
        <w:rPr>
          <w:color w:val="1E3C78"/>
        </w:rPr>
        <w:t>Axe 11 — Performance et passage à l’échelle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Opération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Seuil acceptable (décideur devant la carte)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Mitigation réelle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Couches OSM bbox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&lt; 2 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Index gist / `&amp;&amp;`, LIMIT, zoom ≥ 11, debounce 450 ms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Search lieu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&lt; 500 ms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`ILIKE` + LIMIT 20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Route A→B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&lt; 3 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Dijkstra sur **sous-graphe**, pas tout Madagascar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OD / M2 / M6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&lt; 2 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 zones petit, agrégats SQL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Carte tuiles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Core Web Vitals secondaires (app interne)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Raster 256 px, pas un site marketing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Si la charge × 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(plusieurs villes, milliers d’IRIS) : le goulot probable est le </w:t>
      </w:r>
      <w:r>
        <w:rPr>
          <w:rFonts w:ascii="Times New Roman" w:hAnsi="Times New Roman" w:eastAsia="Times New Roman"/>
          <w:b/>
          <w:i w:val="0"/>
          <w:sz w:val="24"/>
        </w:rPr>
        <w:t>GeoJSON bâtiments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 zoom trop faible, puis Dijkstra. Repli : MVT, cache, jobs async. </w:t>
      </w:r>
      <w:r>
        <w:rPr>
          <w:rFonts w:ascii="Times New Roman" w:hAnsi="Times New Roman" w:eastAsia="Times New Roman"/>
          <w:b/>
          <w:i w:val="0"/>
          <w:sz w:val="24"/>
        </w:rPr>
        <w:t>Non implémenté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risque résiduel accepté (prototype, pas SaaS).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Connexion dégradée.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Tuiles Carto et Nominatim souffrent. L’analytique (zones OD) tient si l’API locale tourne.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Tests de charge JMeter/k6 : </w:t>
      </w:r>
      <w:r>
        <w:rPr>
          <w:rFonts w:ascii="Times New Roman" w:hAnsi="Times New Roman" w:eastAsia="Times New Roman"/>
          <w:b/>
          <w:i w:val="0"/>
          <w:sz w:val="24"/>
        </w:rPr>
        <w:t>non faits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(88 j). Protocole retenu : smoke fonctionnel reproductible (</w:t>
      </w:r>
      <w:r>
        <w:rPr>
          <w:rFonts w:ascii="Consolas" w:hAnsi="Consolas" w:eastAsia="Consolas"/>
          <w:b w:val="0"/>
          <w:i w:val="0"/>
          <w:sz w:val="20"/>
        </w:rPr>
        <w:t>smoke_mvp_qa.py</w:t>
      </w:r>
      <w:r>
        <w:rPr>
          <w:rFonts w:ascii="Times New Roman" w:hAnsi="Times New Roman" w:eastAsia="Times New Roman"/>
          <w:b w:val="0"/>
          <w:i w:val="0"/>
          <w:sz w:val="24"/>
        </w:rPr>
        <w:t>), pas un rapport 10 000 VU.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exigences chiffrées + mitigation ; protocole de charge reporté.</w:t>
      </w:r>
    </w:p>
    <w:p>
      <w:pPr>
        <w:pStyle w:val="Heading1"/>
      </w:pPr>
      <w:r>
        <w:rPr>
          <w:color w:val="1E3C78"/>
        </w:rPr>
        <w:t>Axe 12 — Qualité logicielle et stratégie de test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Référentiel ISO/IEC 25010 (aptitude fonctionnelle, fiabilité, maintenabilité, sécurité) — utilisé comme </w:t>
      </w:r>
      <w:r>
        <w:rPr>
          <w:rFonts w:ascii="Times New Roman" w:hAnsi="Times New Roman" w:eastAsia="Times New Roman"/>
          <w:b/>
          <w:i w:val="0"/>
          <w:sz w:val="24"/>
        </w:rPr>
        <w:t>checklist</w:t>
      </w:r>
      <w:r>
        <w:rPr>
          <w:rFonts w:ascii="Times New Roman" w:hAnsi="Times New Roman" w:eastAsia="Times New Roman"/>
          <w:b w:val="0"/>
          <w:i w:val="0"/>
          <w:sz w:val="24"/>
        </w:rPr>
        <w:t>, pas comme certification.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Type de test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Lot 1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Couverture réaliste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Smoke API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**Oui** (`smoke_mvp_qa.py`, 19 puis 24 cas selon millésime)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Tous les Must exposés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Unitaire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Ponctuel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d’objectif 80 % : trop coûteux vs démo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E2E navigateur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Checklist manuelle runbook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Cypress/Playwright (temps)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Analyse statique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ESLint front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SonarQube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Revue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Auto-revue + tuteur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de CI GitHub Actions industrielle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Documentation de reprise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README.md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docs/runbook.md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docs/methodes.md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docs/architecture.md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.env.example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C’est le vrai livrable qualité d’un stage solo : </w:t>
      </w:r>
      <w:r>
        <w:rPr>
          <w:rFonts w:ascii="Times New Roman" w:hAnsi="Times New Roman" w:eastAsia="Times New Roman"/>
          <w:b/>
          <w:i w:val="0"/>
          <w:sz w:val="24"/>
        </w:rPr>
        <w:t>pouvoir relancer sans le stagiaire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stratégie de test ci-dessus.</w:t>
      </w:r>
    </w:p>
    <w:p>
      <w:pPr>
        <w:pStyle w:val="Heading1"/>
      </w:pPr>
      <w:r>
        <w:rPr>
          <w:color w:val="1E3C78"/>
        </w:rPr>
        <w:t>Axe 13 — Déploiement et exploitation</w:t>
      </w:r>
    </w:p>
    <w:p>
      <w:pPr>
        <w:spacing w:after="200"/>
      </w:pPr>
      <w:r>
        <w:rPr>
          <w:rFonts w:ascii="Consolas" w:hAnsi="Consolas" w:eastAsia="Consolas"/>
          <w:b w:val="0"/>
          <w:i w:val="0"/>
          <w:sz w:val="18"/>
        </w:rPr>
        <w:t>Git → build images Docker → compose up</w:t>
        <w:br/>
        <w:t xml:space="preserve">        ├─ db (volume persisté mobilite_postgis_data)</w:t>
        <w:br/>
        <w:t xml:space="preserve">        ├─ backend uvicorn :8000</w:t>
        <w:br/>
        <w:t xml:space="preserve">        └─ frontend nginx :8080</w:t>
        <w:br/>
        <w:t>Seed OD → smoke → démo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Sujet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Choix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Écarté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Hébergement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**On-premise / laptop** Docker Desktop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AWS/GCP/Azure (coût USD, carte bancaire, latence)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CI/CD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Scripts manuels documentés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GitHub Actions + prod auto (pas d’environnement cible)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Sauvegarde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`scripts/backup_postgis.ps1` / `.sh` → `backups/` gitignored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S3, PITR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Restauration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Recréer le volume + ré-import OSM + seed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Testée comme **procédure écrite** ; un restore fire-drill complet dépend de la machine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Supervision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`docker compose ps` + `/health`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Prometheus (sur-ingénierie)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Rollback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Redeploy image précédente / git checkout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Blue-green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Qui exploite après le stage ? Le tuteur ou le prochain étudiant, </w:t>
      </w:r>
      <w:r>
        <w:rPr>
          <w:rFonts w:ascii="Times New Roman" w:hAnsi="Times New Roman" w:eastAsia="Times New Roman"/>
          <w:b/>
          <w:i w:val="0"/>
          <w:sz w:val="24"/>
        </w:rPr>
        <w:t>localement</w:t>
      </w:r>
      <w:r>
        <w:rPr>
          <w:rFonts w:ascii="Times New Roman" w:hAnsi="Times New Roman" w:eastAsia="Times New Roman"/>
          <w:b w:val="0"/>
          <w:i w:val="0"/>
          <w:sz w:val="24"/>
        </w:rPr>
        <w:t>. Ce n’est pas un service 24/7.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chaîne Compose + backup documenté.</w:t>
      </w:r>
    </w:p>
    <w:p>
      <w:pPr>
        <w:pStyle w:val="Title"/>
      </w:pPr>
      <w:r>
        <w:rPr>
          <w:color w:val="1E3C78"/>
        </w:rPr>
        <w:t>Bloc D — Contraintes de réalisation et de valeur</w:t>
      </w:r>
    </w:p>
    <w:p>
      <w:pPr>
        <w:pStyle w:val="Heading1"/>
      </w:pPr>
      <w:r>
        <w:rPr>
          <w:color w:val="1E3C78"/>
        </w:rPr>
        <w:t>Axe 14 — Contexte local et faisabilité terrain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Antananarivo : congestion, urbanisation rapide, </w:t>
      </w:r>
      <w:r>
        <w:rPr>
          <w:rFonts w:ascii="Times New Roman" w:hAnsi="Times New Roman" w:eastAsia="Times New Roman"/>
          <w:b/>
          <w:i w:val="0"/>
          <w:sz w:val="24"/>
        </w:rPr>
        <w:t>transport largement informel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(taxis-be) peu présent en GTFS. Une copie d’un pipeline Île-de-France (IRIS + MOBPRO + GTFS RATP) </w:t>
      </w:r>
      <w:r>
        <w:rPr>
          <w:rFonts w:ascii="Times New Roman" w:hAnsi="Times New Roman" w:eastAsia="Times New Roman"/>
          <w:b/>
          <w:i w:val="0"/>
          <w:sz w:val="24"/>
        </w:rPr>
        <w:t>ne se déploie pas</w:t>
      </w:r>
      <w:r>
        <w:rPr>
          <w:rFonts w:ascii="Times New Roman" w:hAnsi="Times New Roman" w:eastAsia="Times New Roman"/>
          <w:b w:val="0"/>
          <w:i w:val="0"/>
          <w:sz w:val="24"/>
        </w:rPr>
        <w:t>. OSM est la seule base cartographique libre suffisamment dense pour un prototype.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Connectivité et électricité.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Coupures et débit irrégulier. Conséquences de conception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Contrainte locale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Choix induit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Facture API Google Maps / Mapbox en devises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Fond **OSM + Carto CDN** ; pas de clé payante obligatoire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Cloud USD/EUR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**Pas de cloud** au lot 1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Internet intermittent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Démo **entièrement locale** une fois images + OSM importés ; Nominatim / tuiles = dépendance résiduelle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PC de bureau décideur, pas smartphone grand public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SPA desktop, pas d’app Flutter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Compétences Python/SQL plus fréquentes qu’ArcPy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Stack retenue (axe 6)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Maintenance « sur place »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Compose + docs FR, pas un cluster EKS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Offline-first complet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(tuiles empaquetées, service worker) : non livré. C’est un </w:t>
      </w:r>
      <w:r>
        <w:rPr>
          <w:rFonts w:ascii="Times New Roman" w:hAnsi="Times New Roman" w:eastAsia="Times New Roman"/>
          <w:b/>
          <w:i w:val="0"/>
          <w:sz w:val="24"/>
        </w:rPr>
        <w:t>écart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par rapport à un idéal axe 14. Le repli concret est : copier le dossier Docker + dump PostGIS sur une clé, lancer hors-ligne </w:t>
      </w:r>
      <w:r>
        <w:rPr>
          <w:rFonts w:ascii="Times New Roman" w:hAnsi="Times New Roman" w:eastAsia="Times New Roman"/>
          <w:b/>
          <w:i w:val="0"/>
          <w:sz w:val="24"/>
        </w:rPr>
        <w:t>sauf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fond raster Carto (fond gris acceptable en soutenance si le CDN tombe — plan B captures).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contraintes de conception (tableau).</w:t>
      </w:r>
    </w:p>
    <w:p>
      <w:pPr>
        <w:pStyle w:val="Heading1"/>
      </w:pPr>
      <w:r>
        <w:rPr>
          <w:color w:val="1E3C78"/>
        </w:rPr>
        <w:t>Axe 15 — Conduite de projet et organisation du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Élément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Retenu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Écarté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Motif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Cycle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**Itératif type Kanban / lots Must** (pas un Scrum 8 personnes)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Scrum cérémonial complet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stagiaire : daily avec soi-même = théâtre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Priorisation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**MoSCoW** (Must M1/M2/M5/M6)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Cycle en V figé 88 j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 CDC trop large (M3/M4) devait pouvoir **rétrécir**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Modélisation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Schémas C4 légers, tables SQL, GeoJSON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Merise complet, 40 diagrammes UML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Rapport lisible, pas un dossier Afnor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Versions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**Git**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Copies datées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Reprise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Jalons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Cadrage → socle carte → OD/KPI → M2/M6 → Docker/sécu → docs soutenance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 Tout le CDC »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Temps manquant → M3/M4 **écrits** au rapport, pas codés</w:t>
            </w:r>
          </w:p>
        </w:tc>
      </w:tr>
      <w:tr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Validation tuteur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Démo carte + smoke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Spécification gelée J1</w:t>
            </w:r>
          </w:p>
        </w:tc>
        <w:tc>
          <w:tcPr>
            <w:tcW w:type="dxa" w:w="2351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Preuve dans `docs/qa-rapport.md`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Périmètre minimal viable identifié dès le cadrage : </w:t>
      </w:r>
      <w:r>
        <w:rPr>
          <w:rFonts w:ascii="Times New Roman" w:hAnsi="Times New Roman" w:eastAsia="Times New Roman"/>
          <w:b/>
          <w:i w:val="0"/>
          <w:sz w:val="24"/>
        </w:rPr>
        <w:t>carte + desire lines + labels + indice + démo reproductible</w:t>
      </w:r>
      <w:r>
        <w:rPr>
          <w:rFonts w:ascii="Times New Roman" w:hAnsi="Times New Roman" w:eastAsia="Times New Roman"/>
          <w:b w:val="0"/>
          <w:i w:val="0"/>
          <w:sz w:val="24"/>
        </w:rPr>
        <w:t>. C’est exactement ce que la grille demande : « que livrer si le temps manque ? »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démarche + MVP.</w:t>
      </w:r>
    </w:p>
    <w:p>
      <w:pPr>
        <w:pStyle w:val="Heading1"/>
      </w:pPr>
      <w:r>
        <w:rPr>
          <w:color w:val="1E3C78"/>
        </w:rPr>
        <w:t>Axe 16 — Coûts, licences et soutenabilité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Coût total de possession sur 3 ans (ordre de grandeur, prototype interne).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Poste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Lot 1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Si l’on avait choisi l’alternative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Licences logicielles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 0 € (stack libre + OSM)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ArcGIS / Google Maps : centaines à milliers €/an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Cloud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0 €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20–200 €/mois selon VM + bande passante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Fond de carte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0 € (Carto public tiles — usage raisonnable ; pas un SLA)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Mapbox : quota puis facture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Main d’œuvre reprise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Quelques jours/an (ré-import OSM, seed)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Idem + admin licences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Données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OSM (temps d’import)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Enquête OD : plusieurs mois et un budget collectivité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Propriété intellectuelle.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Code du stage : selon convention de stage (à rappeler dans le mémoire administratif). Données OSM : ODbL. </w:t>
      </w:r>
      <w:r>
        <w:rPr>
          <w:rFonts w:ascii="Times New Roman" w:hAnsi="Times New Roman" w:eastAsia="Times New Roman"/>
          <w:b/>
          <w:i w:val="0"/>
          <w:sz w:val="24"/>
        </w:rPr>
        <w:t>Ne pas publier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 dump qui mélangerait un jour des données internes du commanditaire.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Qui finance la maintenance ?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Personne n’a budgété un SaaS. D’où l’obsession du </w:t>
      </w:r>
      <w:r>
        <w:rPr>
          <w:rFonts w:ascii="Times New Roman" w:hAnsi="Times New Roman" w:eastAsia="Times New Roman"/>
          <w:b/>
          <w:i w:val="0"/>
          <w:sz w:val="24"/>
        </w:rPr>
        <w:t>zéro abonnement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TCO qualitatif ci-dessus (pas de devis fournisseur signé : N/A).</w:t>
      </w:r>
    </w:p>
    <w:p>
      <w:pPr>
        <w:pStyle w:val="Heading1"/>
      </w:pPr>
      <w:r>
        <w:rPr>
          <w:color w:val="1E3C78"/>
        </w:rPr>
        <w:t>Axe 17 — Protection des données et cadre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Question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Réponse MVP (1er septembre 2026)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Données personnelles traitées ?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**Non** : OSM public + volumes **synthétiques** agrégés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Base légale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N/A tant que pas de personnes identifiables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Minimisation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Schéma sans `user_id` / `trip_id` / GPS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k-anonymité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Plancher API k = 5 (`privacy.py`) ; défaut UI = 20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Localisation des données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Laptop / Docker local — **pas de cloud extra-UE imposé**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Durée de conservation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Seed reproductible ; pas d’historique usager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Confidentialité commanditaire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de secret d’entreprise dans le repo ; mot de passe DB hors Git</w:t>
            </w:r>
          </w:p>
        </w:tc>
      </w:tr>
    </w:tbl>
    <w:p/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Si demain une OD réelle arrive.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N’importer que des comptes </w:t>
      </w:r>
      <w:r>
        <w:rPr>
          <w:rFonts w:ascii="Times New Roman" w:hAnsi="Times New Roman" w:eastAsia="Times New Roman"/>
          <w:b/>
          <w:i w:val="0"/>
          <w:sz w:val="24"/>
        </w:rPr>
        <w:t>pré-agrégés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 ≥ 5. Jamais de traces individuelles. AIPD / registre à faire </w:t>
      </w:r>
      <w:r>
        <w:rPr>
          <w:rFonts w:ascii="Times New Roman" w:hAnsi="Times New Roman" w:eastAsia="Times New Roman"/>
          <w:b/>
          <w:i w:val="0"/>
          <w:sz w:val="24"/>
        </w:rPr>
        <w:t>avant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l’import (loi 2014-038, et RGPD si rattachement UE).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Quoi publier dans le mémoire.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Captures d’écran de </w:t>
      </w:r>
      <w:r>
        <w:rPr>
          <w:rFonts w:ascii="Times New Roman" w:hAnsi="Times New Roman" w:eastAsia="Times New Roman"/>
          <w:b/>
          <w:i w:val="0"/>
          <w:sz w:val="24"/>
        </w:rPr>
        <w:t>données synthétiques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ou OSM ; pas de fichier nominatif. Formules et architecture : publiables.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Textes : loi n° 2014-038 ; lignes directrices CNIL géolocalisation ; RGPD art. 5 (minimisation) comme </w:t>
      </w:r>
      <w:r>
        <w:rPr>
          <w:rFonts w:ascii="Times New Roman" w:hAnsi="Times New Roman" w:eastAsia="Times New Roman"/>
          <w:b/>
          <w:i w:val="0"/>
          <w:sz w:val="24"/>
        </w:rPr>
        <w:t>boussole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même hors champ strict.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cadre juridique + règles de publication du mémoire.</w:t>
      </w:r>
    </w:p>
    <w:p>
      <w:pPr>
        <w:pStyle w:val="Heading1"/>
      </w:pPr>
      <w:r>
        <w:rPr>
          <w:color w:val="1E3C78"/>
        </w:rPr>
        <w:t>Axe 18 — Sobriété numérique et écoconception *(optionnel)*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Traité brièvement : le sujet s’y prête (carte web) mais n’est pas le cœur du CDC.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Principes retenus, alignés RGESN / GreenIT (esprit, pas un audit) 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Ne pas charger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 bâti OSM avant le zoom 11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LIMIT serveur plutôt que tout envoyer au navigateur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pas de vidéo de fond, pas de framework CSS énorme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Dijkstra borné spatialement (CPU)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pas de cluster GPU / modèle de deep learning.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Indicateur suivi : temps de réponse et taille de FeatureCollection (LIMIT), pas de kgCO₂ mesuré. Matériel ancien : SPA React 19 peut être lourde sur un PC 2015 — </w:t>
      </w:r>
      <w:r>
        <w:rPr>
          <w:rFonts w:ascii="Times New Roman" w:hAnsi="Times New Roman" w:eastAsia="Times New Roman"/>
          <w:b/>
          <w:i w:val="0"/>
          <w:sz w:val="24"/>
        </w:rPr>
        <w:t>écart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; le public cible a un poste de travail correct.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Livrable de l’axe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principes + non-mesuré assumé.</w:t>
      </w:r>
    </w:p>
    <w:p>
      <w:pPr>
        <w:pStyle w:val="Title"/>
      </w:pPr>
      <w:r>
        <w:rPr>
          <w:color w:val="1E3C78"/>
        </w:rPr>
        <w:t>Bloc E — Synthèse et décision</w:t>
      </w:r>
    </w:p>
    <w:p>
      <w:pPr>
        <w:pStyle w:val="Heading1"/>
      </w:pPr>
      <w:r>
        <w:rPr>
          <w:color w:val="1E3C78"/>
        </w:rPr>
        <w:t>Axe 19 — Synthèse comparative et justification des choix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C’est l’axe que le jury note le plus sévèrement. Les choix ne sont pas « les technologies à la mode », ils relient </w:t>
      </w:r>
      <w:r>
        <w:rPr>
          <w:rFonts w:ascii="Times New Roman" w:hAnsi="Times New Roman" w:eastAsia="Times New Roman"/>
          <w:b/>
          <w:i w:val="0"/>
          <w:sz w:val="24"/>
        </w:rPr>
        <w:t>besoin du commanditaire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88 jours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Madagascar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et </w:t>
      </w:r>
      <w:r>
        <w:rPr>
          <w:rFonts w:ascii="Times New Roman" w:hAnsi="Times New Roman" w:eastAsia="Times New Roman"/>
          <w:b/>
          <w:i w:val="0"/>
          <w:sz w:val="24"/>
        </w:rPr>
        <w:t>reprise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rPr>
          <w:color w:val="2E5A9C"/>
        </w:rPr>
        <w:t>Matrice de décision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Décision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Retenu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Principal concurrent écarté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Critère décisif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Risque résiduel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E3C78"/>
                <w:sz w:val="18"/>
              </w:rPr>
              <w:t>Plan de repli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Positionnement produit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Aide à la décision agrégée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App GPS / trafic live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CDC + personas élu/urbaniste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On peut être comparé à Google Maps à l’oral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Phrase d’ouverture : « ce n’est pas un GPS »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Faire vs acheter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Prototype dédié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ArcGIS / Carto SaaS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Coût, Madagascar, pédagogie, règles M2/M6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Moins « beau » qu’un SaaS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QGIS en complément expert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conteneurs, monolithe modulaire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Microservices / Kafka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personne, 88 j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Montée en charge limitée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MVT / split plus tard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FastAPI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Django / Node / Spring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CDC Python, OpenAPI, geo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Écosystème JS full-stack non unifié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Carte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MapLibre + tuiles Carto OSM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Mapbox payant / Leaflet seul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Licence + perf + pas de token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CDN tuiles = Internet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Captures ; fond gris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Données OD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Gravité OSM + disclaimer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MOBPRO / traces GPS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Disponibilité Tana + RGPD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Volumes **non opérationnels**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Brancher une matrice pré-agrégée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M2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Heuristiques médianes (+ clustering spatial simple)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DBSCAN sur GPS, HDBSCAN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Lisibilité élu, n petit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Seuils discutables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Recaler les seuils avec un urbaniste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M6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Indice intra-zone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2SFCA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de temps/emplois réels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Ignore l’accès aux zones voisines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2SFCA en perspective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M3 / M4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Reportés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Tout coder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MoSCoW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CDC incomplet vis-à-vis de la vision longue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Écrits au rapport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Reportée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JWT J1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Temps + démo locale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A01 OWASP si exposition Internet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Ne pas ouvrir les ports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Hébergement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Docker local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Cloud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Devises, reprise, axe 14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 de SLA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Clé USB + Compose</w:t>
            </w:r>
          </w:p>
        </w:tc>
      </w:tr>
      <w:tr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Qualité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Smoke + docs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Couverture 80 % + k6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Budget temps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Régressions UI</w:t>
            </w:r>
          </w:p>
        </w:tc>
        <w:tc>
          <w:tcPr>
            <w:tcW w:type="dxa" w:w="1568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Checklist J-1</w:t>
            </w:r>
          </w:p>
        </w:tc>
      </w:tr>
    </w:tbl>
    <w:p/>
    <w:p>
      <w:pPr>
        <w:pStyle w:val="Heading2"/>
      </w:pPr>
      <w:r>
        <w:rPr>
          <w:color w:val="2E5A9C"/>
        </w:rPr>
        <w:t>Fil conducteur (à dire en une minute)</w:t>
      </w:r>
    </w:p>
    <w:p>
      <w:pPr>
        <w:spacing w:after="200" w:before="0" w:line="360" w:lineRule="auto"/>
        <w:ind w:firstLine="0" w:left="567"/>
      </w:pPr>
      <w:r>
        <w:rPr>
          <w:rFonts w:ascii="Times New Roman" w:hAnsi="Times New Roman" w:eastAsia="Times New Roman"/>
          <w:b w:val="0"/>
          <w:i/>
          <w:sz w:val="24"/>
        </w:rPr>
        <w:t xml:space="preserve">On n’a pas choisi PostGIS « parce que c’est un SIG ». On l’a choisi parce que le commanditaire veut des </w:t>
      </w:r>
      <w:r>
        <w:rPr>
          <w:rFonts w:ascii="Times New Roman" w:hAnsi="Times New Roman" w:eastAsia="Times New Roman"/>
          <w:b/>
          <w:i/>
          <w:sz w:val="24"/>
        </w:rPr>
        <w:t>requêtes spatiales et un plus court chemin</w:t>
      </w:r>
      <w:r>
        <w:rPr>
          <w:rFonts w:ascii="Times New Roman" w:hAnsi="Times New Roman" w:eastAsia="Times New Roman"/>
          <w:b w:val="0"/>
          <w:i/>
          <w:sz w:val="24"/>
        </w:rPr>
        <w:t xml:space="preserve"> sans moteur externe, que l’équipe de reprise sait du SQL, et qu’on ne paie pas de licence. On n’a pas choisi un modèle gravitaire « parce que Wilson 1971 est célèbre ». On l’a choisi parce qu’</w:t>
      </w:r>
      <w:r>
        <w:rPr>
          <w:rFonts w:ascii="Times New Roman" w:hAnsi="Times New Roman" w:eastAsia="Times New Roman"/>
          <w:b/>
          <w:i/>
          <w:sz w:val="24"/>
        </w:rPr>
        <w:t>aucune enquête OD</w:t>
      </w:r>
      <w:r>
        <w:rPr>
          <w:rFonts w:ascii="Times New Roman" w:hAnsi="Times New Roman" w:eastAsia="Times New Roman"/>
          <w:b w:val="0"/>
          <w:i/>
          <w:sz w:val="24"/>
        </w:rPr>
        <w:t xml:space="preserve"> n’était disponible à Antananarivo dans le délai, et que le schéma reste prêt pour une vraie matrice agrégée. On n’a pas écarté DBSCAN par ignorance : on n’a </w:t>
      </w:r>
      <w:r>
        <w:rPr>
          <w:rFonts w:ascii="Times New Roman" w:hAnsi="Times New Roman" w:eastAsia="Times New Roman"/>
          <w:b/>
          <w:i/>
          <w:sz w:val="24"/>
        </w:rPr>
        <w:t>pas de traces GPS</w:t>
      </w:r>
      <w:r>
        <w:rPr>
          <w:rFonts w:ascii="Times New Roman" w:hAnsi="Times New Roman" w:eastAsia="Times New Roman"/>
          <w:b w:val="0"/>
          <w:i/>
          <w:sz w:val="24"/>
        </w:rPr>
        <w:t xml:space="preserve"> à clusteriser. On n’a pas écarté le cloud par idéologie : un abonnement en devises </w:t>
      </w:r>
      <w:r>
        <w:rPr>
          <w:rFonts w:ascii="Times New Roman" w:hAnsi="Times New Roman" w:eastAsia="Times New Roman"/>
          <w:b/>
          <w:i/>
          <w:sz w:val="24"/>
        </w:rPr>
        <w:t>tuerait</w:t>
      </w:r>
      <w:r>
        <w:rPr>
          <w:rFonts w:ascii="Times New Roman" w:hAnsi="Times New Roman" w:eastAsia="Times New Roman"/>
          <w:b w:val="0"/>
          <w:i/>
          <w:sz w:val="24"/>
        </w:rPr>
        <w:t xml:space="preserve"> la soutenabilité après le stage.</w:t>
      </w:r>
    </w:p>
    <w:p>
      <w:pPr>
        <w:pStyle w:val="Heading2"/>
      </w:pPr>
      <w:r>
        <w:rPr>
          <w:color w:val="2E5A9C"/>
        </w:rPr>
        <w:t>Risques acceptés en connaissance de cause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1. Fidélité des volumes OD (proxy).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2. Absence d’authentification.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3. Dépendance tuiles / Nominatim au réseau.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4. OSM incomplet (bus informels).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5. Indice M6 intra-zone seulement.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6. Pas de tests de charge instrumentés.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Aucun de ces risques n’est caché : ils sont dans l’UI (</w:t>
      </w:r>
      <w:r>
        <w:rPr>
          <w:rFonts w:ascii="Consolas" w:hAnsi="Consolas" w:eastAsia="Consolas"/>
          <w:b w:val="0"/>
          <w:i w:val="0"/>
          <w:sz w:val="20"/>
        </w:rPr>
        <w:t>synthetic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notes M6) et dans </w:t>
      </w:r>
      <w:r>
        <w:rPr>
          <w:rFonts w:ascii="Consolas" w:hAnsi="Consolas" w:eastAsia="Consolas"/>
          <w:b w:val="0"/>
          <w:i w:val="0"/>
          <w:sz w:val="20"/>
        </w:rPr>
        <w:t>docs/methodes.md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rPr>
          <w:color w:val="1E3C78"/>
        </w:rPr>
        <w:t>Conclusion du chapitre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L’état de l’art d’un stage M2 n’est pas une collection de définitions *smart city*. C’est une </w:t>
      </w:r>
      <w:r>
        <w:rPr>
          <w:rFonts w:ascii="Times New Roman" w:hAnsi="Times New Roman" w:eastAsia="Times New Roman"/>
          <w:b/>
          <w:i w:val="0"/>
          <w:sz w:val="24"/>
        </w:rPr>
        <w:t>veille datée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qui aboutit à un système </w:t>
      </w:r>
      <w:r>
        <w:rPr>
          <w:rFonts w:ascii="Times New Roman" w:hAnsi="Times New Roman" w:eastAsia="Times New Roman"/>
          <w:b/>
          <w:i w:val="0"/>
          <w:sz w:val="24"/>
        </w:rPr>
        <w:t>maintenable à Madagascar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conforme à un CDC trop large qu’on a volontairement coupé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et </w:t>
      </w:r>
      <w:r>
        <w:rPr>
          <w:rFonts w:ascii="Times New Roman" w:hAnsi="Times New Roman" w:eastAsia="Times New Roman"/>
          <w:b/>
          <w:i w:val="0"/>
          <w:sz w:val="24"/>
        </w:rPr>
        <w:t>honnête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sur ce que les chiffres représentent.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Les travaux personnels (implémentation, démo, mesures QA, limites) commencent </w:t>
      </w:r>
      <w:r>
        <w:rPr>
          <w:rFonts w:ascii="Times New Roman" w:hAnsi="Times New Roman" w:eastAsia="Times New Roman"/>
          <w:b/>
          <w:i w:val="0"/>
          <w:sz w:val="24"/>
        </w:rPr>
        <w:t>après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ce chapitre — et doivent en occuper la plus grande part du mémoire.</w:t>
      </w:r>
    </w:p>
    <w:p>
      <w:pPr>
        <w:pStyle w:val="Title"/>
      </w:pPr>
      <w:r>
        <w:rPr>
          <w:color w:val="1E3C78"/>
        </w:rPr>
        <w:t>Bibliographie et webographie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Dates de consultation des URL : </w:t>
      </w:r>
      <w:r>
        <w:rPr>
          <w:rFonts w:ascii="Times New Roman" w:hAnsi="Times New Roman" w:eastAsia="Times New Roman"/>
          <w:b/>
          <w:i w:val="0"/>
          <w:sz w:val="24"/>
        </w:rPr>
        <w:t>1er septembre 2026</w:t>
      </w:r>
      <w:r>
        <w:rPr>
          <w:rFonts w:ascii="Times New Roman" w:hAnsi="Times New Roman" w:eastAsia="Times New Roman"/>
          <w:b w:val="0"/>
          <w:i w:val="0"/>
          <w:sz w:val="24"/>
        </w:rPr>
        <w:t>, sauf mention.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1. *Grille d’analyse pour l’état de l’art — Projet informatique de stage, Master 2 professionnel*. Document de consignes (20 axes). Consulté le 1er septembre 2026.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2. Spécification du stage *Mobilité urbaine* et *Vision produit Mobilité Urbaine* (cadrage interne). 2026.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3. OpenStreetMap Foundation. *Open Database License (ODbL) 1.0*. https://opendatacommons.org/licenses/odbl/ — licence des données cartographiques utilisées.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4. FastAPI. *Documentation*. https://fastapi.tiangolo.com/ — éditeur ; biais : promotion du framework.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5. PostgreSQL Global Development Group / PostGIS. *PostGIS documentation*. https://postgis.net/documentation/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6. pgRouting Community. *pgRouting documentation* (Dijkstra). https://docs.pgrouting.org/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7. MapLibre. *MapLibre GL JS*. https://maplibre.org/ — fork libre ; contexte : Mapbox GL JS n’est plus 100 % open source depuis 2020 (biais historique Mapbox).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8. osm2pgsql. *Documentation*. https://osm2pgsql.org/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9. Geofabrik. *Download server* (extracts OSM Madagascar). https://download.geofabrik.de/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10. OpenStreetMap Nominatim. *Usage policy*. https://operations.osmfoundation.org/policies/nominatim/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11. OWASP. *OWASP Top 10:2025*. https://owasp.org/Top10/2025/ (publication novembre 2025).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12. CNIL. Guides et fiches sur la géolocalisation et le RGPD. https://www.cnil.fr/ — autorité ; pas un éditeur logiciel.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13. République de Madagascar. *Loi n° 2014-038* relative à la protection des données à caractère personnel ; textes CMIL.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14. Règlement (UE) 2016/679 (RGPD), notamment art. 5 (minimisation).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15. Wilson, A. G. (1971). *A family of spatial interaction models, and associated developments*. Environment and Planning. — </w:t>
      </w:r>
      <w:r>
        <w:rPr>
          <w:rFonts w:ascii="Times New Roman" w:hAnsi="Times New Roman" w:eastAsia="Times New Roman"/>
          <w:b/>
          <w:i w:val="0"/>
          <w:sz w:val="24"/>
        </w:rPr>
        <w:t>principe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du modèle gravitaire ; source ancienne, citée comme fondement, pas comme « état 2026 ».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16. Luo, W. &amp; Wang, F. (2003). *Measures of spatial accessibility to health care in a GIS environment: synthesis and a case study in the Chicago region*. Environment and Planning B. — 2SFCA ; </w:t>
      </w:r>
      <w:r>
        <w:rPr>
          <w:rFonts w:ascii="Times New Roman" w:hAnsi="Times New Roman" w:eastAsia="Times New Roman"/>
          <w:b/>
          <w:i w:val="0"/>
          <w:sz w:val="24"/>
        </w:rPr>
        <w:t>écarté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 lot 1.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17. Sweeney, L. (2002). *k-anonymity: a model for protecting privacy*. International Journal of Uncertainty, Fuzziness and Knowledge-Based Systems.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18. Ester, M., Kriegel, H.-P., Sander, J. &amp; Xu, X. (1996). *A density-based algorithm for discovering clusters in large spatial databases with noise* (DBSCAN). KDD. — </w:t>
      </w:r>
      <w:r>
        <w:rPr>
          <w:rFonts w:ascii="Times New Roman" w:hAnsi="Times New Roman" w:eastAsia="Times New Roman"/>
          <w:b/>
          <w:i w:val="0"/>
          <w:sz w:val="24"/>
        </w:rPr>
        <w:t>écarté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(pas de traces GPS).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19. Docker Inc. *Docker Compose documentation*. https://docs.docker.com/compose/ — éditeur.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20. W3C. *Web Content Accessibility Guidelines (WCAG) 2.2*. https://www.w3.org/TR/WCAG22/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21. ISO/IEC 25010:2023. *Systems and software Quality Requirements and Evaluation (SQuaRE)*.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22. ThoughtWorks. *Technology Radar* (éditions récentes : microservices, observabilité). https://www.thoughtworks.com/radar — opinion de cabinet, pas une norme.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23. Stack Overflow. *Developer Survey* (éditions 2024–2025). https://survey.stackoverflow.co/ — auto-déclaratif.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24. Direction interministérielle du numérique (France). *Référentiel général d’écoconception de services numériques (RGESN)*. https://ecoresponsable.numerique.gouv.fr/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25. CARTO. *Basemap tiles* (Voyager). https://carto.com/ — </w:t>
      </w:r>
      <w:r>
        <w:rPr>
          <w:rFonts w:ascii="Times New Roman" w:hAnsi="Times New Roman" w:eastAsia="Times New Roman"/>
          <w:b/>
          <w:i w:val="0"/>
          <w:sz w:val="24"/>
        </w:rPr>
        <w:t>biais commercial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; utilisé uniquement comme fond raster OSM, pas comme SaaS analytics.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Sources projet (preuves, pas « littérature »)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docs/architecture.md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docs/methodes.md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docs/data-model.md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docs/securite-rgpd.md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docs/exigences-mvp.md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docs/ux-mvp.md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docs/qa-rapport.md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docs/runbook.md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666666"/>
        <w:sz w:val="18"/>
      </w:rPr>
      <w:t>État de l’art — Mobilité Urbaine · M2 professionnel · ETU001083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