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</w:t>
      </w:r>
    </w:p>
    <w:p>
      <w:pPr>
        <w:pStyle w:val="Subtitle"/>
      </w:pPr>
      <w:r>
        <w:t>How I explored the data, built the model, and checked the December forecast</w:t>
      </w:r>
    </w:p>
    <w:p>
      <w:pPr>
        <w:pStyle w:val="Heading1"/>
      </w:pPr>
      <w:r>
        <w:t>1. Exploratory data analysis</w:t>
      </w:r>
    </w:p>
    <w:p>
      <w:pPr>
        <w:keepLines/>
      </w:pPr>
      <w:r>
        <w:t xml:space="preserve">I started with 48,000 labelled loads from January–October 2025 and 12,000 unlabelled loads from November–December. Distance explained most of the rate, but the data also had several traps: 677 labels (1.41%) sat in separate bands at roughly 0.2–0.5× or 2–5× the lane-and-equipment norm; 292 training weights and 145 validation weights were negative; and weights piled up at 47,500 lb. Weight was missing in 0.63% / 1.4% of train / validation rows, and </w:t>
      </w:r>
      <w:r>
        <w:rPr>
          <w:rFonts w:ascii="Consolas" w:hAnsi="Consolas"/>
          <w:color w:val="234B5B"/>
          <w:sz w:val="18"/>
        </w:rPr>
        <w:t>market_index</w:t>
      </w:r>
      <w:r>
        <w:t xml:space="preserve"> in 0.78% / 2.1%.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The label-ratio distribution separates the clean peak from the corrupted tails.</w:t>
      </w:r>
    </w:p>
    <w:p>
      <w:pPr>
        <w:keepLines/>
      </w:pPr>
      <w:r>
        <w:rPr>
          <w:rFonts w:ascii="Consolas" w:hAnsi="Consolas"/>
          <w:color w:val="234B5B"/>
          <w:sz w:val="18"/>
        </w:rPr>
        <w:t>market_index</w:t>
      </w:r>
      <w:r>
        <w:t xml:space="preserve"> turned out to be a real daily index, not just a date proxy. Its weekly swing ran from −9% on Sunday to +9% on Thursday, while composition-adjusted prices moved in the same direction by about −1.1% to +1.0%. By contrast, </w:t>
      </w:r>
      <w:r>
        <w:rPr>
          <w:rFonts w:ascii="Consolas" w:hAnsi="Consolas"/>
          <w:color w:val="234B5B"/>
          <w:sz w:val="18"/>
        </w:rPr>
        <w:t>quote_signal</w:t>
      </w:r>
      <w:r>
        <w:t xml:space="preserve"> copied or mirrored the target in different training months, then behaved like noise in validation: its daily-mean standard deviation was 0.016 and its lag-1 autocorrelation was 0.03. I left it out of the final model.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1975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The quote_signal relationship changes sign across training months.</w:t>
      </w:r>
    </w:p>
    <w:p>
      <w:pPr>
        <w:keepLines/>
      </w:pPr>
      <w:r>
        <w:t>I also found a rate ramp in March, June and September that grew toward quarter-end, plus an upward drift beyond the market index. Eight cities were new in validation, touching 12.06% of its rows; Laredo was south of every training city. Those findings shaped the time split and the location features.</w:t>
      </w:r>
    </w:p>
    <w:p>
      <w:pPr>
        <w:pStyle w:val="Heading1"/>
      </w:pPr>
      <w:r>
        <w:t>2. Preprocessing</w:t>
      </w:r>
    </w:p>
    <w:p>
      <w:pPr>
        <w:keepLines/>
      </w:pPr>
      <w:r>
        <w:t xml:space="preserve">I corrected negative weights with their absolute values (292 training rows; 145 validation rows) and marked weights at the 47,500 lb cap (1,204 training rows; 301 validation rows). I filled the 300 missing training weights and 165 missing validation weights with 31,000 lb for ridge, while LightGBM kept them as missing. For the 374 and 249 missing </w:t>
      </w:r>
      <w:r>
        <w:rPr>
          <w:rFonts w:ascii="Consolas" w:hAnsi="Consolas"/>
          <w:color w:val="234B5B"/>
          <w:sz w:val="18"/>
        </w:rPr>
        <w:t>market_index</w:t>
      </w:r>
      <w:r>
        <w:t xml:space="preserve"> values, I used that day's mean across the file. The 48 training and 21 validation distances at the 70-mile floor were genuine short hauls, so I left them alone.</w:t>
      </w:r>
    </w:p>
    <w:p>
      <w:pPr>
        <w:keepLines/>
      </w:pPr>
      <w:r>
        <w:t xml:space="preserve">For labels, I used a two-pass screen based on a ridge fit and removed training rows outside 0.67–1.5× of the fitted lane-and-equipment rate. It flags about 1.4% of each training fold. The screen is fit inside each fold and never applied to assessment rows; those labels remain in the all-row metrics. Removing the screen raises dev </w:t>
      </w:r>
      <w:r>
        <w:rPr>
          <w:rFonts w:ascii="Consolas" w:hAnsi="Consolas"/>
          <w:color w:val="234B5B"/>
          <w:sz w:val="18"/>
        </w:rPr>
        <w:t>wMAE_clean</w:t>
      </w:r>
      <w:r>
        <w:t xml:space="preserve"> by $14.18.</w:t>
      </w:r>
    </w:p>
    <w:p>
      <w:pPr>
        <w:pStyle w:val="Heading1"/>
      </w:pPr>
      <w:r>
        <w:t>3. Feature engineering</w:t>
      </w:r>
    </w:p>
    <w:p>
      <w:pPr>
        <w:keepLines/>
      </w:pPr>
      <w:r>
        <w:t>I kept B-splines for log distance, weight and all four coordinates, plus the cap flag and equipment indicators. Replacing the splines with straight lines cost $10.4. Coordinates carried across to unseen cities: novel-city dev MAE was $40.9 versus $42.5 for seen cities. City categories did worse on novel cities in the feature study (MAE 186 versus 124), so I used coordinates instead of city IDs.</w:t>
      </w:r>
    </w:p>
    <w:p>
      <w:pPr>
        <w:keepLines/>
      </w:pPr>
      <w:r>
        <w:t xml:space="preserve">I split </w:t>
      </w:r>
      <w:r>
        <w:rPr>
          <w:rFonts w:ascii="Consolas" w:hAnsi="Consolas"/>
          <w:color w:val="234B5B"/>
          <w:sz w:val="18"/>
        </w:rPr>
        <w:t>market_index</w:t>
      </w:r>
      <w:r>
        <w:t xml:space="preserve"> into its daily mean and per-load deviation. Removing the market features cost $34.11; removing the time trend cost $13.34; removing the quarter-end ramp by equipment cost $28.99. By month-end, the ramp added 2.3% for Dry Van, 5.0% for Reefer and 7.8% for Flatbed. The distance-by-market interaction added a smaller $0.28 gain (95% CI 0.19–0.33, 5/5 folds). Ridge alone was $1.30 worse than the hybrid, and removing market features from the residual trees cost $0.86, so I kept both stages.</w:t>
      </w:r>
    </w:p>
    <w:p>
      <w:pPr>
        <w:keepLines/>
      </w:pPr>
      <w:r>
        <w:t xml:space="preserve">I dropped weekday dummies because adding them cost $3.00 once the weekly market swing was present. I also dropped per-load </w:t>
      </w:r>
      <w:r>
        <w:rPr>
          <w:rFonts w:ascii="Consolas" w:hAnsi="Consolas"/>
          <w:color w:val="234B5B"/>
          <w:sz w:val="18"/>
        </w:rPr>
        <w:t>quote_signal</w:t>
      </w:r>
      <w:r>
        <w:t xml:space="preserve"> (the feature study found removal helped in 2/3 folds, with clean MAE 114 versus 120), </w:t>
      </w:r>
      <w:r>
        <w:rPr>
          <w:rFonts w:ascii="Consolas" w:hAnsi="Consolas"/>
          <w:color w:val="234B5B"/>
          <w:sz w:val="18"/>
        </w:rPr>
        <w:t>load_id</w:t>
      </w:r>
      <w:r>
        <w:t>, city names, and month or day-of-year features in the trees. The last group had no useful support for forecasting beyond October.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9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Ablations: positive changes mean worse dev wMAE_clean; adding weekday dummies also costs accuracy.</w:t>
      </w:r>
    </w:p>
    <w:p>
      <w:pPr>
        <w:pStyle w:val="Heading1"/>
      </w:pPr>
      <w:r>
        <w:t>4. Model selection and training: the improvement journey</w:t>
      </w:r>
    </w:p>
    <w:p>
      <w:pPr>
        <w:keepLines/>
      </w:pPr>
      <w:r>
        <w:t>The first feature-study lookup was simple: equipment, distance and a rate-per-mile average. On its 3-fold development run, clean weighted MAE was $119.7. Corrupted labels pulled raw-target LightGBM to $161.5. A log target alone reached $122.3; adding the in-fold label screen brought it to $72.2.</w:t>
      </w:r>
    </w:p>
    <w:p>
      <w:pPr>
        <w:keepLines/>
      </w:pPr>
      <w:r>
        <w:t>Then I gave ridge a better description of the problem. In that same study, clean weighted MAE moved from $75.7 with the basic linear features to $71.7 after splines, $59.5 after coordinate splines, $53.3 after splitting the market index, $51.4 after adding a daily quote-signal mean and trend, $49.4 after distance-by-market, and $47.5 after residual LightGBM. Those early numbers use the feature study's 3 folds; after the validation shift showed quote signal was noise, I left it out of the final model. The later five-fold comparisons are below.</w:t>
      </w:r>
    </w:p>
    <w:p>
      <w:pPr>
        <w:keepLines/>
      </w:pPr>
      <w:r>
        <w:t>The earlier CatBoost submission and PDF-report model scored $111.25 and $85.18 on the final dev folds. The log-and-screen LightGBM with market, calendar and trend reached $63.77; structural ridge reached $44.01; and the default ridge-plus-LightGBM hybrid reached $42.67. A MARS follow-up looked promising against an older, weaker ridge comparison ($40.96 versus $43.71 on its 3 folds), but on the common five folds its best version reached $46.06. It did not beat the selected hybrid.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89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Five-fold development scores across the main model-building steps; gray dots show fold scores.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Final dev leaderboard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wMAE_clean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CatBoost submission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$111.25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PDF-report model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$85.18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Log-and-screen LightGBM, market + calendar + trend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$63.77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MARS + LightGBM follow-up (best M3)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$46.06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Structural ridge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$44.01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Default hybrid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$42.67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Tuned hybrid</w:t>
            </w:r>
          </w:p>
        </w:tc>
        <w:tc>
          <w:tcPr>
            <w:tcW w:type="dxa" w:w="208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b/>
                <w:sz w:val="18"/>
              </w:rPr>
              <w:t>$42.30</w:t>
            </w:r>
          </w:p>
        </w:tc>
      </w:tr>
    </w:tbl>
    <w:p>
      <w:pPr>
        <w:spacing w:after="40"/>
      </w:pPr>
    </w:p>
    <w:p>
      <w:pPr>
        <w:pStyle w:val="Heading1"/>
      </w:pPr>
      <w:r>
        <w:t>5. Hyperparameter tuning</w:t>
      </w:r>
    </w:p>
    <w:p>
      <w:pPr>
        <w:keepLines/>
      </w:pPr>
      <w:r>
        <w:t xml:space="preserve">I used Optuna's TPE sampler for 60 trials on the five dev folds, minimizing mean </w:t>
      </w:r>
      <w:r>
        <w:rPr>
          <w:rFonts w:ascii="Consolas" w:hAnsi="Consolas"/>
          <w:color w:val="234B5B"/>
          <w:sz w:val="18"/>
        </w:rPr>
        <w:t>wMAE_clean</w:t>
      </w:r>
      <w:r>
        <w:t>. I searched ridge strength and spline knot counts, residual-tree count, learning rate, leaves, minimum child size, and whether to use recency weighting. The best result improved from $42.67 to $42.30. In the forward-nested check, the gain was $0.50 on fold F4 and $0.48 on F5. That is a small difference: the tuned and default models are practically equivalent.</w:t>
      </w:r>
    </w:p>
    <w:p>
      <w:pPr>
        <w:pStyle w:val="Heading1"/>
      </w:pPr>
      <w:r>
        <w:t>6. Final evaluation</w:t>
      </w:r>
    </w:p>
    <w:p>
      <w:pPr>
        <w:keepLines/>
      </w:pPr>
      <w:r>
        <w:t>I used five expanding-window dev folds with 61-day horizons and hid 8 cities in each fold. The locked test trained through August 31 and assessed September 1–October 31, covering 9,523 loads.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cantSplit/>
          <w:tblHeader w:val="true"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Locked Sep–Oct test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wMAE_clean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MAE_clean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MAPE_clean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234E5E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MAE_all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Tuned hybrid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b/>
                <w:sz w:val="18"/>
              </w:rPr>
              <w:t>$38.14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$38.27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1.56%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$91.86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Default hybrid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$37.88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$37.85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1.55%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$91.45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Structural ridge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$39.40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$39.31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1.60%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$92.88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PDF-report model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$49.69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$49.71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2.08%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$103.13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CatBoost submission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$64.31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$65.62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3.74%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$118.79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sz w:val="18"/>
              </w:rPr>
              <w:t>Cross-section + naive index</w:t>
            </w:r>
          </w:p>
        </w:tc>
        <w:tc>
          <w:tcPr>
            <w:tcW w:type="dxa" w:w="1613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$73.98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$73.72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3.07%</w:t>
            </w:r>
          </w:p>
        </w:tc>
        <w:tc>
          <w:tcPr>
            <w:tcW w:type="dxa" w:w="1512"/>
            <w:vAlign w:val="center"/>
            <w:tcBorders>
              <w:top w:val="single" w:sz="4" w:color="CFD8DC"/>
              <w:bottom w:val="single" w:sz="4" w:color="CFD8DC"/>
              <w:left w:val="single" w:sz="4" w:color="CFD8DC"/>
              <w:right w:val="single" w:sz="4" w:color="CFD8DC"/>
            </w:tcBorders>
            <w:shd w:fill="F1F6F7"/>
          </w:tcPr>
          <w:p>
            <w:pPr>
              <w:spacing w:before="60" w:after="60" w:line="240" w:lineRule="auto"/>
              <w:jc w:val="right"/>
            </w:pPr>
            <w:r>
              <w:rPr>
                <w:rFonts w:ascii="Arial" w:hAnsi="Arial"/>
                <w:sz w:val="18"/>
              </w:rPr>
              <w:t>$126.82</w:t>
            </w:r>
          </w:p>
        </w:tc>
      </w:tr>
    </w:tbl>
    <w:p>
      <w:pPr>
        <w:spacing w:after="40"/>
      </w:pPr>
    </w:p>
    <w:p>
      <w:pPr>
        <w:keepLines/>
      </w:pPr>
      <w:r>
        <w:t>On paired test comparisons, the CatBoost model was $27.35 worse (95% CI $22.60–$32.21), the PDF model $11.44 worse ($6.56–$19.34), and the naive-index baseline $35.45 worse ($28.68–$44.51). The untuned hybrid was $0.42 better than the tuned one ($0.05–$0.81), another sign that tuning made little practical difference.</w:t>
      </w:r>
    </w:p>
    <w:p>
      <w:pPr>
        <w:keepLines/>
      </w:pPr>
      <w:r>
        <w:t>Dev-derived intervals covered 84.7% of clean rows at the 80% level and 96.9% at the 95% level; coverage on all rows was 83.5% and 95.5%. The 80% interval averaged ±2.6%.</w:t>
      </w:r>
    </w:p>
    <w:p>
      <w:pPr>
        <w:pStyle w:val="Heading1"/>
      </w:pPr>
      <w:r>
        <w:t>7. December forecast</w:t>
      </w:r>
    </w:p>
    <w:p>
      <w:pPr>
        <w:keepLines/>
      </w:pPr>
      <w:r>
        <w:t>The December chart for Lexington–Fort Wayne, 360 miles, Dry Van and 32,000 lb ranges from $829 to $878. The chart rows do not include coordinates or a market index, so I filled coordinates from the city lookup and each date's market index from that day's validation mean. I assumed the quarter-end ramp would return: by December 31 it adds 2.3% for Dry Van, giving $878 instead of $858 without the ramp. There are no December labels to confirm that assumption.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9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December predictions with the 80% interval, the no-ramp comparison, and the market held at its October mean.</w:t>
      </w:r>
    </w:p>
    <w:p>
      <w:pPr>
        <w:pStyle w:val="Heading1"/>
      </w:pPr>
      <w:r>
        <w:t>8. Setting up MLflow and viewing results</w:t>
      </w:r>
    </w:p>
    <w:p>
      <w:pPr>
        <w:keepLines/>
      </w:pPr>
      <w:r>
        <w:t xml:space="preserve">Clone the project, create </w:t>
      </w:r>
      <w:r>
        <w:rPr>
          <w:rFonts w:ascii="Consolas" w:hAnsi="Consolas"/>
          <w:color w:val="234B5B"/>
          <w:sz w:val="18"/>
        </w:rPr>
        <w:t>.env</w:t>
      </w:r>
      <w:r>
        <w:t xml:space="preserve"> for local secrets, then run </w:t>
      </w:r>
      <w:r>
        <w:rPr>
          <w:rFonts w:ascii="Consolas" w:hAnsi="Consolas"/>
          <w:color w:val="234B5B"/>
          <w:sz w:val="18"/>
        </w:rPr>
        <w:t>docker compose up</w:t>
      </w:r>
      <w:r>
        <w:t xml:space="preserve">. Open the MLflow UI; its port is not stated, so check in </w:t>
      </w:r>
      <w:r>
        <w:rPr>
          <w:rFonts w:ascii="Consolas" w:hAnsi="Consolas"/>
          <w:color w:val="234B5B"/>
          <w:sz w:val="18"/>
        </w:rPr>
        <w:t>docker-compose.yml</w:t>
      </w:r>
      <w:r>
        <w:t>.</w:t>
      </w:r>
    </w:p>
    <w:p>
      <w:pPr>
        <w:keepLines/>
      </w:pPr>
      <w:r>
        <w:t xml:space="preserve">The reports identify </w:t>
      </w:r>
      <w:r>
        <w:rPr>
          <w:rFonts w:ascii="Consolas" w:hAnsi="Consolas"/>
          <w:color w:val="234B5B"/>
          <w:sz w:val="18"/>
        </w:rPr>
        <w:t>freight-07-locked-test</w:t>
      </w:r>
      <w:r>
        <w:t xml:space="preserve"> as the Sep–Oct evaluation and </w:t>
      </w:r>
      <w:r>
        <w:rPr>
          <w:rFonts w:ascii="Consolas" w:hAnsi="Consolas"/>
          <w:color w:val="234B5B"/>
          <w:sz w:val="18"/>
        </w:rPr>
        <w:t>freight-08-final</w:t>
      </w:r>
      <w:r>
        <w:t xml:space="preserve"> as the final training run. They name </w:t>
      </w:r>
      <w:r>
        <w:rPr>
          <w:rFonts w:ascii="Consolas" w:hAnsi="Consolas"/>
          <w:color w:val="234B5B"/>
          <w:sz w:val="18"/>
        </w:rPr>
        <w:t>freight-00</w:t>
      </w:r>
      <w:r>
        <w:t xml:space="preserve"> through </w:t>
      </w:r>
      <w:r>
        <w:rPr>
          <w:rFonts w:ascii="Consolas" w:hAnsi="Consolas"/>
          <w:color w:val="234B5B"/>
          <w:sz w:val="18"/>
        </w:rPr>
        <w:t>freight-08</w:t>
      </w:r>
      <w:r>
        <w:t xml:space="preserve"> as the experiment range, but do not describe </w:t>
      </w:r>
      <w:r>
        <w:rPr>
          <w:rFonts w:ascii="Consolas" w:hAnsi="Consolas"/>
          <w:color w:val="234B5B"/>
          <w:sz w:val="18"/>
        </w:rPr>
        <w:t>freight-00</w:t>
      </w:r>
      <w:r>
        <w:t xml:space="preserve"> through </w:t>
      </w:r>
      <w:r>
        <w:rPr>
          <w:rFonts w:ascii="Consolas" w:hAnsi="Consolas"/>
          <w:color w:val="234B5B"/>
          <w:sz w:val="18"/>
        </w:rPr>
        <w:t>freight-06</w:t>
      </w:r>
      <w:r>
        <w:t xml:space="preserve"> individually; check their descriptions in MLflow. In the model registry, look for </w:t>
      </w:r>
      <w:r>
        <w:rPr>
          <w:rFonts w:ascii="Consolas" w:hAnsi="Consolas"/>
          <w:color w:val="234B5B"/>
          <w:sz w:val="18"/>
        </w:rPr>
        <w:t>models:/freight-rate-model@champion</w:t>
      </w:r>
      <w:r>
        <w:t xml:space="preserve"> (v2; v1 is superseded).</w:t>
      </w:r>
    </w:p>
    <w:p>
      <w:pPr>
        <w:keepLines/>
      </w:pPr>
      <w:r>
        <w:t xml:space="preserve">Use </w:t>
      </w:r>
      <w:r>
        <w:rPr>
          <w:rFonts w:ascii="Consolas" w:hAnsi="Consolas"/>
          <w:color w:val="234B5B"/>
          <w:sz w:val="18"/>
        </w:rPr>
        <w:t>scripts/predict.py</w:t>
      </w:r>
      <w:r>
        <w:t xml:space="preserve"> to create </w:t>
      </w:r>
      <w:r>
        <w:rPr>
          <w:rFonts w:ascii="Consolas" w:hAnsi="Consolas"/>
          <w:color w:val="234B5B"/>
          <w:sz w:val="18"/>
        </w:rPr>
        <w:t>outputs/validation_predictions.csv</w:t>
      </w:r>
      <w:r>
        <w:t xml:space="preserve">, then use </w:t>
      </w:r>
      <w:r>
        <w:rPr>
          <w:rFonts w:ascii="Consolas" w:hAnsi="Consolas"/>
          <w:color w:val="234B5B"/>
          <w:sz w:val="18"/>
        </w:rPr>
        <w:t>score.py</w:t>
      </w:r>
      <w:r>
        <w:t xml:space="preserve"> with that prediction file and the filled </w:t>
      </w:r>
      <w:r>
        <w:rPr>
          <w:rFonts w:ascii="Consolas" w:hAnsi="Consolas"/>
          <w:color w:val="234B5B"/>
          <w:sz w:val="18"/>
        </w:rPr>
        <w:t>december_chart_inputs.csv</w:t>
      </w:r>
      <w:r>
        <w:t xml:space="preserve">. </w:t>
      </w:r>
      <w:r>
        <w:rPr>
          <w:rFonts w:ascii="Consolas" w:hAnsi="Consolas"/>
          <w:color w:val="234B5B"/>
          <w:sz w:val="18"/>
        </w:rPr>
        <w:t>score.py</w:t>
      </w:r>
      <w:r>
        <w:t xml:space="preserve"> checks format and fixed December inputs, not accuracy. The project reports do not give the command-line syntax for either script.</w:t>
      </w:r>
    </w:p>
    <w:sectPr w:rsidR="00FC693F" w:rsidRPr="0006063C" w:rsidSect="00034616"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327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 w:val="0"/>
      <w:iCs/>
      <w:color w:val="56606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i/>
      <w:color w:val="5C676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</dc:title>
  <dc:subject>Step-by-step project write-up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