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746A5" w14:textId="5DB0E790" w:rsidR="0072097F" w:rsidRDefault="00000000">
      <w:pPr>
        <w:spacing w:after="40"/>
        <w:jc w:val="center"/>
      </w:pPr>
      <w:r>
        <w:rPr>
          <w:b/>
          <w:bCs/>
          <w:color w:val="26215C"/>
          <w:sz w:val="44"/>
          <w:szCs w:val="44"/>
        </w:rPr>
        <w:t>Nu</w:t>
      </w:r>
      <w:r w:rsidR="008C34D0">
        <w:rPr>
          <w:b/>
          <w:bCs/>
          <w:color w:val="26215C"/>
          <w:sz w:val="44"/>
          <w:szCs w:val="44"/>
        </w:rPr>
        <w:t>rt</w:t>
      </w:r>
      <w:r>
        <w:rPr>
          <w:b/>
          <w:bCs/>
          <w:color w:val="26215C"/>
          <w:sz w:val="44"/>
          <w:szCs w:val="44"/>
        </w:rPr>
        <w:t>ureSense</w:t>
      </w:r>
    </w:p>
    <w:p w14:paraId="52DDF198" w14:textId="77777777" w:rsidR="0072097F" w:rsidRDefault="00000000">
      <w:pPr>
        <w:spacing w:after="60"/>
        <w:jc w:val="center"/>
      </w:pPr>
      <w:r>
        <w:rPr>
          <w:color w:val="5F5E5A"/>
          <w:sz w:val="24"/>
          <w:szCs w:val="24"/>
        </w:rPr>
        <w:t>A Secure, Adaptive Communication Framework for Low-Power Sensing</w:t>
      </w:r>
    </w:p>
    <w:p w14:paraId="278A4344" w14:textId="77777777" w:rsidR="0072097F" w:rsidRDefault="00000000">
      <w:pPr>
        <w:spacing w:after="300"/>
        <w:jc w:val="center"/>
      </w:pPr>
      <w:r>
        <w:rPr>
          <w:i/>
          <w:iCs/>
          <w:color w:val="5F5E5A"/>
          <w:sz w:val="20"/>
          <w:szCs w:val="20"/>
        </w:rPr>
        <w:t>Project framework overview</w:t>
      </w:r>
    </w:p>
    <w:p w14:paraId="7E434285" w14:textId="77777777" w:rsidR="0072097F" w:rsidRDefault="00000000">
      <w:pPr>
        <w:pStyle w:val="Heading1"/>
      </w:pPr>
      <w:r>
        <w:t>1. Overview</w:t>
      </w:r>
    </w:p>
    <w:p w14:paraId="755BD8B5" w14:textId="6D62A3CC" w:rsidR="0072097F" w:rsidRDefault="00000000">
      <w:pPr>
        <w:spacing w:after="160" w:line="300" w:lineRule="auto"/>
      </w:pPr>
      <w:r>
        <w:t>Nu</w:t>
      </w:r>
      <w:r w:rsidR="00F33117">
        <w:t>rt</w:t>
      </w:r>
      <w:r>
        <w:t>ureSense is a research and prototyping project that combines lightweight environmental/channel sensing (RuView or Wi-Fi CSI) with an adaptive, authenticated-encryption pipeline for transmission over a long-range, low-power radio link (LoRa). The framework is designed so that every packet leaving the sensing node is formatted, keyed, and authenticated before it is encrypted with one of two interchangeable AEAD ciphers, then carried over the RF channel and independently re-validated at the receiver.</w:t>
      </w:r>
    </w:p>
    <w:p w14:paraId="5F958346" w14:textId="77777777" w:rsidR="0072097F" w:rsidRDefault="00000000">
      <w:pPr>
        <w:spacing w:after="160" w:line="300" w:lineRule="auto"/>
      </w:pPr>
      <w:r>
        <w:t>The goal of the framework is twofold: (1) to give resource-constrained sensor nodes a consistent, auditable security pipeline rather than an ad-hoc one, and (2) to allow the cipher used for authenticated encryption to be chosen adaptively — for example based on available compute, energy budget, or a configured security policy — without changing the surrounding protocol.</w:t>
      </w:r>
    </w:p>
    <w:p w14:paraId="05DA0773" w14:textId="77777777" w:rsidR="0072097F" w:rsidRDefault="00000000">
      <w:pPr>
        <w:pStyle w:val="Heading1"/>
      </w:pPr>
      <w:r>
        <w:t>2. System architecture</w:t>
      </w:r>
    </w:p>
    <w:p w14:paraId="185C734A" w14:textId="77777777" w:rsidR="0072097F" w:rsidRDefault="00000000">
      <w:pPr>
        <w:spacing w:after="160" w:line="300" w:lineRule="auto"/>
      </w:pPr>
      <w:r>
        <w:t>The end-to-end pipeline is shown below. Data flows top to bottom through five stages: sensing, the security layer, authenticated encryption, the communication layer, and the receiver, which recovers the original data.</w:t>
      </w:r>
    </w:p>
    <w:p w14:paraId="2DBF8D50" w14:textId="77777777" w:rsidR="0072097F" w:rsidRDefault="00000000">
      <w:pPr>
        <w:spacing w:after="200"/>
        <w:jc w:val="center"/>
      </w:pPr>
      <w:r>
        <w:rPr>
          <w:noProof/>
        </w:rPr>
        <w:lastRenderedPageBreak/>
        <w:drawing>
          <wp:inline distT="0" distB="0" distL="0" distR="0" wp14:anchorId="290AB5AE" wp14:editId="1AE89AA5">
            <wp:extent cx="4095750" cy="529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5295900"/>
                    </a:xfrm>
                    <a:prstGeom prst="rect">
                      <a:avLst/>
                    </a:prstGeom>
                  </pic:spPr>
                </pic:pic>
              </a:graphicData>
            </a:graphic>
          </wp:inline>
        </w:drawing>
      </w:r>
    </w:p>
    <w:p w14:paraId="289D0F14" w14:textId="77777777" w:rsidR="0072097F" w:rsidRDefault="00000000">
      <w:pPr>
        <w:spacing w:after="240"/>
        <w:jc w:val="center"/>
      </w:pPr>
      <w:r>
        <w:rPr>
          <w:i/>
          <w:iCs/>
          <w:color w:val="5F5E5A"/>
          <w:sz w:val="18"/>
          <w:szCs w:val="18"/>
        </w:rPr>
        <w:t>Figure 1. NuTureSense end-to-end architecture and adaptive cryptographic switch.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4050"/>
      </w:tblGrid>
      <w:tr w:rsidR="0072097F" w14:paraId="496AFA3A" w14:textId="77777777">
        <w:tblPrEx>
          <w:tblCellMar>
            <w:top w:w="0" w:type="dxa"/>
            <w:bottom w:w="0" w:type="dxa"/>
          </w:tblCellMar>
        </w:tblPrEx>
        <w:tc>
          <w:tcPr>
            <w:tcW w:w="1900" w:type="dxa"/>
            <w:shd w:val="clear" w:color="auto" w:fill="EEEDFE"/>
            <w:tcMar>
              <w:top w:w="80" w:type="dxa"/>
              <w:left w:w="100" w:type="dxa"/>
              <w:bottom w:w="80" w:type="dxa"/>
              <w:right w:w="100" w:type="dxa"/>
            </w:tcMar>
          </w:tcPr>
          <w:p w14:paraId="2C584404" w14:textId="77777777" w:rsidR="0072097F" w:rsidRDefault="00000000">
            <w:r>
              <w:rPr>
                <w:b/>
                <w:bCs/>
                <w:color w:val="26215C"/>
                <w:sz w:val="20"/>
                <w:szCs w:val="20"/>
              </w:rPr>
              <w:t>Layer</w:t>
            </w:r>
          </w:p>
        </w:tc>
        <w:tc>
          <w:tcPr>
            <w:tcW w:w="3400" w:type="dxa"/>
            <w:shd w:val="clear" w:color="auto" w:fill="EEEDFE"/>
            <w:tcMar>
              <w:top w:w="80" w:type="dxa"/>
              <w:left w:w="100" w:type="dxa"/>
              <w:bottom w:w="80" w:type="dxa"/>
              <w:right w:w="100" w:type="dxa"/>
            </w:tcMar>
          </w:tcPr>
          <w:p w14:paraId="51360772" w14:textId="77777777" w:rsidR="0072097F" w:rsidRDefault="00000000">
            <w:r>
              <w:rPr>
                <w:b/>
                <w:bCs/>
                <w:color w:val="000000"/>
                <w:sz w:val="20"/>
                <w:szCs w:val="20"/>
              </w:rPr>
              <w:t>Component(s)</w:t>
            </w:r>
          </w:p>
        </w:tc>
        <w:tc>
          <w:tcPr>
            <w:tcW w:w="4050" w:type="dxa"/>
            <w:shd w:val="clear" w:color="auto" w:fill="EEEDFE"/>
            <w:tcMar>
              <w:top w:w="80" w:type="dxa"/>
              <w:left w:w="100" w:type="dxa"/>
              <w:bottom w:w="80" w:type="dxa"/>
              <w:right w:w="100" w:type="dxa"/>
            </w:tcMar>
          </w:tcPr>
          <w:p w14:paraId="20C890E2" w14:textId="77777777" w:rsidR="0072097F" w:rsidRDefault="00000000">
            <w:r>
              <w:rPr>
                <w:b/>
                <w:bCs/>
                <w:color w:val="000000"/>
                <w:sz w:val="20"/>
                <w:szCs w:val="20"/>
              </w:rPr>
              <w:t>Function</w:t>
            </w:r>
          </w:p>
        </w:tc>
      </w:tr>
      <w:tr w:rsidR="0072097F" w14:paraId="728DCCEC" w14:textId="77777777">
        <w:tblPrEx>
          <w:tblCellMar>
            <w:top w:w="0" w:type="dxa"/>
            <w:bottom w:w="0" w:type="dxa"/>
          </w:tblCellMar>
        </w:tblPrEx>
        <w:tc>
          <w:tcPr>
            <w:tcW w:w="1900" w:type="dxa"/>
            <w:tcMar>
              <w:top w:w="80" w:type="dxa"/>
              <w:left w:w="100" w:type="dxa"/>
              <w:bottom w:w="80" w:type="dxa"/>
              <w:right w:w="100" w:type="dxa"/>
            </w:tcMar>
          </w:tcPr>
          <w:p w14:paraId="280E71E4" w14:textId="77777777" w:rsidR="0072097F" w:rsidRDefault="00000000">
            <w:r>
              <w:rPr>
                <w:b/>
                <w:bCs/>
                <w:color w:val="000000"/>
                <w:sz w:val="20"/>
                <w:szCs w:val="20"/>
              </w:rPr>
              <w:t>Sensing</w:t>
            </w:r>
          </w:p>
        </w:tc>
        <w:tc>
          <w:tcPr>
            <w:tcW w:w="3400" w:type="dxa"/>
            <w:tcMar>
              <w:top w:w="80" w:type="dxa"/>
              <w:left w:w="100" w:type="dxa"/>
              <w:bottom w:w="80" w:type="dxa"/>
              <w:right w:w="100" w:type="dxa"/>
            </w:tcMar>
          </w:tcPr>
          <w:p w14:paraId="4D34041B" w14:textId="77777777" w:rsidR="0072097F" w:rsidRDefault="00000000">
            <w:r>
              <w:rPr>
                <w:color w:val="000000"/>
                <w:sz w:val="20"/>
                <w:szCs w:val="20"/>
              </w:rPr>
              <w:t>RuView / Wi-Fi CSI</w:t>
            </w:r>
          </w:p>
        </w:tc>
        <w:tc>
          <w:tcPr>
            <w:tcW w:w="4050" w:type="dxa"/>
            <w:tcMar>
              <w:top w:w="80" w:type="dxa"/>
              <w:left w:w="100" w:type="dxa"/>
              <w:bottom w:w="80" w:type="dxa"/>
              <w:right w:w="100" w:type="dxa"/>
            </w:tcMar>
          </w:tcPr>
          <w:p w14:paraId="5F8E5633" w14:textId="77777777" w:rsidR="0072097F" w:rsidRDefault="00000000">
            <w:r>
              <w:rPr>
                <w:color w:val="000000"/>
                <w:sz w:val="20"/>
                <w:szCs w:val="20"/>
              </w:rPr>
              <w:t>Captures raw environmental / channel-state sensing data at the source node</w:t>
            </w:r>
          </w:p>
        </w:tc>
      </w:tr>
      <w:tr w:rsidR="0072097F" w14:paraId="5EB54007" w14:textId="77777777">
        <w:tblPrEx>
          <w:tblCellMar>
            <w:top w:w="0" w:type="dxa"/>
            <w:bottom w:w="0" w:type="dxa"/>
          </w:tblCellMar>
        </w:tblPrEx>
        <w:tc>
          <w:tcPr>
            <w:tcW w:w="1900" w:type="dxa"/>
            <w:tcMar>
              <w:top w:w="80" w:type="dxa"/>
              <w:left w:w="100" w:type="dxa"/>
              <w:bottom w:w="80" w:type="dxa"/>
              <w:right w:w="100" w:type="dxa"/>
            </w:tcMar>
          </w:tcPr>
          <w:p w14:paraId="44FB773D" w14:textId="77777777" w:rsidR="0072097F" w:rsidRDefault="00000000">
            <w:r>
              <w:rPr>
                <w:b/>
                <w:bCs/>
                <w:color w:val="000000"/>
                <w:sz w:val="20"/>
                <w:szCs w:val="20"/>
              </w:rPr>
              <w:t>Security</w:t>
            </w:r>
          </w:p>
        </w:tc>
        <w:tc>
          <w:tcPr>
            <w:tcW w:w="3400" w:type="dxa"/>
            <w:tcMar>
              <w:top w:w="80" w:type="dxa"/>
              <w:left w:w="100" w:type="dxa"/>
              <w:bottom w:w="80" w:type="dxa"/>
              <w:right w:w="100" w:type="dxa"/>
            </w:tcMar>
          </w:tcPr>
          <w:p w14:paraId="7E1A4296" w14:textId="77777777" w:rsidR="0072097F" w:rsidRDefault="00000000">
            <w:r>
              <w:rPr>
                <w:color w:val="000000"/>
                <w:sz w:val="20"/>
                <w:szCs w:val="20"/>
              </w:rPr>
              <w:t>Data formatting, key management, nonce management, replay protection, authentication</w:t>
            </w:r>
          </w:p>
        </w:tc>
        <w:tc>
          <w:tcPr>
            <w:tcW w:w="4050" w:type="dxa"/>
            <w:tcMar>
              <w:top w:w="80" w:type="dxa"/>
              <w:left w:w="100" w:type="dxa"/>
              <w:bottom w:w="80" w:type="dxa"/>
              <w:right w:w="100" w:type="dxa"/>
            </w:tcMar>
          </w:tcPr>
          <w:p w14:paraId="5079761E" w14:textId="77777777" w:rsidR="0072097F" w:rsidRDefault="00000000">
            <w:r>
              <w:rPr>
                <w:color w:val="000000"/>
                <w:sz w:val="20"/>
                <w:szCs w:val="20"/>
              </w:rPr>
              <w:t>Prepares and protects sensing data before transmission; establishes the cryptographic context for each packet</w:t>
            </w:r>
          </w:p>
        </w:tc>
      </w:tr>
      <w:tr w:rsidR="0072097F" w14:paraId="7F545BC0" w14:textId="77777777">
        <w:tblPrEx>
          <w:tblCellMar>
            <w:top w:w="0" w:type="dxa"/>
            <w:bottom w:w="0" w:type="dxa"/>
          </w:tblCellMar>
        </w:tblPrEx>
        <w:tc>
          <w:tcPr>
            <w:tcW w:w="1900" w:type="dxa"/>
            <w:tcMar>
              <w:top w:w="80" w:type="dxa"/>
              <w:left w:w="100" w:type="dxa"/>
              <w:bottom w:w="80" w:type="dxa"/>
              <w:right w:w="100" w:type="dxa"/>
            </w:tcMar>
          </w:tcPr>
          <w:p w14:paraId="6A66324B" w14:textId="77777777" w:rsidR="0072097F" w:rsidRDefault="00000000">
            <w:r>
              <w:rPr>
                <w:b/>
                <w:bCs/>
                <w:color w:val="000000"/>
                <w:sz w:val="20"/>
                <w:szCs w:val="20"/>
              </w:rPr>
              <w:t>Authenticated encryption</w:t>
            </w:r>
          </w:p>
        </w:tc>
        <w:tc>
          <w:tcPr>
            <w:tcW w:w="3400" w:type="dxa"/>
            <w:tcMar>
              <w:top w:w="80" w:type="dxa"/>
              <w:left w:w="100" w:type="dxa"/>
              <w:bottom w:w="80" w:type="dxa"/>
              <w:right w:w="100" w:type="dxa"/>
            </w:tcMar>
          </w:tcPr>
          <w:p w14:paraId="6DA45AB5" w14:textId="77777777" w:rsidR="0072097F" w:rsidRDefault="00000000">
            <w:r>
              <w:rPr>
                <w:color w:val="000000"/>
                <w:sz w:val="20"/>
                <w:szCs w:val="20"/>
              </w:rPr>
              <w:t>AES-GCM or ChaCha20-Poly1305 (adaptively selected)</w:t>
            </w:r>
          </w:p>
        </w:tc>
        <w:tc>
          <w:tcPr>
            <w:tcW w:w="4050" w:type="dxa"/>
            <w:tcMar>
              <w:top w:w="80" w:type="dxa"/>
              <w:left w:w="100" w:type="dxa"/>
              <w:bottom w:w="80" w:type="dxa"/>
              <w:right w:w="100" w:type="dxa"/>
            </w:tcMar>
          </w:tcPr>
          <w:p w14:paraId="5538CE6F" w14:textId="77777777" w:rsidR="0072097F" w:rsidRDefault="00000000">
            <w:r>
              <w:rPr>
                <w:color w:val="000000"/>
                <w:sz w:val="20"/>
                <w:szCs w:val="20"/>
              </w:rPr>
              <w:t>Encrypts and authenticates the formatted payload as a single AEAD operation</w:t>
            </w:r>
          </w:p>
        </w:tc>
      </w:tr>
      <w:tr w:rsidR="0072097F" w14:paraId="7872CBFF" w14:textId="77777777">
        <w:tblPrEx>
          <w:tblCellMar>
            <w:top w:w="0" w:type="dxa"/>
            <w:bottom w:w="0" w:type="dxa"/>
          </w:tblCellMar>
        </w:tblPrEx>
        <w:tc>
          <w:tcPr>
            <w:tcW w:w="1900" w:type="dxa"/>
            <w:tcMar>
              <w:top w:w="80" w:type="dxa"/>
              <w:left w:w="100" w:type="dxa"/>
              <w:bottom w:w="80" w:type="dxa"/>
              <w:right w:w="100" w:type="dxa"/>
            </w:tcMar>
          </w:tcPr>
          <w:p w14:paraId="6250D660" w14:textId="77777777" w:rsidR="0072097F" w:rsidRDefault="00000000">
            <w:r>
              <w:rPr>
                <w:b/>
                <w:bCs/>
                <w:color w:val="000000"/>
                <w:sz w:val="20"/>
                <w:szCs w:val="20"/>
              </w:rPr>
              <w:t>Communication</w:t>
            </w:r>
          </w:p>
        </w:tc>
        <w:tc>
          <w:tcPr>
            <w:tcW w:w="3400" w:type="dxa"/>
            <w:tcMar>
              <w:top w:w="80" w:type="dxa"/>
              <w:left w:w="100" w:type="dxa"/>
              <w:bottom w:w="80" w:type="dxa"/>
              <w:right w:w="100" w:type="dxa"/>
            </w:tcMar>
          </w:tcPr>
          <w:p w14:paraId="523D0401" w14:textId="77777777" w:rsidR="0072097F" w:rsidRDefault="00000000">
            <w:r>
              <w:rPr>
                <w:color w:val="000000"/>
                <w:sz w:val="20"/>
                <w:szCs w:val="20"/>
              </w:rPr>
              <w:t>LoRa / simulated LoRa channel</w:t>
            </w:r>
          </w:p>
        </w:tc>
        <w:tc>
          <w:tcPr>
            <w:tcW w:w="4050" w:type="dxa"/>
            <w:tcMar>
              <w:top w:w="80" w:type="dxa"/>
              <w:left w:w="100" w:type="dxa"/>
              <w:bottom w:w="80" w:type="dxa"/>
              <w:right w:w="100" w:type="dxa"/>
            </w:tcMar>
          </w:tcPr>
          <w:p w14:paraId="09CF801F" w14:textId="77777777" w:rsidR="0072097F" w:rsidRDefault="00000000">
            <w:r>
              <w:rPr>
                <w:color w:val="000000"/>
                <w:sz w:val="20"/>
                <w:szCs w:val="20"/>
              </w:rPr>
              <w:t>Transmits the secured payload over a long-range, low-power RF link</w:t>
            </w:r>
          </w:p>
        </w:tc>
      </w:tr>
      <w:tr w:rsidR="0072097F" w14:paraId="729C4744" w14:textId="77777777">
        <w:tblPrEx>
          <w:tblCellMar>
            <w:top w:w="0" w:type="dxa"/>
            <w:bottom w:w="0" w:type="dxa"/>
          </w:tblCellMar>
        </w:tblPrEx>
        <w:tc>
          <w:tcPr>
            <w:tcW w:w="1900" w:type="dxa"/>
            <w:tcMar>
              <w:top w:w="80" w:type="dxa"/>
              <w:left w:w="100" w:type="dxa"/>
              <w:bottom w:w="80" w:type="dxa"/>
              <w:right w:w="100" w:type="dxa"/>
            </w:tcMar>
          </w:tcPr>
          <w:p w14:paraId="6708F251" w14:textId="77777777" w:rsidR="0072097F" w:rsidRDefault="00000000">
            <w:r>
              <w:rPr>
                <w:b/>
                <w:bCs/>
                <w:color w:val="000000"/>
                <w:sz w:val="20"/>
                <w:szCs w:val="20"/>
              </w:rPr>
              <w:t>Receiver</w:t>
            </w:r>
          </w:p>
        </w:tc>
        <w:tc>
          <w:tcPr>
            <w:tcW w:w="3400" w:type="dxa"/>
            <w:tcMar>
              <w:top w:w="80" w:type="dxa"/>
              <w:left w:w="100" w:type="dxa"/>
              <w:bottom w:w="80" w:type="dxa"/>
              <w:right w:w="100" w:type="dxa"/>
            </w:tcMar>
          </w:tcPr>
          <w:p w14:paraId="5D44F0DB" w14:textId="77777777" w:rsidR="0072097F" w:rsidRDefault="00000000">
            <w:r>
              <w:rPr>
                <w:color w:val="000000"/>
                <w:sz w:val="20"/>
                <w:szCs w:val="20"/>
              </w:rPr>
              <w:t>Packet validation, authentication check, replay detection, decryption</w:t>
            </w:r>
          </w:p>
        </w:tc>
        <w:tc>
          <w:tcPr>
            <w:tcW w:w="4050" w:type="dxa"/>
            <w:tcMar>
              <w:top w:w="80" w:type="dxa"/>
              <w:left w:w="100" w:type="dxa"/>
              <w:bottom w:w="80" w:type="dxa"/>
              <w:right w:w="100" w:type="dxa"/>
            </w:tcMar>
          </w:tcPr>
          <w:p w14:paraId="38D8DCD2" w14:textId="77777777" w:rsidR="0072097F" w:rsidRDefault="00000000">
            <w:r>
              <w:rPr>
                <w:color w:val="000000"/>
                <w:sz w:val="20"/>
                <w:szCs w:val="20"/>
              </w:rPr>
              <w:t>Verifies integrity and freshness of the received packet and recovers the original data</w:t>
            </w:r>
          </w:p>
        </w:tc>
      </w:tr>
    </w:tbl>
    <w:p w14:paraId="7066F9E1" w14:textId="77777777" w:rsidR="0072097F" w:rsidRDefault="00000000">
      <w:pPr>
        <w:pStyle w:val="Heading1"/>
      </w:pPr>
      <w:r>
        <w:t>3. Adaptive cryptographic mechanism</w:t>
      </w:r>
    </w:p>
    <w:p w14:paraId="398D2872" w14:textId="77777777" w:rsidR="0072097F" w:rsidRDefault="00000000">
      <w:pPr>
        <w:spacing w:after="160" w:line="300" w:lineRule="auto"/>
      </w:pPr>
      <w:r>
        <w:lastRenderedPageBreak/>
        <w:t>At the center of the security layer sits a security controller responsible for the adaptive part of the framework. Rather than hard-coding a single cipher, the controller selects between two AEAD (authenticated-encryption-with-associated-data) constructions on a per-session or per-packet basis:</w:t>
      </w:r>
    </w:p>
    <w:p w14:paraId="7755730E" w14:textId="77777777" w:rsidR="0072097F" w:rsidRDefault="00000000">
      <w:pPr>
        <w:pStyle w:val="ListParagraph"/>
        <w:numPr>
          <w:ilvl w:val="0"/>
          <w:numId w:val="1"/>
        </w:numPr>
        <w:spacing w:after="80"/>
      </w:pPr>
      <w:r>
        <w:t>AES-GCM — hardware-accelerated on platforms with AES-NI or dedicated crypto co-processors; preferred when such acceleration is available.</w:t>
      </w:r>
    </w:p>
    <w:p w14:paraId="242BD188" w14:textId="77777777" w:rsidR="0072097F" w:rsidRDefault="00000000">
      <w:pPr>
        <w:pStyle w:val="ListParagraph"/>
        <w:numPr>
          <w:ilvl w:val="0"/>
          <w:numId w:val="1"/>
        </w:numPr>
        <w:spacing w:after="80"/>
      </w:pPr>
      <w:r>
        <w:t>ChaCha20-Poly1305 — a software-oriented AEAD cipher that performs well on constrained microcontrollers without hardware AES support.</w:t>
      </w:r>
    </w:p>
    <w:p w14:paraId="4012022F" w14:textId="77777777" w:rsidR="0072097F" w:rsidRDefault="00000000">
      <w:pPr>
        <w:spacing w:after="160" w:line="300" w:lineRule="auto"/>
      </w:pPr>
      <w:r>
        <w:t>Both branches converge on the same authenticated-encryption step, so the rest of the protocol (framing, key management, nonce handling, transmission over LoRa, and receiver-side validation) is identical regardless of which cipher was chosen. This keeps the adaptive switch isolated to a single, testable component and lets the framework trade off energy consumption, throughput, and platform support without redesigning the protocol.</w:t>
      </w:r>
    </w:p>
    <w:p w14:paraId="0DEA8C42" w14:textId="77777777" w:rsidR="0072097F" w:rsidRDefault="00000000">
      <w:pPr>
        <w:pStyle w:val="Heading1"/>
      </w:pPr>
      <w:r>
        <w:t>4. Security layer responsibilities</w:t>
      </w:r>
    </w:p>
    <w:p w14:paraId="7A1388E1" w14:textId="77777777" w:rsidR="0072097F" w:rsidRDefault="00000000">
      <w:pPr>
        <w:spacing w:after="160" w:line="300" w:lineRule="auto"/>
      </w:pPr>
      <w:r>
        <w:t>Before encryption, the security layer performs the preparatory work that authenticated encryption depends on:</w:t>
      </w:r>
    </w:p>
    <w:p w14:paraId="5A7715D3" w14:textId="77777777" w:rsidR="0072097F" w:rsidRDefault="00000000">
      <w:pPr>
        <w:pStyle w:val="ListParagraph"/>
        <w:numPr>
          <w:ilvl w:val="0"/>
          <w:numId w:val="1"/>
        </w:numPr>
        <w:spacing w:after="80"/>
      </w:pPr>
      <w:r>
        <w:t>Data formatting — normalizes sensing output into a fixed packet structure.</w:t>
      </w:r>
    </w:p>
    <w:p w14:paraId="258D23AF" w14:textId="77777777" w:rsidR="0072097F" w:rsidRDefault="00000000">
      <w:pPr>
        <w:pStyle w:val="ListParagraph"/>
        <w:numPr>
          <w:ilvl w:val="0"/>
          <w:numId w:val="1"/>
        </w:numPr>
        <w:spacing w:after="80"/>
      </w:pPr>
      <w:r>
        <w:t>Key management — derives or retrieves the session key used by the selected AEAD cipher.</w:t>
      </w:r>
    </w:p>
    <w:p w14:paraId="329EB6DC" w14:textId="77777777" w:rsidR="0072097F" w:rsidRDefault="00000000">
      <w:pPr>
        <w:pStyle w:val="ListParagraph"/>
        <w:numPr>
          <w:ilvl w:val="0"/>
          <w:numId w:val="1"/>
        </w:numPr>
        <w:spacing w:after="80"/>
      </w:pPr>
      <w:r>
        <w:t>Nonce management — guarantees a unique nonce per packet, which is required for AEAD security.</w:t>
      </w:r>
    </w:p>
    <w:p w14:paraId="0DD9D7F0" w14:textId="77777777" w:rsidR="0072097F" w:rsidRDefault="00000000">
      <w:pPr>
        <w:pStyle w:val="ListParagraph"/>
        <w:numPr>
          <w:ilvl w:val="0"/>
          <w:numId w:val="1"/>
        </w:numPr>
        <w:spacing w:after="80"/>
      </w:pPr>
      <w:r>
        <w:t>Replay protection — attaches sequence/timestamp information so stale packets can be rejected.</w:t>
      </w:r>
    </w:p>
    <w:p w14:paraId="793DC6A2" w14:textId="77777777" w:rsidR="0072097F" w:rsidRDefault="00000000">
      <w:pPr>
        <w:pStyle w:val="ListParagraph"/>
        <w:numPr>
          <w:ilvl w:val="0"/>
          <w:numId w:val="1"/>
        </w:numPr>
        <w:spacing w:after="80"/>
      </w:pPr>
      <w:r>
        <w:t>Authentication — binds packet metadata to the ciphertext so tampering is detectable.</w:t>
      </w:r>
    </w:p>
    <w:p w14:paraId="51FA3ABF" w14:textId="77777777" w:rsidR="0072097F" w:rsidRDefault="00000000">
      <w:pPr>
        <w:spacing w:after="160" w:line="300" w:lineRule="auto"/>
      </w:pPr>
      <w:r>
        <w:t>On the receiving side, these same properties are checked in reverse: packet validation, authentication verification, replay detection, and finally decryption to recover the original sensing data.</w:t>
      </w:r>
    </w:p>
    <w:p w14:paraId="07ACA202" w14:textId="77777777" w:rsidR="0072097F" w:rsidRDefault="00000000">
      <w:pPr>
        <w:pStyle w:val="Heading1"/>
      </w:pPr>
      <w:r>
        <w:t>5. Threat model and adversarial testing</w:t>
      </w:r>
    </w:p>
    <w:p w14:paraId="04CFDA6E" w14:textId="77777777" w:rsidR="0072097F" w:rsidRDefault="00000000">
      <w:pPr>
        <w:spacing w:after="160" w:line="300" w:lineRule="auto"/>
      </w:pPr>
      <w:r>
        <w:t>The repository dedicates a top-level attacks/ module to validating the design empirically rather than only on paper. Three adversarial capabilities are modeled directly against the prototype:</w:t>
      </w:r>
    </w:p>
    <w:p w14:paraId="34FB6E2D" w14:textId="77777777" w:rsidR="0072097F" w:rsidRDefault="00000000">
      <w:pPr>
        <w:pStyle w:val="ListParagraph"/>
        <w:numPr>
          <w:ilvl w:val="0"/>
          <w:numId w:val="1"/>
        </w:numPr>
        <w:spacing w:after="80"/>
      </w:pPr>
      <w:r>
        <w:t>Tampering — an attacker modifies packet contents in transit; the authentication tag should cause the receiver to reject the packet.</w:t>
      </w:r>
    </w:p>
    <w:p w14:paraId="2CBE8160" w14:textId="77777777" w:rsidR="0072097F" w:rsidRDefault="00000000">
      <w:pPr>
        <w:pStyle w:val="ListParagraph"/>
        <w:numPr>
          <w:ilvl w:val="0"/>
          <w:numId w:val="1"/>
        </w:numPr>
        <w:spacing w:after="80"/>
      </w:pPr>
      <w:r>
        <w:t>Replay — an attacker re-sends a previously captured, valid packet; the nonce/sequence check in the security layer should detect and drop it.</w:t>
      </w:r>
    </w:p>
    <w:p w14:paraId="23760F3A" w14:textId="77777777" w:rsidR="0072097F" w:rsidRDefault="00000000">
      <w:pPr>
        <w:pStyle w:val="ListParagraph"/>
        <w:numPr>
          <w:ilvl w:val="0"/>
          <w:numId w:val="1"/>
        </w:numPr>
        <w:spacing w:after="80"/>
      </w:pPr>
      <w:r>
        <w:t>Forgery — an attacker attempts to construct a packet that passes authentication without knowledge of the session key.</w:t>
      </w:r>
    </w:p>
    <w:p w14:paraId="0332E543" w14:textId="77777777" w:rsidR="0072097F" w:rsidRDefault="00000000">
      <w:pPr>
        <w:spacing w:after="160" w:line="300" w:lineRule="auto"/>
      </w:pPr>
      <w:r>
        <w:t>These modules are paired with documentation/THREAT-MODEL.md, which is expected to define the assumed adversary capabilities, trust boundaries, and out-of-scope threats in more detail than is repeated here.</w:t>
      </w:r>
    </w:p>
    <w:p w14:paraId="5291EFDD" w14:textId="77777777" w:rsidR="0072097F" w:rsidRDefault="00000000">
      <w:pPr>
        <w:pStyle w:val="Heading1"/>
      </w:pPr>
      <w:r>
        <w:t>6. Repository structure</w:t>
      </w:r>
    </w:p>
    <w:p w14:paraId="43ABD7CA" w14:textId="77777777" w:rsidR="0072097F" w:rsidRDefault="00000000">
      <w:pPr>
        <w:spacing w:after="160" w:line="300" w:lineRule="auto"/>
      </w:pPr>
      <w:r>
        <w:t>The project is organized so that research, formal documentation, implementation, adversarial testing, and evaluation are kept in separate, clearly scoped directories:</w:t>
      </w:r>
    </w:p>
    <w:p w14:paraId="32823D72" w14:textId="77777777" w:rsidR="0072097F" w:rsidRDefault="00000000">
      <w:r>
        <w:rPr>
          <w:rFonts w:ascii="Consolas" w:eastAsia="Consolas" w:hAnsi="Consolas" w:cs="Consolas"/>
          <w:sz w:val="18"/>
          <w:szCs w:val="18"/>
        </w:rPr>
        <w:lastRenderedPageBreak/>
        <w:t>NuTureSense/</w:t>
      </w:r>
    </w:p>
    <w:p w14:paraId="497C08D1" w14:textId="77777777" w:rsidR="0072097F" w:rsidRDefault="00000000">
      <w:r>
        <w:rPr>
          <w:rFonts w:ascii="Consolas" w:eastAsia="Consolas" w:hAnsi="Consolas" w:cs="Consolas"/>
          <w:sz w:val="18"/>
          <w:szCs w:val="18"/>
        </w:rPr>
        <w:t>├── README.md</w:t>
      </w:r>
    </w:p>
    <w:p w14:paraId="366B21ED" w14:textId="77777777" w:rsidR="0072097F" w:rsidRDefault="00000000">
      <w:r>
        <w:rPr>
          <w:rFonts w:ascii="Consolas" w:eastAsia="Consolas" w:hAnsi="Consolas" w:cs="Consolas"/>
          <w:sz w:val="18"/>
          <w:szCs w:val="18"/>
        </w:rPr>
        <w:t>├── framework/</w:t>
      </w:r>
    </w:p>
    <w:p w14:paraId="47015F6F" w14:textId="77777777" w:rsidR="0072097F" w:rsidRDefault="00000000">
      <w:r>
        <w:rPr>
          <w:rFonts w:ascii="Consolas" w:eastAsia="Consolas" w:hAnsi="Consolas" w:cs="Consolas"/>
          <w:sz w:val="18"/>
          <w:szCs w:val="18"/>
        </w:rPr>
        <w:t>│   ├── NuTureSense_Framework.pdf</w:t>
      </w:r>
    </w:p>
    <w:p w14:paraId="1AB6F31A" w14:textId="77777777" w:rsidR="0072097F" w:rsidRDefault="00000000">
      <w:r>
        <w:rPr>
          <w:rFonts w:ascii="Consolas" w:eastAsia="Consolas" w:hAnsi="Consolas" w:cs="Consolas"/>
          <w:sz w:val="18"/>
          <w:szCs w:val="18"/>
        </w:rPr>
        <w:t>│   ├── NuTureSense_Framework.drawio</w:t>
      </w:r>
    </w:p>
    <w:p w14:paraId="7798F4C0" w14:textId="77777777" w:rsidR="0072097F" w:rsidRDefault="00000000">
      <w:r>
        <w:rPr>
          <w:rFonts w:ascii="Consolas" w:eastAsia="Consolas" w:hAnsi="Consolas" w:cs="Consolas"/>
          <w:sz w:val="18"/>
          <w:szCs w:val="18"/>
        </w:rPr>
        <w:t>│   └── framework-images/</w:t>
      </w:r>
    </w:p>
    <w:p w14:paraId="41F24E74" w14:textId="77777777" w:rsidR="0072097F" w:rsidRDefault="00000000">
      <w:r>
        <w:rPr>
          <w:rFonts w:ascii="Consolas" w:eastAsia="Consolas" w:hAnsi="Consolas" w:cs="Consolas"/>
          <w:sz w:val="18"/>
          <w:szCs w:val="18"/>
        </w:rPr>
        <w:t>│       ├── architecture.png</w:t>
      </w:r>
    </w:p>
    <w:p w14:paraId="07B896C7" w14:textId="77777777" w:rsidR="0072097F" w:rsidRDefault="00000000">
      <w:r>
        <w:rPr>
          <w:rFonts w:ascii="Consolas" w:eastAsia="Consolas" w:hAnsi="Consolas" w:cs="Consolas"/>
          <w:sz w:val="18"/>
          <w:szCs w:val="18"/>
        </w:rPr>
        <w:t>│       ├── data-flow.png</w:t>
      </w:r>
    </w:p>
    <w:p w14:paraId="4F7D1394" w14:textId="77777777" w:rsidR="0072097F" w:rsidRDefault="00000000">
      <w:r>
        <w:rPr>
          <w:rFonts w:ascii="Consolas" w:eastAsia="Consolas" w:hAnsi="Consolas" w:cs="Consolas"/>
          <w:sz w:val="18"/>
          <w:szCs w:val="18"/>
        </w:rPr>
        <w:t>│       ├── security-flow.png</w:t>
      </w:r>
    </w:p>
    <w:p w14:paraId="0C64F2F4" w14:textId="77777777" w:rsidR="0072097F" w:rsidRDefault="00000000">
      <w:r>
        <w:rPr>
          <w:rFonts w:ascii="Consolas" w:eastAsia="Consolas" w:hAnsi="Consolas" w:cs="Consolas"/>
          <w:sz w:val="18"/>
          <w:szCs w:val="18"/>
        </w:rPr>
        <w:t>│       └── adaptive-crypto.png</w:t>
      </w:r>
    </w:p>
    <w:p w14:paraId="17C93A7B" w14:textId="77777777" w:rsidR="0072097F" w:rsidRDefault="00000000">
      <w:r>
        <w:rPr>
          <w:rFonts w:ascii="Consolas" w:eastAsia="Consolas" w:hAnsi="Consolas" w:cs="Consolas"/>
          <w:sz w:val="18"/>
          <w:szCs w:val="18"/>
        </w:rPr>
        <w:t>├── research/</w:t>
      </w:r>
    </w:p>
    <w:p w14:paraId="1DD5513C" w14:textId="77777777" w:rsidR="0072097F" w:rsidRDefault="00000000">
      <w:r>
        <w:rPr>
          <w:rFonts w:ascii="Consolas" w:eastAsia="Consolas" w:hAnsi="Consolas" w:cs="Consolas"/>
          <w:sz w:val="18"/>
          <w:szCs w:val="18"/>
        </w:rPr>
        <w:t>│   ├── RESEARCH-PLAN.md</w:t>
      </w:r>
    </w:p>
    <w:p w14:paraId="1B9A2864" w14:textId="77777777" w:rsidR="0072097F" w:rsidRDefault="00000000">
      <w:r>
        <w:rPr>
          <w:rFonts w:ascii="Consolas" w:eastAsia="Consolas" w:hAnsi="Consolas" w:cs="Consolas"/>
          <w:sz w:val="18"/>
          <w:szCs w:val="18"/>
        </w:rPr>
        <w:t>│   ├── RESEARCH-QUESTIONS.md</w:t>
      </w:r>
    </w:p>
    <w:p w14:paraId="040C43A6" w14:textId="77777777" w:rsidR="0072097F" w:rsidRDefault="00000000">
      <w:r>
        <w:rPr>
          <w:rFonts w:ascii="Consolas" w:eastAsia="Consolas" w:hAnsi="Consolas" w:cs="Consolas"/>
          <w:sz w:val="18"/>
          <w:szCs w:val="18"/>
        </w:rPr>
        <w:t>│   ├── OBJECTIVES.md</w:t>
      </w:r>
    </w:p>
    <w:p w14:paraId="658BD713" w14:textId="77777777" w:rsidR="0072097F" w:rsidRDefault="00000000">
      <w:r>
        <w:rPr>
          <w:rFonts w:ascii="Consolas" w:eastAsia="Consolas" w:hAnsi="Consolas" w:cs="Consolas"/>
          <w:sz w:val="18"/>
          <w:szCs w:val="18"/>
        </w:rPr>
        <w:t>│   ├── RELATED-WORK.md</w:t>
      </w:r>
    </w:p>
    <w:p w14:paraId="40C6CE57" w14:textId="77777777" w:rsidR="0072097F" w:rsidRDefault="00000000">
      <w:r>
        <w:rPr>
          <w:rFonts w:ascii="Consolas" w:eastAsia="Consolas" w:hAnsi="Consolas" w:cs="Consolas"/>
          <w:sz w:val="18"/>
          <w:szCs w:val="18"/>
        </w:rPr>
        <w:t>│   └── RESEARCH-PROGRESS.md</w:t>
      </w:r>
    </w:p>
    <w:p w14:paraId="25E6C2AA" w14:textId="77777777" w:rsidR="0072097F" w:rsidRDefault="00000000">
      <w:r>
        <w:rPr>
          <w:rFonts w:ascii="Consolas" w:eastAsia="Consolas" w:hAnsi="Consolas" w:cs="Consolas"/>
          <w:sz w:val="18"/>
          <w:szCs w:val="18"/>
        </w:rPr>
        <w:t>├── documentation/</w:t>
      </w:r>
    </w:p>
    <w:p w14:paraId="20C6AC2E" w14:textId="77777777" w:rsidR="0072097F" w:rsidRDefault="00000000">
      <w:r>
        <w:rPr>
          <w:rFonts w:ascii="Consolas" w:eastAsia="Consolas" w:hAnsi="Consolas" w:cs="Consolas"/>
          <w:sz w:val="18"/>
          <w:szCs w:val="18"/>
        </w:rPr>
        <w:t>│   ├── SYSTEM-ARCHITECTURE.md</w:t>
      </w:r>
    </w:p>
    <w:p w14:paraId="00C831F0" w14:textId="77777777" w:rsidR="0072097F" w:rsidRDefault="00000000">
      <w:r>
        <w:rPr>
          <w:rFonts w:ascii="Consolas" w:eastAsia="Consolas" w:hAnsi="Consolas" w:cs="Consolas"/>
          <w:sz w:val="18"/>
          <w:szCs w:val="18"/>
        </w:rPr>
        <w:t>│   ├── SECURITY-DESIGN.md</w:t>
      </w:r>
    </w:p>
    <w:p w14:paraId="1B3073C5" w14:textId="77777777" w:rsidR="0072097F" w:rsidRDefault="00000000">
      <w:r>
        <w:rPr>
          <w:rFonts w:ascii="Consolas" w:eastAsia="Consolas" w:hAnsi="Consolas" w:cs="Consolas"/>
          <w:sz w:val="18"/>
          <w:szCs w:val="18"/>
        </w:rPr>
        <w:t>│   ├── PROTOCOL-DESIGN.md</w:t>
      </w:r>
    </w:p>
    <w:p w14:paraId="2CD60D28" w14:textId="77777777" w:rsidR="0072097F" w:rsidRDefault="00000000">
      <w:r>
        <w:rPr>
          <w:rFonts w:ascii="Consolas" w:eastAsia="Consolas" w:hAnsi="Consolas" w:cs="Consolas"/>
          <w:sz w:val="18"/>
          <w:szCs w:val="18"/>
        </w:rPr>
        <w:t>│   ├── THREAT-MODEL.md</w:t>
      </w:r>
    </w:p>
    <w:p w14:paraId="2AC38C8A" w14:textId="77777777" w:rsidR="0072097F" w:rsidRDefault="00000000">
      <w:r>
        <w:rPr>
          <w:rFonts w:ascii="Consolas" w:eastAsia="Consolas" w:hAnsi="Consolas" w:cs="Consolas"/>
          <w:sz w:val="18"/>
          <w:szCs w:val="18"/>
        </w:rPr>
        <w:t>│   └── EXPERIMENT-PLAN.md</w:t>
      </w:r>
    </w:p>
    <w:p w14:paraId="2AF35387" w14:textId="77777777" w:rsidR="0072097F" w:rsidRDefault="00000000">
      <w:r>
        <w:rPr>
          <w:rFonts w:ascii="Consolas" w:eastAsia="Consolas" w:hAnsi="Consolas" w:cs="Consolas"/>
          <w:sz w:val="18"/>
          <w:szCs w:val="18"/>
        </w:rPr>
        <w:t>├── prototype/</w:t>
      </w:r>
    </w:p>
    <w:p w14:paraId="53D82584" w14:textId="77777777" w:rsidR="0072097F" w:rsidRDefault="00000000">
      <w:r>
        <w:rPr>
          <w:rFonts w:ascii="Consolas" w:eastAsia="Consolas" w:hAnsi="Consolas" w:cs="Consolas"/>
          <w:sz w:val="18"/>
          <w:szCs w:val="18"/>
        </w:rPr>
        <w:t>│   ├── sender/</w:t>
      </w:r>
    </w:p>
    <w:p w14:paraId="26241561" w14:textId="77777777" w:rsidR="0072097F" w:rsidRDefault="00000000">
      <w:r>
        <w:rPr>
          <w:rFonts w:ascii="Consolas" w:eastAsia="Consolas" w:hAnsi="Consolas" w:cs="Consolas"/>
          <w:sz w:val="18"/>
          <w:szCs w:val="18"/>
        </w:rPr>
        <w:t>│   ├── receiver/</w:t>
      </w:r>
    </w:p>
    <w:p w14:paraId="5154F2EB" w14:textId="77777777" w:rsidR="0072097F" w:rsidRDefault="00000000">
      <w:r>
        <w:rPr>
          <w:rFonts w:ascii="Consolas" w:eastAsia="Consolas" w:hAnsi="Consolas" w:cs="Consolas"/>
          <w:sz w:val="18"/>
          <w:szCs w:val="18"/>
        </w:rPr>
        <w:t>│   ├── crypto/</w:t>
      </w:r>
    </w:p>
    <w:p w14:paraId="42F8028E" w14:textId="77777777" w:rsidR="0072097F" w:rsidRDefault="00000000">
      <w:r>
        <w:rPr>
          <w:rFonts w:ascii="Consolas" w:eastAsia="Consolas" w:hAnsi="Consolas" w:cs="Consolas"/>
          <w:sz w:val="18"/>
          <w:szCs w:val="18"/>
        </w:rPr>
        <w:t>│   ├── protocol/</w:t>
      </w:r>
    </w:p>
    <w:p w14:paraId="3F86CB9E" w14:textId="77777777" w:rsidR="0072097F" w:rsidRDefault="00000000">
      <w:r>
        <w:rPr>
          <w:rFonts w:ascii="Consolas" w:eastAsia="Consolas" w:hAnsi="Consolas" w:cs="Consolas"/>
          <w:sz w:val="18"/>
          <w:szCs w:val="18"/>
        </w:rPr>
        <w:t>│   └── simulated-lora/</w:t>
      </w:r>
    </w:p>
    <w:p w14:paraId="313E318F" w14:textId="77777777" w:rsidR="0072097F" w:rsidRDefault="00000000">
      <w:r>
        <w:rPr>
          <w:rFonts w:ascii="Consolas" w:eastAsia="Consolas" w:hAnsi="Consolas" w:cs="Consolas"/>
          <w:sz w:val="18"/>
          <w:szCs w:val="18"/>
        </w:rPr>
        <w:t>├── attacks/</w:t>
      </w:r>
    </w:p>
    <w:p w14:paraId="3A000787" w14:textId="77777777" w:rsidR="0072097F" w:rsidRDefault="00000000">
      <w:r>
        <w:rPr>
          <w:rFonts w:ascii="Consolas" w:eastAsia="Consolas" w:hAnsi="Consolas" w:cs="Consolas"/>
          <w:sz w:val="18"/>
          <w:szCs w:val="18"/>
        </w:rPr>
        <w:t>│   ├── tampering/</w:t>
      </w:r>
    </w:p>
    <w:p w14:paraId="2E2D91F2" w14:textId="77777777" w:rsidR="0072097F" w:rsidRDefault="00000000">
      <w:r>
        <w:rPr>
          <w:rFonts w:ascii="Consolas" w:eastAsia="Consolas" w:hAnsi="Consolas" w:cs="Consolas"/>
          <w:sz w:val="18"/>
          <w:szCs w:val="18"/>
        </w:rPr>
        <w:t>│   ├── replay/</w:t>
      </w:r>
    </w:p>
    <w:p w14:paraId="2544CAD4" w14:textId="77777777" w:rsidR="0072097F" w:rsidRDefault="00000000">
      <w:r>
        <w:rPr>
          <w:rFonts w:ascii="Consolas" w:eastAsia="Consolas" w:hAnsi="Consolas" w:cs="Consolas"/>
          <w:sz w:val="18"/>
          <w:szCs w:val="18"/>
        </w:rPr>
        <w:t>│   └── forgery/</w:t>
      </w:r>
    </w:p>
    <w:p w14:paraId="5B25FFA8" w14:textId="77777777" w:rsidR="0072097F" w:rsidRDefault="00000000">
      <w:r>
        <w:rPr>
          <w:rFonts w:ascii="Consolas" w:eastAsia="Consolas" w:hAnsi="Consolas" w:cs="Consolas"/>
          <w:sz w:val="18"/>
          <w:szCs w:val="18"/>
        </w:rPr>
        <w:t>├── experiments/</w:t>
      </w:r>
    </w:p>
    <w:p w14:paraId="5BCDA54C" w14:textId="77777777" w:rsidR="0072097F" w:rsidRDefault="00000000">
      <w:r>
        <w:rPr>
          <w:rFonts w:ascii="Consolas" w:eastAsia="Consolas" w:hAnsi="Consolas" w:cs="Consolas"/>
          <w:sz w:val="18"/>
          <w:szCs w:val="18"/>
        </w:rPr>
        <w:t>│   ├── benchmarks/</w:t>
      </w:r>
    </w:p>
    <w:p w14:paraId="7B4B4992" w14:textId="77777777" w:rsidR="0072097F" w:rsidRDefault="00000000">
      <w:r>
        <w:rPr>
          <w:rFonts w:ascii="Consolas" w:eastAsia="Consolas" w:hAnsi="Consolas" w:cs="Consolas"/>
          <w:sz w:val="18"/>
          <w:szCs w:val="18"/>
        </w:rPr>
        <w:t>│   ├── results/</w:t>
      </w:r>
    </w:p>
    <w:p w14:paraId="125254A3" w14:textId="77777777" w:rsidR="0072097F" w:rsidRDefault="00000000">
      <w:r>
        <w:rPr>
          <w:rFonts w:ascii="Consolas" w:eastAsia="Consolas" w:hAnsi="Consolas" w:cs="Consolas"/>
          <w:sz w:val="18"/>
          <w:szCs w:val="18"/>
        </w:rPr>
        <w:t>│   └── plots/</w:t>
      </w:r>
    </w:p>
    <w:p w14:paraId="7B85A895" w14:textId="77777777" w:rsidR="0072097F" w:rsidRDefault="00000000">
      <w:r>
        <w:rPr>
          <w:rFonts w:ascii="Consolas" w:eastAsia="Consolas" w:hAnsi="Consolas" w:cs="Consolas"/>
          <w:sz w:val="18"/>
          <w:szCs w:val="18"/>
        </w:rPr>
        <w:t>├── data/</w:t>
      </w:r>
    </w:p>
    <w:p w14:paraId="51A1653F" w14:textId="77777777" w:rsidR="0072097F" w:rsidRDefault="00000000">
      <w:r>
        <w:rPr>
          <w:rFonts w:ascii="Consolas" w:eastAsia="Consolas" w:hAnsi="Consolas" w:cs="Consolas"/>
          <w:sz w:val="18"/>
          <w:szCs w:val="18"/>
        </w:rPr>
        <w:t>│   ├── sample/</w:t>
      </w:r>
    </w:p>
    <w:p w14:paraId="37B60B50" w14:textId="77777777" w:rsidR="0072097F" w:rsidRDefault="00000000">
      <w:r>
        <w:rPr>
          <w:rFonts w:ascii="Consolas" w:eastAsia="Consolas" w:hAnsi="Consolas" w:cs="Consolas"/>
          <w:sz w:val="18"/>
          <w:szCs w:val="18"/>
        </w:rPr>
        <w:t>│   └── generated/</w:t>
      </w:r>
    </w:p>
    <w:p w14:paraId="5DDCC557" w14:textId="77777777" w:rsidR="0072097F" w:rsidRDefault="00000000">
      <w:r>
        <w:rPr>
          <w:rFonts w:ascii="Consolas" w:eastAsia="Consolas" w:hAnsi="Consolas" w:cs="Consolas"/>
          <w:sz w:val="18"/>
          <w:szCs w:val="18"/>
        </w:rPr>
        <w:t>├── papers/</w:t>
      </w:r>
    </w:p>
    <w:p w14:paraId="798B8D2B" w14:textId="77777777" w:rsidR="0072097F" w:rsidRDefault="00000000">
      <w:r>
        <w:rPr>
          <w:rFonts w:ascii="Consolas" w:eastAsia="Consolas" w:hAnsi="Consolas" w:cs="Consolas"/>
          <w:sz w:val="18"/>
          <w:szCs w:val="18"/>
        </w:rPr>
        <w:t>│   ├── papers-reviewed.md</w:t>
      </w:r>
    </w:p>
    <w:p w14:paraId="79B3A068" w14:textId="77777777" w:rsidR="0072097F" w:rsidRDefault="00000000">
      <w:r>
        <w:rPr>
          <w:rFonts w:ascii="Consolas" w:eastAsia="Consolas" w:hAnsi="Consolas" w:cs="Consolas"/>
          <w:sz w:val="18"/>
          <w:szCs w:val="18"/>
        </w:rPr>
        <w:t>│   └── references.bib</w:t>
      </w:r>
    </w:p>
    <w:p w14:paraId="7B1DA44C" w14:textId="77777777" w:rsidR="0072097F" w:rsidRDefault="00000000">
      <w:r>
        <w:rPr>
          <w:rFonts w:ascii="Consolas" w:eastAsia="Consolas" w:hAnsi="Consolas" w:cs="Consolas"/>
          <w:sz w:val="18"/>
          <w:szCs w:val="18"/>
        </w:rPr>
        <w:t>├── presentations/</w:t>
      </w:r>
    </w:p>
    <w:p w14:paraId="3B34F4D1" w14:textId="77777777" w:rsidR="0072097F" w:rsidRDefault="00000000">
      <w:r>
        <w:rPr>
          <w:rFonts w:ascii="Consolas" w:eastAsia="Consolas" w:hAnsi="Consolas" w:cs="Consolas"/>
          <w:sz w:val="18"/>
          <w:szCs w:val="18"/>
        </w:rPr>
        <w:t>│   └── ...</w:t>
      </w:r>
    </w:p>
    <w:p w14:paraId="79A0BD7B" w14:textId="77777777" w:rsidR="0072097F" w:rsidRDefault="00000000">
      <w:r>
        <w:rPr>
          <w:rFonts w:ascii="Consolas" w:eastAsia="Consolas" w:hAnsi="Consolas" w:cs="Consolas"/>
          <w:sz w:val="18"/>
          <w:szCs w:val="18"/>
        </w:rPr>
        <w:t>├── requirements.txt</w:t>
      </w:r>
    </w:p>
    <w:p w14:paraId="2692036F" w14:textId="77777777" w:rsidR="0072097F" w:rsidRDefault="00000000">
      <w:r>
        <w:rPr>
          <w:rFonts w:ascii="Consolas" w:eastAsia="Consolas" w:hAnsi="Consolas" w:cs="Consolas"/>
          <w:sz w:val="18"/>
          <w:szCs w:val="18"/>
        </w:rPr>
        <w:t>├── LICENSE</w:t>
      </w:r>
    </w:p>
    <w:p w14:paraId="4A9A7498" w14:textId="77777777" w:rsidR="0072097F" w:rsidRDefault="00000000">
      <w:r>
        <w:rPr>
          <w:rFonts w:ascii="Consolas" w:eastAsia="Consolas" w:hAnsi="Consolas" w:cs="Consolas"/>
          <w:sz w:val="18"/>
          <w:szCs w:val="18"/>
        </w:rPr>
        <w:t>└── .gitignore</w:t>
      </w:r>
    </w:p>
    <w:p w14:paraId="2277B8B2" w14:textId="77777777" w:rsidR="0072097F" w:rsidRDefault="0072097F">
      <w:pPr>
        <w:spacing w:before="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72097F" w14:paraId="13A51B71" w14:textId="77777777">
        <w:tblPrEx>
          <w:tblCellMar>
            <w:top w:w="0" w:type="dxa"/>
            <w:bottom w:w="0" w:type="dxa"/>
          </w:tblCellMar>
        </w:tblPrEx>
        <w:tc>
          <w:tcPr>
            <w:tcW w:w="2400" w:type="dxa"/>
            <w:shd w:val="clear" w:color="auto" w:fill="EEEDFE"/>
            <w:tcMar>
              <w:top w:w="80" w:type="dxa"/>
              <w:left w:w="100" w:type="dxa"/>
              <w:bottom w:w="80" w:type="dxa"/>
              <w:right w:w="100" w:type="dxa"/>
            </w:tcMar>
          </w:tcPr>
          <w:p w14:paraId="65F55775" w14:textId="77777777" w:rsidR="0072097F" w:rsidRDefault="00000000">
            <w:r>
              <w:rPr>
                <w:b/>
                <w:bCs/>
                <w:color w:val="26215C"/>
                <w:sz w:val="20"/>
                <w:szCs w:val="20"/>
              </w:rPr>
              <w:t>Folder</w:t>
            </w:r>
          </w:p>
        </w:tc>
        <w:tc>
          <w:tcPr>
            <w:tcW w:w="6950" w:type="dxa"/>
            <w:shd w:val="clear" w:color="auto" w:fill="EEEDFE"/>
            <w:tcMar>
              <w:top w:w="80" w:type="dxa"/>
              <w:left w:w="100" w:type="dxa"/>
              <w:bottom w:w="80" w:type="dxa"/>
              <w:right w:w="100" w:type="dxa"/>
            </w:tcMar>
          </w:tcPr>
          <w:p w14:paraId="102918B2" w14:textId="77777777" w:rsidR="0072097F" w:rsidRDefault="00000000">
            <w:r>
              <w:rPr>
                <w:b/>
                <w:bCs/>
                <w:color w:val="000000"/>
                <w:sz w:val="20"/>
                <w:szCs w:val="20"/>
              </w:rPr>
              <w:t>Purpose</w:t>
            </w:r>
          </w:p>
        </w:tc>
      </w:tr>
      <w:tr w:rsidR="0072097F" w14:paraId="5A0C9D39" w14:textId="77777777">
        <w:tblPrEx>
          <w:tblCellMar>
            <w:top w:w="0" w:type="dxa"/>
            <w:bottom w:w="0" w:type="dxa"/>
          </w:tblCellMar>
        </w:tblPrEx>
        <w:tc>
          <w:tcPr>
            <w:tcW w:w="2400" w:type="dxa"/>
            <w:tcMar>
              <w:top w:w="80" w:type="dxa"/>
              <w:left w:w="100" w:type="dxa"/>
              <w:bottom w:w="80" w:type="dxa"/>
              <w:right w:w="100" w:type="dxa"/>
            </w:tcMar>
          </w:tcPr>
          <w:p w14:paraId="401A690F" w14:textId="77777777" w:rsidR="0072097F" w:rsidRDefault="00000000">
            <w:r>
              <w:rPr>
                <w:b/>
                <w:bCs/>
                <w:color w:val="000000"/>
                <w:sz w:val="20"/>
                <w:szCs w:val="20"/>
              </w:rPr>
              <w:t>framework/</w:t>
            </w:r>
          </w:p>
        </w:tc>
        <w:tc>
          <w:tcPr>
            <w:tcW w:w="6950" w:type="dxa"/>
            <w:tcMar>
              <w:top w:w="80" w:type="dxa"/>
              <w:left w:w="100" w:type="dxa"/>
              <w:bottom w:w="80" w:type="dxa"/>
              <w:right w:w="100" w:type="dxa"/>
            </w:tcMar>
          </w:tcPr>
          <w:p w14:paraId="503D4854" w14:textId="77777777" w:rsidR="0072097F" w:rsidRDefault="00000000">
            <w:r>
              <w:rPr>
                <w:color w:val="000000"/>
                <w:sz w:val="20"/>
                <w:szCs w:val="20"/>
              </w:rPr>
              <w:t>Canonical framework diagram (PDF, editable .drawio) and exported figures used across the documentation</w:t>
            </w:r>
          </w:p>
        </w:tc>
      </w:tr>
      <w:tr w:rsidR="0072097F" w14:paraId="1CD4AA8F" w14:textId="77777777">
        <w:tblPrEx>
          <w:tblCellMar>
            <w:top w:w="0" w:type="dxa"/>
            <w:bottom w:w="0" w:type="dxa"/>
          </w:tblCellMar>
        </w:tblPrEx>
        <w:tc>
          <w:tcPr>
            <w:tcW w:w="2400" w:type="dxa"/>
            <w:tcMar>
              <w:top w:w="80" w:type="dxa"/>
              <w:left w:w="100" w:type="dxa"/>
              <w:bottom w:w="80" w:type="dxa"/>
              <w:right w:w="100" w:type="dxa"/>
            </w:tcMar>
          </w:tcPr>
          <w:p w14:paraId="30F88453" w14:textId="77777777" w:rsidR="0072097F" w:rsidRDefault="00000000">
            <w:r>
              <w:rPr>
                <w:b/>
                <w:bCs/>
                <w:color w:val="000000"/>
                <w:sz w:val="20"/>
                <w:szCs w:val="20"/>
              </w:rPr>
              <w:t>research/</w:t>
            </w:r>
          </w:p>
        </w:tc>
        <w:tc>
          <w:tcPr>
            <w:tcW w:w="6950" w:type="dxa"/>
            <w:tcMar>
              <w:top w:w="80" w:type="dxa"/>
              <w:left w:w="100" w:type="dxa"/>
              <w:bottom w:w="80" w:type="dxa"/>
              <w:right w:w="100" w:type="dxa"/>
            </w:tcMar>
          </w:tcPr>
          <w:p w14:paraId="48F93E37" w14:textId="77777777" w:rsidR="0072097F" w:rsidRDefault="00000000">
            <w:r>
              <w:rPr>
                <w:color w:val="000000"/>
                <w:sz w:val="20"/>
                <w:szCs w:val="20"/>
              </w:rPr>
              <w:t>Research plan, questions, objectives, and a running log of related work and progress</w:t>
            </w:r>
          </w:p>
        </w:tc>
      </w:tr>
      <w:tr w:rsidR="0072097F" w14:paraId="1E63A32D" w14:textId="77777777">
        <w:tblPrEx>
          <w:tblCellMar>
            <w:top w:w="0" w:type="dxa"/>
            <w:bottom w:w="0" w:type="dxa"/>
          </w:tblCellMar>
        </w:tblPrEx>
        <w:tc>
          <w:tcPr>
            <w:tcW w:w="2400" w:type="dxa"/>
            <w:tcMar>
              <w:top w:w="80" w:type="dxa"/>
              <w:left w:w="100" w:type="dxa"/>
              <w:bottom w:w="80" w:type="dxa"/>
              <w:right w:w="100" w:type="dxa"/>
            </w:tcMar>
          </w:tcPr>
          <w:p w14:paraId="259FFCFA" w14:textId="77777777" w:rsidR="0072097F" w:rsidRDefault="00000000">
            <w:r>
              <w:rPr>
                <w:b/>
                <w:bCs/>
                <w:color w:val="000000"/>
                <w:sz w:val="20"/>
                <w:szCs w:val="20"/>
              </w:rPr>
              <w:t>documentation/</w:t>
            </w:r>
          </w:p>
        </w:tc>
        <w:tc>
          <w:tcPr>
            <w:tcW w:w="6950" w:type="dxa"/>
            <w:tcMar>
              <w:top w:w="80" w:type="dxa"/>
              <w:left w:w="100" w:type="dxa"/>
              <w:bottom w:w="80" w:type="dxa"/>
              <w:right w:w="100" w:type="dxa"/>
            </w:tcMar>
          </w:tcPr>
          <w:p w14:paraId="05B8D22C" w14:textId="77777777" w:rsidR="0072097F" w:rsidRDefault="00000000">
            <w:r>
              <w:rPr>
                <w:color w:val="000000"/>
                <w:sz w:val="20"/>
                <w:szCs w:val="20"/>
              </w:rPr>
              <w:t>Formal write-ups: system architecture, security design, protocol design, threat model, experiment plan</w:t>
            </w:r>
          </w:p>
        </w:tc>
      </w:tr>
      <w:tr w:rsidR="0072097F" w14:paraId="4EB2AC03" w14:textId="77777777">
        <w:tblPrEx>
          <w:tblCellMar>
            <w:top w:w="0" w:type="dxa"/>
            <w:bottom w:w="0" w:type="dxa"/>
          </w:tblCellMar>
        </w:tblPrEx>
        <w:tc>
          <w:tcPr>
            <w:tcW w:w="2400" w:type="dxa"/>
            <w:tcMar>
              <w:top w:w="80" w:type="dxa"/>
              <w:left w:w="100" w:type="dxa"/>
              <w:bottom w:w="80" w:type="dxa"/>
              <w:right w:w="100" w:type="dxa"/>
            </w:tcMar>
          </w:tcPr>
          <w:p w14:paraId="6F77A9DF" w14:textId="77777777" w:rsidR="0072097F" w:rsidRDefault="00000000">
            <w:r>
              <w:rPr>
                <w:b/>
                <w:bCs/>
                <w:color w:val="000000"/>
                <w:sz w:val="20"/>
                <w:szCs w:val="20"/>
              </w:rPr>
              <w:t>prototype/</w:t>
            </w:r>
          </w:p>
        </w:tc>
        <w:tc>
          <w:tcPr>
            <w:tcW w:w="6950" w:type="dxa"/>
            <w:tcMar>
              <w:top w:w="80" w:type="dxa"/>
              <w:left w:w="100" w:type="dxa"/>
              <w:bottom w:w="80" w:type="dxa"/>
              <w:right w:w="100" w:type="dxa"/>
            </w:tcMar>
          </w:tcPr>
          <w:p w14:paraId="5CBCB683" w14:textId="77777777" w:rsidR="0072097F" w:rsidRDefault="00000000">
            <w:r>
              <w:rPr>
                <w:color w:val="000000"/>
                <w:sz w:val="20"/>
                <w:szCs w:val="20"/>
              </w:rPr>
              <w:t>Implementation split into sender, receiver, crypto, protocol, and a simulated-LoRa channel for testing without hardware</w:t>
            </w:r>
          </w:p>
        </w:tc>
      </w:tr>
      <w:tr w:rsidR="0072097F" w14:paraId="371FDD09" w14:textId="77777777">
        <w:tblPrEx>
          <w:tblCellMar>
            <w:top w:w="0" w:type="dxa"/>
            <w:bottom w:w="0" w:type="dxa"/>
          </w:tblCellMar>
        </w:tblPrEx>
        <w:tc>
          <w:tcPr>
            <w:tcW w:w="2400" w:type="dxa"/>
            <w:tcMar>
              <w:top w:w="80" w:type="dxa"/>
              <w:left w:w="100" w:type="dxa"/>
              <w:bottom w:w="80" w:type="dxa"/>
              <w:right w:w="100" w:type="dxa"/>
            </w:tcMar>
          </w:tcPr>
          <w:p w14:paraId="377DC290" w14:textId="77777777" w:rsidR="0072097F" w:rsidRDefault="00000000">
            <w:r>
              <w:rPr>
                <w:b/>
                <w:bCs/>
                <w:color w:val="000000"/>
                <w:sz w:val="20"/>
                <w:szCs w:val="20"/>
              </w:rPr>
              <w:lastRenderedPageBreak/>
              <w:t>attacks/</w:t>
            </w:r>
          </w:p>
        </w:tc>
        <w:tc>
          <w:tcPr>
            <w:tcW w:w="6950" w:type="dxa"/>
            <w:tcMar>
              <w:top w:w="80" w:type="dxa"/>
              <w:left w:w="100" w:type="dxa"/>
              <w:bottom w:w="80" w:type="dxa"/>
              <w:right w:w="100" w:type="dxa"/>
            </w:tcMar>
          </w:tcPr>
          <w:p w14:paraId="6E9DCF1F" w14:textId="77777777" w:rsidR="0072097F" w:rsidRDefault="00000000">
            <w:r>
              <w:rPr>
                <w:color w:val="000000"/>
                <w:sz w:val="20"/>
                <w:szCs w:val="20"/>
              </w:rPr>
              <w:t>Proof-of-concept adversarial modules used to validate the design against tampering, replay, and forgery</w:t>
            </w:r>
          </w:p>
        </w:tc>
      </w:tr>
      <w:tr w:rsidR="0072097F" w14:paraId="122D8A4C" w14:textId="77777777">
        <w:tblPrEx>
          <w:tblCellMar>
            <w:top w:w="0" w:type="dxa"/>
            <w:bottom w:w="0" w:type="dxa"/>
          </w:tblCellMar>
        </w:tblPrEx>
        <w:tc>
          <w:tcPr>
            <w:tcW w:w="2400" w:type="dxa"/>
            <w:tcMar>
              <w:top w:w="80" w:type="dxa"/>
              <w:left w:w="100" w:type="dxa"/>
              <w:bottom w:w="80" w:type="dxa"/>
              <w:right w:w="100" w:type="dxa"/>
            </w:tcMar>
          </w:tcPr>
          <w:p w14:paraId="5C6F7703" w14:textId="77777777" w:rsidR="0072097F" w:rsidRDefault="00000000">
            <w:r>
              <w:rPr>
                <w:b/>
                <w:bCs/>
                <w:color w:val="000000"/>
                <w:sz w:val="20"/>
                <w:szCs w:val="20"/>
              </w:rPr>
              <w:t>experiments/</w:t>
            </w:r>
          </w:p>
        </w:tc>
        <w:tc>
          <w:tcPr>
            <w:tcW w:w="6950" w:type="dxa"/>
            <w:tcMar>
              <w:top w:w="80" w:type="dxa"/>
              <w:left w:w="100" w:type="dxa"/>
              <w:bottom w:w="80" w:type="dxa"/>
              <w:right w:w="100" w:type="dxa"/>
            </w:tcMar>
          </w:tcPr>
          <w:p w14:paraId="3B3598A3" w14:textId="77777777" w:rsidR="0072097F" w:rsidRDefault="00000000">
            <w:r>
              <w:rPr>
                <w:color w:val="000000"/>
                <w:sz w:val="20"/>
                <w:szCs w:val="20"/>
              </w:rPr>
              <w:t>Benchmark scripts, raw results, and generated plots supporting the evaluation</w:t>
            </w:r>
          </w:p>
        </w:tc>
      </w:tr>
      <w:tr w:rsidR="0072097F" w14:paraId="0B94A55E" w14:textId="77777777">
        <w:tblPrEx>
          <w:tblCellMar>
            <w:top w:w="0" w:type="dxa"/>
            <w:bottom w:w="0" w:type="dxa"/>
          </w:tblCellMar>
        </w:tblPrEx>
        <w:tc>
          <w:tcPr>
            <w:tcW w:w="2400" w:type="dxa"/>
            <w:tcMar>
              <w:top w:w="80" w:type="dxa"/>
              <w:left w:w="100" w:type="dxa"/>
              <w:bottom w:w="80" w:type="dxa"/>
              <w:right w:w="100" w:type="dxa"/>
            </w:tcMar>
          </w:tcPr>
          <w:p w14:paraId="781F3A5B" w14:textId="77777777" w:rsidR="0072097F" w:rsidRDefault="00000000">
            <w:r>
              <w:rPr>
                <w:b/>
                <w:bCs/>
                <w:color w:val="000000"/>
                <w:sz w:val="20"/>
                <w:szCs w:val="20"/>
              </w:rPr>
              <w:t>data/</w:t>
            </w:r>
          </w:p>
        </w:tc>
        <w:tc>
          <w:tcPr>
            <w:tcW w:w="6950" w:type="dxa"/>
            <w:tcMar>
              <w:top w:w="80" w:type="dxa"/>
              <w:left w:w="100" w:type="dxa"/>
              <w:bottom w:w="80" w:type="dxa"/>
              <w:right w:w="100" w:type="dxa"/>
            </w:tcMar>
          </w:tcPr>
          <w:p w14:paraId="610EB077" w14:textId="77777777" w:rsidR="0072097F" w:rsidRDefault="00000000">
            <w:r>
              <w:rPr>
                <w:color w:val="000000"/>
                <w:sz w:val="20"/>
                <w:szCs w:val="20"/>
              </w:rPr>
              <w:t>Sample and generated datasets used for testing and benchmarking</w:t>
            </w:r>
          </w:p>
        </w:tc>
      </w:tr>
      <w:tr w:rsidR="0072097F" w14:paraId="353AB7FC" w14:textId="77777777">
        <w:tblPrEx>
          <w:tblCellMar>
            <w:top w:w="0" w:type="dxa"/>
            <w:bottom w:w="0" w:type="dxa"/>
          </w:tblCellMar>
        </w:tblPrEx>
        <w:tc>
          <w:tcPr>
            <w:tcW w:w="2400" w:type="dxa"/>
            <w:tcMar>
              <w:top w:w="80" w:type="dxa"/>
              <w:left w:w="100" w:type="dxa"/>
              <w:bottom w:w="80" w:type="dxa"/>
              <w:right w:w="100" w:type="dxa"/>
            </w:tcMar>
          </w:tcPr>
          <w:p w14:paraId="6098BC59" w14:textId="77777777" w:rsidR="0072097F" w:rsidRDefault="00000000">
            <w:r>
              <w:rPr>
                <w:b/>
                <w:bCs/>
                <w:color w:val="000000"/>
                <w:sz w:val="20"/>
                <w:szCs w:val="20"/>
              </w:rPr>
              <w:t>papers/</w:t>
            </w:r>
          </w:p>
        </w:tc>
        <w:tc>
          <w:tcPr>
            <w:tcW w:w="6950" w:type="dxa"/>
            <w:tcMar>
              <w:top w:w="80" w:type="dxa"/>
              <w:left w:w="100" w:type="dxa"/>
              <w:bottom w:w="80" w:type="dxa"/>
              <w:right w:w="100" w:type="dxa"/>
            </w:tcMar>
          </w:tcPr>
          <w:p w14:paraId="5E7E7AD2" w14:textId="77777777" w:rsidR="0072097F" w:rsidRDefault="00000000">
            <w:r>
              <w:rPr>
                <w:color w:val="000000"/>
                <w:sz w:val="20"/>
                <w:szCs w:val="20"/>
              </w:rPr>
              <w:t>Literature review notes and a BibTeX reference list</w:t>
            </w:r>
          </w:p>
        </w:tc>
      </w:tr>
      <w:tr w:rsidR="0072097F" w14:paraId="6DBE3DFA" w14:textId="77777777">
        <w:tblPrEx>
          <w:tblCellMar>
            <w:top w:w="0" w:type="dxa"/>
            <w:bottom w:w="0" w:type="dxa"/>
          </w:tblCellMar>
        </w:tblPrEx>
        <w:tc>
          <w:tcPr>
            <w:tcW w:w="2400" w:type="dxa"/>
            <w:tcMar>
              <w:top w:w="80" w:type="dxa"/>
              <w:left w:w="100" w:type="dxa"/>
              <w:bottom w:w="80" w:type="dxa"/>
              <w:right w:w="100" w:type="dxa"/>
            </w:tcMar>
          </w:tcPr>
          <w:p w14:paraId="28B11564" w14:textId="77777777" w:rsidR="0072097F" w:rsidRDefault="00000000">
            <w:r>
              <w:rPr>
                <w:b/>
                <w:bCs/>
                <w:color w:val="000000"/>
                <w:sz w:val="20"/>
                <w:szCs w:val="20"/>
              </w:rPr>
              <w:t>presentations/</w:t>
            </w:r>
          </w:p>
        </w:tc>
        <w:tc>
          <w:tcPr>
            <w:tcW w:w="6950" w:type="dxa"/>
            <w:tcMar>
              <w:top w:w="80" w:type="dxa"/>
              <w:left w:w="100" w:type="dxa"/>
              <w:bottom w:w="80" w:type="dxa"/>
              <w:right w:w="100" w:type="dxa"/>
            </w:tcMar>
          </w:tcPr>
          <w:p w14:paraId="2C8E64D0" w14:textId="77777777" w:rsidR="0072097F" w:rsidRDefault="00000000">
            <w:r>
              <w:rPr>
                <w:color w:val="000000"/>
                <w:sz w:val="20"/>
                <w:szCs w:val="20"/>
              </w:rPr>
              <w:t>Slide decks used for progress reviews and defenses</w:t>
            </w:r>
          </w:p>
        </w:tc>
      </w:tr>
    </w:tbl>
    <w:p w14:paraId="365C856D" w14:textId="77777777" w:rsidR="0072097F" w:rsidRDefault="00000000">
      <w:pPr>
        <w:pStyle w:val="Heading1"/>
      </w:pPr>
      <w:r>
        <w:t>7. Evaluation approach</w:t>
      </w:r>
    </w:p>
    <w:p w14:paraId="167765C4" w14:textId="77777777" w:rsidR="0072097F" w:rsidRDefault="00000000">
      <w:pPr>
        <w:spacing w:after="160" w:line="300" w:lineRule="auto"/>
      </w:pPr>
      <w:r>
        <w:t>The experiments/ directory holds the benchmarking harness, raw results, and generated plots used to evaluate the framework — for example comparing AES-GCM and ChaCha20-Poly1305 on encryption/decryption latency, energy or CPU cost, and end-to-end throughput over the simulated LoRa channel, alongside the detection rate of the tampering, replay, and forgery attack modules.</w:t>
      </w:r>
    </w:p>
    <w:p w14:paraId="7D87C865" w14:textId="77777777" w:rsidR="0072097F" w:rsidRDefault="00000000">
      <w:pPr>
        <w:pStyle w:val="Heading1"/>
      </w:pPr>
      <w:r>
        <w:t>8. Summary</w:t>
      </w:r>
    </w:p>
    <w:p w14:paraId="5D1FD3BC" w14:textId="77777777" w:rsidR="0072097F" w:rsidRDefault="00000000">
      <w:pPr>
        <w:spacing w:after="160" w:line="300" w:lineRule="auto"/>
      </w:pPr>
      <w:r>
        <w:t>NuTureSense packages a sensing front-end, an adaptive AEAD-based security layer, and a LoRa communication link into a single, testable pipeline, with the project repository organized to keep the research plan, formal design documentation, prototype, attack modules, and experimental evaluation traceable to one another. The adaptive cryptographic controller is the key novelty: it lets the system choose the more suitable AEAD cipher for the deployment context while leaving the surrounding protocol, key management, and anti-replay guarantees unchanged.</w:t>
      </w:r>
    </w:p>
    <w:sectPr w:rsidR="0072097F">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76DEA"/>
    <w:multiLevelType w:val="hybridMultilevel"/>
    <w:tmpl w:val="68889914"/>
    <w:lvl w:ilvl="0" w:tplc="37DA35B4">
      <w:start w:val="1"/>
      <w:numFmt w:val="bullet"/>
      <w:lvlText w:val="●"/>
      <w:lvlJc w:val="left"/>
      <w:pPr>
        <w:ind w:left="720" w:hanging="360"/>
      </w:pPr>
    </w:lvl>
    <w:lvl w:ilvl="1" w:tplc="9718FC98">
      <w:start w:val="1"/>
      <w:numFmt w:val="bullet"/>
      <w:lvlText w:val="○"/>
      <w:lvlJc w:val="left"/>
      <w:pPr>
        <w:ind w:left="1440" w:hanging="360"/>
      </w:pPr>
    </w:lvl>
    <w:lvl w:ilvl="2" w:tplc="F17CDC6A">
      <w:start w:val="1"/>
      <w:numFmt w:val="bullet"/>
      <w:lvlText w:val="■"/>
      <w:lvlJc w:val="left"/>
      <w:pPr>
        <w:ind w:left="2160" w:hanging="360"/>
      </w:pPr>
    </w:lvl>
    <w:lvl w:ilvl="3" w:tplc="733E9626">
      <w:start w:val="1"/>
      <w:numFmt w:val="bullet"/>
      <w:lvlText w:val="●"/>
      <w:lvlJc w:val="left"/>
      <w:pPr>
        <w:ind w:left="2880" w:hanging="360"/>
      </w:pPr>
    </w:lvl>
    <w:lvl w:ilvl="4" w:tplc="DB0CDE14">
      <w:start w:val="1"/>
      <w:numFmt w:val="bullet"/>
      <w:lvlText w:val="○"/>
      <w:lvlJc w:val="left"/>
      <w:pPr>
        <w:ind w:left="3600" w:hanging="360"/>
      </w:pPr>
    </w:lvl>
    <w:lvl w:ilvl="5" w:tplc="2384FA66">
      <w:start w:val="1"/>
      <w:numFmt w:val="bullet"/>
      <w:lvlText w:val="■"/>
      <w:lvlJc w:val="left"/>
      <w:pPr>
        <w:ind w:left="4320" w:hanging="360"/>
      </w:pPr>
    </w:lvl>
    <w:lvl w:ilvl="6" w:tplc="D65C2B60">
      <w:start w:val="1"/>
      <w:numFmt w:val="bullet"/>
      <w:lvlText w:val="●"/>
      <w:lvlJc w:val="left"/>
      <w:pPr>
        <w:ind w:left="5040" w:hanging="360"/>
      </w:pPr>
    </w:lvl>
    <w:lvl w:ilvl="7" w:tplc="4EBA88EA">
      <w:start w:val="1"/>
      <w:numFmt w:val="bullet"/>
      <w:lvlText w:val="●"/>
      <w:lvlJc w:val="left"/>
      <w:pPr>
        <w:ind w:left="5760" w:hanging="360"/>
      </w:pPr>
    </w:lvl>
    <w:lvl w:ilvl="8" w:tplc="F0D246A8">
      <w:start w:val="1"/>
      <w:numFmt w:val="bullet"/>
      <w:lvlText w:val="●"/>
      <w:lvlJc w:val="left"/>
      <w:pPr>
        <w:ind w:left="6480" w:hanging="360"/>
      </w:pPr>
    </w:lvl>
  </w:abstractNum>
  <w:num w:numId="1" w16cid:durableId="3349646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97F"/>
    <w:rsid w:val="0047145E"/>
    <w:rsid w:val="00704B97"/>
    <w:rsid w:val="0072097F"/>
    <w:rsid w:val="008C34D0"/>
    <w:rsid w:val="00CB5C39"/>
    <w:rsid w:val="00F331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92F84"/>
  <w15:docId w15:val="{EB39EF24-9FD4-4E26-BBF1-E7D3DE376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6215C"/>
      <w:sz w:val="30"/>
      <w:szCs w:val="30"/>
    </w:rPr>
  </w:style>
  <w:style w:type="paragraph" w:styleId="Heading2">
    <w:name w:val="heading 2"/>
    <w:uiPriority w:val="9"/>
    <w:semiHidden/>
    <w:unhideWhenUsed/>
    <w:qFormat/>
    <w:pPr>
      <w:spacing w:before="240" w:after="120"/>
      <w:outlineLvl w:val="1"/>
    </w:pPr>
    <w:rPr>
      <w:b/>
      <w:bCs/>
      <w:color w:val="26215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1157</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TIYASHA DASGUPTA (RA2511030010398)</cp:lastModifiedBy>
  <cp:revision>4</cp:revision>
  <dcterms:created xsi:type="dcterms:W3CDTF">2026-09-25T15:31:00Z</dcterms:created>
  <dcterms:modified xsi:type="dcterms:W3CDTF">2026-09-25T15:45:00Z</dcterms:modified>
</cp:coreProperties>
</file>