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600" w:after="600"/>
        <w:jc w:val="center"/>
        <w:rPr/>
      </w:pPr>
      <w:r>
        <w:rPr>
          <w:rFonts w:eastAsia="Arial" w:cs="Arial" w:ascii="Arial" w:hAnsi="Arial"/>
          <w:b/>
          <w:bCs/>
          <w:sz w:val="40"/>
          <w:szCs w:val="40"/>
        </w:rPr>
        <w:t>Agentic AI Framework for Network Anomaly Detection, Root Cause Analysis and Remediation Recommendation</w:t>
      </w:r>
    </w:p>
    <w:p>
      <w:pPr>
        <w:pStyle w:val="Normal"/>
        <w:spacing w:lineRule="auto" w:line="276" w:before="0" w:after="80"/>
        <w:jc w:val="center"/>
        <w:rPr/>
      </w:pPr>
      <w:r>
        <w:rPr>
          <w:rFonts w:eastAsia="Times New Roman" w:cs="Times New Roman"/>
          <w:sz w:val="24"/>
          <w:szCs w:val="24"/>
        </w:rPr>
        <w:t>A project report submitted in partial fulfilment</w:t>
      </w:r>
    </w:p>
    <w:p>
      <w:pPr>
        <w:pStyle w:val="Normal"/>
        <w:spacing w:lineRule="auto" w:line="276" w:before="0" w:after="400"/>
        <w:jc w:val="center"/>
        <w:rPr/>
      </w:pPr>
      <w:r>
        <w:rPr>
          <w:rFonts w:eastAsia="Times New Roman" w:cs="Times New Roman"/>
          <w:sz w:val="24"/>
          <w:szCs w:val="24"/>
        </w:rPr>
        <w:t>of the requirements for the degree of</w:t>
      </w:r>
    </w:p>
    <w:p>
      <w:pPr>
        <w:pStyle w:val="Normal"/>
        <w:spacing w:lineRule="auto" w:line="276" w:before="0" w:after="160"/>
        <w:jc w:val="center"/>
        <w:rPr/>
      </w:pPr>
      <w:r>
        <w:rPr>
          <w:rFonts w:eastAsia="Times New Roman" w:cs="Times New Roman"/>
          <w:b/>
          <w:bCs/>
          <w:sz w:val="28"/>
          <w:szCs w:val="28"/>
        </w:rPr>
        <w:t>Bachelor of Technology</w:t>
      </w:r>
    </w:p>
    <w:p>
      <w:pPr>
        <w:pStyle w:val="Normal"/>
        <w:spacing w:lineRule="auto" w:line="276" w:before="0" w:after="160"/>
        <w:jc w:val="center"/>
        <w:rPr/>
      </w:pPr>
      <w:r>
        <w:rPr>
          <w:rFonts w:eastAsia="Times New Roman" w:cs="Times New Roman"/>
          <w:sz w:val="24"/>
          <w:szCs w:val="24"/>
        </w:rPr>
        <w:t>in</w:t>
      </w:r>
    </w:p>
    <w:p>
      <w:pPr>
        <w:pStyle w:val="Normal"/>
        <w:spacing w:lineRule="auto" w:line="276" w:before="0" w:after="400"/>
        <w:jc w:val="center"/>
        <w:rPr/>
      </w:pPr>
      <w:r>
        <w:rPr>
          <w:rFonts w:eastAsia="Times New Roman" w:cs="Times New Roman"/>
          <w:b/>
          <w:bCs/>
          <w:sz w:val="28"/>
          <w:szCs w:val="28"/>
        </w:rPr>
        <w:t>Electronics and Computer Engineering</w:t>
      </w:r>
    </w:p>
    <w:p>
      <w:pPr>
        <w:pStyle w:val="Normal"/>
        <w:spacing w:lineRule="auto" w:line="276" w:before="0" w:after="240"/>
        <w:jc w:val="center"/>
        <w:rPr/>
      </w:pPr>
      <w:r>
        <w:rPr>
          <w:rFonts w:eastAsia="Times New Roman" w:cs="Times New Roman"/>
          <w:i/>
          <w:iCs/>
          <w:sz w:val="24"/>
          <w:szCs w:val="24"/>
        </w:rPr>
        <w:t>by</w:t>
      </w:r>
    </w:p>
    <w:p>
      <w:pPr>
        <w:pStyle w:val="Normal"/>
        <w:spacing w:lineRule="auto" w:line="276" w:before="0" w:after="20"/>
        <w:jc w:val="center"/>
        <w:rPr/>
      </w:pPr>
      <w:r>
        <w:rPr>
          <w:rFonts w:eastAsia="Times New Roman" w:cs="Times New Roman"/>
          <w:b/>
          <w:bCs/>
          <w:sz w:val="26"/>
          <w:szCs w:val="26"/>
        </w:rPr>
        <w:t>Dhar</w:t>
      </w:r>
      <w:r>
        <w:rPr>
          <w:rFonts w:eastAsia="Times New Roman" w:cs="Times New Roman"/>
          <w:b/>
          <w:bCs/>
          <w:sz w:val="26"/>
          <w:szCs w:val="26"/>
        </w:rPr>
        <w:t>h</w:t>
      </w:r>
      <w:r>
        <w:rPr>
          <w:rFonts w:eastAsia="Times New Roman" w:cs="Times New Roman"/>
          <w:b/>
          <w:bCs/>
          <w:sz w:val="26"/>
          <w:szCs w:val="26"/>
        </w:rPr>
        <w:t>shini V J</w:t>
      </w:r>
    </w:p>
    <w:p>
      <w:pPr>
        <w:pStyle w:val="Normal"/>
        <w:spacing w:lineRule="auto" w:line="276" w:before="0" w:after="220"/>
        <w:jc w:val="center"/>
        <w:rPr/>
      </w:pPr>
      <w:r>
        <w:rPr>
          <w:rFonts w:eastAsia="Times New Roman" w:cs="Times New Roman"/>
          <w:sz w:val="24"/>
          <w:szCs w:val="24"/>
        </w:rPr>
        <w:t>23BLC1080</w:t>
      </w:r>
    </w:p>
    <w:p>
      <w:pPr>
        <w:pStyle w:val="Normal"/>
        <w:spacing w:lineRule="auto" w:line="276" w:before="0" w:after="20"/>
        <w:jc w:val="center"/>
        <w:rPr/>
      </w:pPr>
      <w:r>
        <w:rPr>
          <w:rFonts w:eastAsia="Times New Roman" w:cs="Times New Roman"/>
          <w:b/>
          <w:bCs/>
          <w:sz w:val="26"/>
          <w:szCs w:val="26"/>
        </w:rPr>
        <w:t>Hasith Anton M A</w:t>
      </w:r>
    </w:p>
    <w:p>
      <w:pPr>
        <w:pStyle w:val="Normal"/>
        <w:spacing w:lineRule="auto" w:line="276" w:before="0" w:after="220"/>
        <w:jc w:val="center"/>
        <w:rPr/>
      </w:pPr>
      <w:r>
        <w:rPr>
          <w:rFonts w:eastAsia="Times New Roman" w:cs="Times New Roman"/>
          <w:sz w:val="24"/>
          <w:szCs w:val="24"/>
        </w:rPr>
        <w:t>23BLC1311</w:t>
      </w:r>
    </w:p>
    <w:p>
      <w:pPr>
        <w:pStyle w:val="Normal"/>
        <w:spacing w:lineRule="auto" w:line="276" w:before="0" w:after="20"/>
        <w:jc w:val="center"/>
        <w:rPr/>
      </w:pPr>
      <w:r>
        <w:rPr>
          <w:rFonts w:eastAsia="Times New Roman" w:cs="Times New Roman"/>
          <w:b/>
          <w:bCs/>
          <w:sz w:val="26"/>
          <w:szCs w:val="26"/>
        </w:rPr>
        <w:t>Harish J</w:t>
      </w:r>
    </w:p>
    <w:p>
      <w:pPr>
        <w:pStyle w:val="Normal"/>
        <w:spacing w:lineRule="auto" w:line="276" w:before="0" w:after="220"/>
        <w:jc w:val="center"/>
        <w:rPr/>
      </w:pPr>
      <w:r>
        <w:rPr>
          <w:rFonts w:eastAsia="Times New Roman" w:cs="Times New Roman"/>
          <w:sz w:val="24"/>
          <w:szCs w:val="24"/>
        </w:rPr>
        <w:t>23BLC1104</w:t>
      </w:r>
    </w:p>
    <w:p>
      <w:pPr>
        <w:pStyle w:val="Normal"/>
        <w:spacing w:before="400" w:after="0"/>
        <w:rPr/>
      </w:pPr>
      <w:r>
        <w:rPr/>
      </w:r>
    </w:p>
    <w:p>
      <w:pPr>
        <w:pStyle w:val="Normal"/>
        <w:spacing w:before="0" w:after="120"/>
        <w:jc w:val="center"/>
        <w:rPr/>
      </w:pPr>
      <w:r>
        <w:rPr/>
        <w:drawing>
          <wp:inline distT="0" distB="0" distL="0" distR="0">
            <wp:extent cx="2095500" cy="600075"/>
            <wp:effectExtent l="0" t="0" r="0" b="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Vellore Institute of Technology logo" title="VIT logo"/>
                    <pic:cNvPicPr>
                      <a:picLocks noChangeAspect="1" noChangeArrowheads="1"/>
                    </pic:cNvPicPr>
                  </pic:nvPicPr>
                  <pic:blipFill>
                    <a:blip r:embed="rId2"/>
                    <a:stretch>
                      <a:fillRect/>
                    </a:stretch>
                  </pic:blipFill>
                  <pic:spPr bwMode="auto">
                    <a:xfrm>
                      <a:off x="0" y="0"/>
                      <a:ext cx="2095500" cy="600075"/>
                    </a:xfrm>
                    <a:prstGeom prst="rect">
                      <a:avLst/>
                    </a:prstGeom>
                    <a:noFill/>
                  </pic:spPr>
                </pic:pic>
              </a:graphicData>
            </a:graphic>
          </wp:inline>
        </w:drawing>
      </w:r>
    </w:p>
    <w:p>
      <w:pPr>
        <w:pStyle w:val="Normal"/>
        <w:spacing w:lineRule="auto" w:line="276" w:before="0" w:after="20"/>
        <w:jc w:val="center"/>
        <w:rPr/>
      </w:pPr>
      <w:r>
        <w:rPr>
          <w:rFonts w:eastAsia="Times New Roman" w:cs="Times New Roman"/>
          <w:sz w:val="24"/>
          <w:szCs w:val="24"/>
        </w:rPr>
        <w:t>School of Electronics Engineering</w:t>
      </w:r>
    </w:p>
    <w:p>
      <w:pPr>
        <w:pStyle w:val="Normal"/>
        <w:spacing w:lineRule="auto" w:line="276" w:before="0" w:after="20"/>
        <w:jc w:val="center"/>
        <w:rPr/>
      </w:pPr>
      <w:r>
        <w:rPr>
          <w:rFonts w:eastAsia="Times New Roman" w:cs="Times New Roman"/>
          <w:sz w:val="24"/>
          <w:szCs w:val="24"/>
        </w:rPr>
        <w:t>Vellore Institute of Technology, Chennai</w:t>
      </w:r>
    </w:p>
    <w:p>
      <w:pPr>
        <w:pStyle w:val="Normal"/>
        <w:spacing w:lineRule="auto" w:line="276" w:before="0" w:after="20"/>
        <w:jc w:val="center"/>
        <w:rPr/>
      </w:pPr>
      <w:r>
        <w:rPr>
          <w:rFonts w:eastAsia="Times New Roman" w:cs="Times New Roman"/>
          <w:sz w:val="24"/>
          <w:szCs w:val="24"/>
        </w:rPr>
        <w:t>Vandalur - Kelambakkam Road</w:t>
      </w:r>
    </w:p>
    <w:p>
      <w:pPr>
        <w:pStyle w:val="Normal"/>
        <w:spacing w:lineRule="auto" w:line="276" w:before="0" w:after="500"/>
        <w:jc w:val="center"/>
        <w:rPr/>
      </w:pPr>
      <w:r>
        <w:rPr>
          <w:rFonts w:eastAsia="Times New Roman" w:cs="Times New Roman"/>
          <w:sz w:val="24"/>
          <w:szCs w:val="24"/>
        </w:rPr>
        <w:t>Chennai – 600127, India</w:t>
      </w:r>
    </w:p>
    <w:p>
      <w:pPr>
        <w:pStyle w:val="Normal"/>
        <w:spacing w:lineRule="auto" w:line="276"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Times New Roman" w:cs="Times New Roman"/>
          <w:sz w:val="24"/>
          <w:szCs w:val="24"/>
        </w:rPr>
        <w:t>October 2026</w:t>
      </w:r>
    </w:p>
    <w:p>
      <w:pPr>
        <w:pStyle w:val="Normal"/>
        <w:spacing w:before="0" w:after="120"/>
        <w:jc w:val="center"/>
        <w:rPr/>
      </w:pPr>
      <w:r>
        <w:rPr/>
        <w:drawing>
          <wp:inline distT="0" distB="0" distL="0" distR="0">
            <wp:extent cx="1905000" cy="542925"/>
            <wp:effectExtent l="0" t="0" r="0" b="0"/>
            <wp:docPr id="2" name="Image2"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Vellore Institute of Technology logo" title="VIT logo"/>
                    <pic:cNvPicPr>
                      <a:picLocks noChangeAspect="1" noChangeArrowheads="1"/>
                    </pic:cNvPicPr>
                  </pic:nvPicPr>
                  <pic:blipFill>
                    <a:blip r:embed="rId3"/>
                    <a:stretch>
                      <a:fillRect/>
                    </a:stretch>
                  </pic:blipFill>
                  <pic:spPr bwMode="auto">
                    <a:xfrm>
                      <a:off x="0" y="0"/>
                      <a:ext cx="1905000" cy="542925"/>
                    </a:xfrm>
                    <a:prstGeom prst="rect">
                      <a:avLst/>
                    </a:prstGeom>
                    <a:noFill/>
                  </pic:spPr>
                </pic:pic>
              </a:graphicData>
            </a:graphic>
          </wp:inline>
        </w:drawing>
      </w:r>
    </w:p>
    <w:p>
      <w:pPr>
        <w:pStyle w:val="Normal"/>
        <w:spacing w:lineRule="auto" w:line="276" w:before="0" w:after="60"/>
        <w:jc w:val="center"/>
        <w:rPr/>
      </w:pPr>
      <w:r>
        <w:rPr>
          <w:rFonts w:eastAsia="Times New Roman" w:cs="Times New Roman"/>
          <w:b/>
          <w:bCs/>
          <w:sz w:val="26"/>
          <w:szCs w:val="26"/>
        </w:rPr>
        <w:t>School of Electronics Engineering</w:t>
      </w:r>
    </w:p>
    <w:p>
      <w:pPr>
        <w:pStyle w:val="Heading1"/>
        <w:spacing w:before="0" w:after="240"/>
        <w:jc w:val="center"/>
        <w:rPr/>
      </w:pPr>
      <w:r>
        <w:rPr>
          <w:rFonts w:eastAsia="Times New Roman" w:cs="Times New Roman" w:ascii="Times New Roman" w:hAnsi="Times New Roman"/>
          <w:b/>
          <w:bCs/>
          <w:sz w:val="32"/>
          <w:szCs w:val="32"/>
        </w:rPr>
        <w:t>Declaration</w:t>
      </w:r>
    </w:p>
    <w:p>
      <w:pPr>
        <w:pStyle w:val="Normal"/>
        <w:spacing w:lineRule="auto" w:line="319" w:before="0" w:after="140"/>
        <w:jc w:val="both"/>
        <w:rPr/>
      </w:pPr>
      <w:r>
        <w:rPr>
          <w:rFonts w:eastAsia="Times New Roman" w:cs="Times New Roman"/>
          <w:sz w:val="24"/>
          <w:szCs w:val="24"/>
        </w:rPr>
        <w:t xml:space="preserve">We hereby declare that the report titled </w:t>
      </w:r>
      <w:r>
        <w:rPr>
          <w:rFonts w:eastAsia="Times New Roman" w:cs="Times New Roman"/>
          <w:b/>
          <w:bCs/>
          <w:sz w:val="24"/>
          <w:szCs w:val="24"/>
        </w:rPr>
        <w:t>Agentic AI Framework for Network Anomaly Detection, Root Cause Analysis and Remediation Recommendation</w:t>
      </w:r>
      <w:r>
        <w:rPr>
          <w:rFonts w:eastAsia="Times New Roman" w:cs="Times New Roman"/>
          <w:sz w:val="24"/>
          <w:szCs w:val="24"/>
        </w:rPr>
        <w:t xml:space="preserve"> submitted by us to the School of Electronics Engineering, Vellore Institute of Technology, Chennai, in partial fulfilment of the requirements for the award of </w:t>
      </w:r>
      <w:r>
        <w:rPr>
          <w:rFonts w:eastAsia="Times New Roman" w:cs="Times New Roman"/>
          <w:b/>
          <w:bCs/>
          <w:sz w:val="24"/>
          <w:szCs w:val="24"/>
        </w:rPr>
        <w:t>Bachelor of Technology</w:t>
      </w:r>
      <w:r>
        <w:rPr>
          <w:rFonts w:eastAsia="Times New Roman" w:cs="Times New Roman"/>
          <w:sz w:val="24"/>
          <w:szCs w:val="24"/>
        </w:rPr>
        <w:t xml:space="preserve"> in </w:t>
      </w:r>
      <w:r>
        <w:rPr>
          <w:rFonts w:eastAsia="Times New Roman" w:cs="Times New Roman"/>
          <w:b/>
          <w:bCs/>
          <w:sz w:val="24"/>
          <w:szCs w:val="24"/>
        </w:rPr>
        <w:t>Electronics and Computer Engineering</w:t>
      </w:r>
      <w:r>
        <w:rPr>
          <w:rFonts w:eastAsia="Times New Roman" w:cs="Times New Roman"/>
          <w:sz w:val="24"/>
          <w:szCs w:val="24"/>
        </w:rPr>
        <w:t xml:space="preserve">, is a bonafide record of the work carried out by us under the supervision of </w:t>
      </w:r>
      <w:r>
        <w:rPr>
          <w:rFonts w:eastAsia="Times New Roman" w:cs="Times New Roman"/>
          <w:b/>
          <w:bCs/>
          <w:sz w:val="24"/>
          <w:szCs w:val="24"/>
        </w:rPr>
        <w:t>Dr Papanasam E</w:t>
      </w:r>
      <w:r>
        <w:rPr>
          <w:rFonts w:eastAsia="Times New Roman" w:cs="Times New Roman"/>
          <w:sz w:val="24"/>
          <w:szCs w:val="24"/>
        </w:rPr>
        <w:t>.</w:t>
      </w:r>
    </w:p>
    <w:p>
      <w:pPr>
        <w:pStyle w:val="Normal"/>
        <w:spacing w:lineRule="auto" w:line="319" w:before="0" w:after="140"/>
        <w:jc w:val="both"/>
        <w:rPr/>
      </w:pPr>
      <w:r>
        <w:rPr>
          <w:rFonts w:eastAsia="Times New Roman" w:cs="Times New Roman"/>
          <w:sz w:val="24"/>
          <w:szCs w:val="24"/>
        </w:rPr>
        <w:t>We further declare that the work reported in this report has not been submitted and will not be submitted, either in part or in full, for the award of any other degree or diploma of this institute or of any other institute or university.</w:t>
      </w:r>
    </w:p>
    <w:p>
      <w:pPr>
        <w:pStyle w:val="Normal"/>
        <w:spacing w:before="200" w:after="0"/>
        <w:rPr/>
      </w:pPr>
      <w:r>
        <w:rPr/>
      </w:r>
    </w:p>
    <w:tbl>
      <w:tblPr>
        <w:tblW w:w="9360" w:type="dxa"/>
        <w:jc w:val="start"/>
        <w:tblInd w:w="0" w:type="dxa"/>
        <w:tblLayout w:type="fixed"/>
        <w:tblCellMar>
          <w:top w:w="60" w:type="dxa"/>
          <w:start w:w="60" w:type="dxa"/>
          <w:bottom w:w="60" w:type="dxa"/>
          <w:end w:w="100" w:type="dxa"/>
        </w:tblCellMar>
      </w:tblPr>
      <w:tblGrid>
        <w:gridCol w:w="3120"/>
        <w:gridCol w:w="3120"/>
        <w:gridCol w:w="3120"/>
      </w:tblGrid>
      <w:tr>
        <w:trPr>
          <w:cantSplit/>
        </w:trPr>
        <w:tc>
          <w:tcPr>
            <w:tcW w:w="3120" w:type="dxa"/>
            <w:tcBorders/>
          </w:tcPr>
          <w:p>
            <w:pPr>
              <w:pStyle w:val="Normal"/>
              <w:spacing w:before="500" w:after="60"/>
              <w:rPr/>
            </w:pPr>
            <w:r>
              <w:rPr>
                <w:rFonts w:eastAsia="Times New Roman" w:cs="Times New Roman"/>
                <w:sz w:val="22"/>
                <w:szCs w:val="22"/>
              </w:rPr>
              <w:t>Signature: ................</w:t>
            </w:r>
          </w:p>
          <w:p>
            <w:pPr>
              <w:pStyle w:val="Normal"/>
              <w:spacing w:before="0" w:after="20"/>
              <w:rPr/>
            </w:pPr>
            <w:r>
              <w:rPr>
                <w:rFonts w:eastAsia="Times New Roman" w:cs="Times New Roman"/>
                <w:b/>
                <w:bCs/>
                <w:sz w:val="22"/>
                <w:szCs w:val="22"/>
              </w:rPr>
              <w:t>Dhar</w:t>
            </w:r>
            <w:r>
              <w:rPr>
                <w:rFonts w:eastAsia="Times New Roman" w:cs="Times New Roman"/>
                <w:b/>
                <w:bCs/>
                <w:sz w:val="22"/>
                <w:szCs w:val="22"/>
              </w:rPr>
              <w:t>h</w:t>
            </w:r>
            <w:r>
              <w:rPr>
                <w:rFonts w:eastAsia="Times New Roman" w:cs="Times New Roman"/>
                <w:b/>
                <w:bCs/>
                <w:sz w:val="22"/>
                <w:szCs w:val="22"/>
              </w:rPr>
              <w:t>shini V J</w:t>
            </w:r>
          </w:p>
          <w:p>
            <w:pPr>
              <w:pStyle w:val="Normal"/>
              <w:spacing w:before="0" w:after="60"/>
              <w:rPr/>
            </w:pPr>
            <w:r>
              <w:rPr>
                <w:rFonts w:eastAsia="Times New Roman" w:cs="Times New Roman"/>
                <w:sz w:val="22"/>
                <w:szCs w:val="22"/>
              </w:rPr>
              <w:t>23BLC1080</w:t>
            </w:r>
          </w:p>
          <w:p>
            <w:pPr>
              <w:pStyle w:val="Normal"/>
              <w:spacing w:before="0" w:after="0"/>
              <w:rPr/>
            </w:pPr>
            <w:r>
              <w:rPr>
                <w:rFonts w:eastAsia="Times New Roman" w:cs="Times New Roman"/>
                <w:sz w:val="22"/>
                <w:szCs w:val="22"/>
              </w:rPr>
              <w:t>Date: ................</w:t>
            </w:r>
          </w:p>
        </w:tc>
        <w:tc>
          <w:tcPr>
            <w:tcW w:w="3120" w:type="dxa"/>
            <w:tcBorders/>
          </w:tcPr>
          <w:p>
            <w:pPr>
              <w:pStyle w:val="Normal"/>
              <w:spacing w:before="500" w:after="60"/>
              <w:rPr/>
            </w:pPr>
            <w:r>
              <w:rPr>
                <w:rFonts w:eastAsia="Times New Roman" w:cs="Times New Roman"/>
                <w:sz w:val="22"/>
                <w:szCs w:val="22"/>
              </w:rPr>
              <w:t>Signature: ................</w:t>
            </w:r>
          </w:p>
          <w:p>
            <w:pPr>
              <w:pStyle w:val="Normal"/>
              <w:spacing w:before="0" w:after="20"/>
              <w:rPr/>
            </w:pPr>
            <w:r>
              <w:rPr>
                <w:rFonts w:eastAsia="Times New Roman" w:cs="Times New Roman"/>
                <w:b/>
                <w:bCs/>
                <w:sz w:val="22"/>
                <w:szCs w:val="22"/>
              </w:rPr>
              <w:t>Hasith Anton M A</w:t>
            </w:r>
          </w:p>
          <w:p>
            <w:pPr>
              <w:pStyle w:val="Normal"/>
              <w:spacing w:before="0" w:after="60"/>
              <w:rPr/>
            </w:pPr>
            <w:r>
              <w:rPr>
                <w:rFonts w:eastAsia="Times New Roman" w:cs="Times New Roman"/>
                <w:sz w:val="22"/>
                <w:szCs w:val="22"/>
              </w:rPr>
              <w:t>23BLC1311</w:t>
            </w:r>
          </w:p>
          <w:p>
            <w:pPr>
              <w:pStyle w:val="Normal"/>
              <w:spacing w:before="0" w:after="0"/>
              <w:rPr/>
            </w:pPr>
            <w:r>
              <w:rPr>
                <w:rFonts w:eastAsia="Times New Roman" w:cs="Times New Roman"/>
                <w:sz w:val="22"/>
                <w:szCs w:val="22"/>
              </w:rPr>
              <w:t>Date: ................</w:t>
            </w:r>
          </w:p>
        </w:tc>
        <w:tc>
          <w:tcPr>
            <w:tcW w:w="3120" w:type="dxa"/>
            <w:tcBorders/>
          </w:tcPr>
          <w:p>
            <w:pPr>
              <w:pStyle w:val="Normal"/>
              <w:spacing w:before="500" w:after="60"/>
              <w:rPr/>
            </w:pPr>
            <w:r>
              <w:rPr>
                <w:rFonts w:eastAsia="Times New Roman" w:cs="Times New Roman"/>
                <w:sz w:val="22"/>
                <w:szCs w:val="22"/>
              </w:rPr>
              <w:t>Signature: ................</w:t>
            </w:r>
          </w:p>
          <w:p>
            <w:pPr>
              <w:pStyle w:val="Normal"/>
              <w:spacing w:before="0" w:after="20"/>
              <w:rPr/>
            </w:pPr>
            <w:r>
              <w:rPr>
                <w:rFonts w:eastAsia="Times New Roman" w:cs="Times New Roman"/>
                <w:b/>
                <w:bCs/>
                <w:sz w:val="22"/>
                <w:szCs w:val="22"/>
              </w:rPr>
              <w:t>Harish J</w:t>
            </w:r>
          </w:p>
          <w:p>
            <w:pPr>
              <w:pStyle w:val="Normal"/>
              <w:spacing w:before="0" w:after="60"/>
              <w:rPr/>
            </w:pPr>
            <w:r>
              <w:rPr>
                <w:rFonts w:eastAsia="Times New Roman" w:cs="Times New Roman"/>
                <w:sz w:val="22"/>
                <w:szCs w:val="22"/>
              </w:rPr>
              <w:t>23BLC1104</w:t>
            </w:r>
          </w:p>
          <w:p>
            <w:pPr>
              <w:pStyle w:val="Normal"/>
              <w:spacing w:before="0" w:after="0"/>
              <w:rPr/>
            </w:pPr>
            <w:r>
              <w:rPr>
                <w:rFonts w:eastAsia="Times New Roman" w:cs="Times New Roman"/>
                <w:sz w:val="22"/>
                <w:szCs w:val="22"/>
              </w:rPr>
              <w:t>Date: ................</w:t>
            </w:r>
          </w:p>
        </w:tc>
      </w:tr>
    </w:tbl>
    <w:p>
      <w:pPr>
        <w:pStyle w:val="Normal"/>
        <w:spacing w:before="0" w:after="120"/>
        <w:jc w:val="center"/>
        <w:rPr/>
      </w:pPr>
      <w:r>
        <w:br w:type="page"/>
      </w:r>
      <w:r>
        <w:rPr/>
        <w:drawing>
          <wp:inline distT="0" distB="0" distL="0" distR="0">
            <wp:extent cx="1905000" cy="542925"/>
            <wp:effectExtent l="0" t="0" r="0" b="0"/>
            <wp:docPr id="3" name="Image3"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Vellore Institute of Technology logo" title="VIT logo"/>
                    <pic:cNvPicPr>
                      <a:picLocks noChangeAspect="1" noChangeArrowheads="1"/>
                    </pic:cNvPicPr>
                  </pic:nvPicPr>
                  <pic:blipFill>
                    <a:blip r:embed="rId4"/>
                    <a:stretch>
                      <a:fillRect/>
                    </a:stretch>
                  </pic:blipFill>
                  <pic:spPr bwMode="auto">
                    <a:xfrm>
                      <a:off x="0" y="0"/>
                      <a:ext cx="1905000" cy="542925"/>
                    </a:xfrm>
                    <a:prstGeom prst="rect">
                      <a:avLst/>
                    </a:prstGeom>
                    <a:noFill/>
                  </pic:spPr>
                </pic:pic>
              </a:graphicData>
            </a:graphic>
          </wp:inline>
        </w:drawing>
      </w:r>
    </w:p>
    <w:p>
      <w:pPr>
        <w:pStyle w:val="Normal"/>
        <w:spacing w:lineRule="auto" w:line="276" w:before="0" w:after="60"/>
        <w:jc w:val="center"/>
        <w:rPr/>
      </w:pPr>
      <w:r>
        <w:rPr>
          <w:rFonts w:eastAsia="Times New Roman" w:cs="Times New Roman"/>
          <w:b/>
          <w:bCs/>
          <w:sz w:val="26"/>
          <w:szCs w:val="26"/>
        </w:rPr>
        <w:t>School of Electronics Engineering</w:t>
      </w:r>
    </w:p>
    <w:p>
      <w:pPr>
        <w:pStyle w:val="Heading1"/>
        <w:spacing w:before="0" w:after="240"/>
        <w:jc w:val="center"/>
        <w:rPr/>
      </w:pPr>
      <w:r>
        <w:rPr>
          <w:rFonts w:eastAsia="Times New Roman" w:cs="Times New Roman" w:ascii="Times New Roman" w:hAnsi="Times New Roman"/>
          <w:b/>
          <w:bCs/>
          <w:sz w:val="32"/>
          <w:szCs w:val="32"/>
        </w:rPr>
        <w:t>Certificate</w:t>
      </w:r>
    </w:p>
    <w:p>
      <w:pPr>
        <w:pStyle w:val="Normal"/>
        <w:spacing w:lineRule="auto" w:line="319" w:before="0" w:after="140"/>
        <w:jc w:val="both"/>
        <w:rPr/>
      </w:pPr>
      <w:r>
        <w:rPr>
          <w:rFonts w:eastAsia="Times New Roman" w:cs="Times New Roman"/>
          <w:sz w:val="24"/>
          <w:szCs w:val="24"/>
        </w:rPr>
        <w:t xml:space="preserve">This is to certify that the project report titled </w:t>
      </w:r>
      <w:r>
        <w:rPr>
          <w:rFonts w:eastAsia="Times New Roman" w:cs="Times New Roman"/>
          <w:b/>
          <w:bCs/>
          <w:sz w:val="24"/>
          <w:szCs w:val="24"/>
        </w:rPr>
        <w:t>Agentic AI Framework for Network Anomaly Detection, Root Cause Analysis and Remediation Recommendation</w:t>
      </w:r>
      <w:r>
        <w:rPr>
          <w:rFonts w:eastAsia="Times New Roman" w:cs="Times New Roman"/>
          <w:sz w:val="24"/>
          <w:szCs w:val="24"/>
        </w:rPr>
        <w:t xml:space="preserve"> submitted by Dhar</w:t>
      </w:r>
      <w:r>
        <w:rPr>
          <w:rFonts w:eastAsia="Times New Roman" w:cs="Times New Roman"/>
          <w:sz w:val="24"/>
          <w:szCs w:val="24"/>
        </w:rPr>
        <w:t>h</w:t>
      </w:r>
      <w:r>
        <w:rPr>
          <w:rFonts w:eastAsia="Times New Roman" w:cs="Times New Roman"/>
          <w:sz w:val="24"/>
          <w:szCs w:val="24"/>
        </w:rPr>
        <w:t xml:space="preserve">shini V J (23BLC1080), Hasith Anton M A (23BLC1311) and Harish J (23BLC1104) to Vellore Institute of Technology, Chennai, in partial fulfilment of the requirement for the award of the degree of </w:t>
      </w:r>
      <w:r>
        <w:rPr>
          <w:rFonts w:eastAsia="Times New Roman" w:cs="Times New Roman"/>
          <w:b/>
          <w:bCs/>
          <w:sz w:val="24"/>
          <w:szCs w:val="24"/>
        </w:rPr>
        <w:t>Bachelor of Technology</w:t>
      </w:r>
      <w:r>
        <w:rPr>
          <w:rFonts w:eastAsia="Times New Roman" w:cs="Times New Roman"/>
          <w:sz w:val="24"/>
          <w:szCs w:val="24"/>
        </w:rPr>
        <w:t xml:space="preserve"> in </w:t>
      </w:r>
      <w:r>
        <w:rPr>
          <w:rFonts w:eastAsia="Times New Roman" w:cs="Times New Roman"/>
          <w:b/>
          <w:bCs/>
          <w:sz w:val="24"/>
          <w:szCs w:val="24"/>
        </w:rPr>
        <w:t>Electronics and Computer Engineering</w:t>
      </w:r>
      <w:r>
        <w:rPr>
          <w:rFonts w:eastAsia="Times New Roman" w:cs="Times New Roman"/>
          <w:sz w:val="24"/>
          <w:szCs w:val="24"/>
        </w:rPr>
        <w:t xml:space="preserve"> is a bonafide work carried out under my supervision. The project report fulfils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pStyle w:val="Normal"/>
        <w:spacing w:before="120" w:after="0"/>
        <w:rPr/>
      </w:pPr>
      <w:r>
        <w:rPr/>
      </w:r>
    </w:p>
    <w:tbl>
      <w:tblPr>
        <w:tblW w:w="9360" w:type="dxa"/>
        <w:jc w:val="start"/>
        <w:tblInd w:w="0" w:type="dxa"/>
        <w:tblLayout w:type="fixed"/>
        <w:tblCellMar>
          <w:top w:w="60" w:type="dxa"/>
          <w:start w:w="60" w:type="dxa"/>
          <w:bottom w:w="60" w:type="dxa"/>
          <w:end w:w="100" w:type="dxa"/>
        </w:tblCellMar>
      </w:tblPr>
      <w:tblGrid>
        <w:gridCol w:w="4680"/>
        <w:gridCol w:w="4680"/>
      </w:tblGrid>
      <w:tr>
        <w:trPr>
          <w:cantSplit/>
        </w:trPr>
        <w:tc>
          <w:tcPr>
            <w:tcW w:w="4680" w:type="dxa"/>
            <w:tcBorders/>
          </w:tcPr>
          <w:p>
            <w:pPr>
              <w:pStyle w:val="Normal"/>
              <w:spacing w:before="200" w:after="140"/>
              <w:rPr/>
            </w:pPr>
            <w:r>
              <w:rPr>
                <w:rFonts w:eastAsia="Times New Roman" w:cs="Times New Roman"/>
                <w:b/>
                <w:bCs/>
                <w:sz w:val="24"/>
                <w:szCs w:val="24"/>
              </w:rPr>
              <w:t>Supervisor</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Dr Papanasam E</w:t>
            </w:r>
          </w:p>
          <w:p>
            <w:pPr>
              <w:pStyle w:val="Normal"/>
              <w:spacing w:before="0" w:after="140"/>
              <w:rPr/>
            </w:pPr>
            <w:r>
              <w:rPr>
                <w:rFonts w:eastAsia="Times New Roman" w:cs="Times New Roman"/>
                <w:sz w:val="22"/>
                <w:szCs w:val="22"/>
              </w:rPr>
              <w:t>Date: ......................</w:t>
            </w:r>
          </w:p>
        </w:tc>
        <w:tc>
          <w:tcPr>
            <w:tcW w:w="4680" w:type="dxa"/>
            <w:tcBorders/>
          </w:tcPr>
          <w:p>
            <w:pPr>
              <w:pStyle w:val="Normal"/>
              <w:spacing w:before="200" w:after="140"/>
              <w:rPr/>
            </w:pPr>
            <w:r>
              <w:rPr>
                <w:rFonts w:eastAsia="Times New Roman" w:cs="Times New Roman"/>
                <w:b/>
                <w:bCs/>
                <w:sz w:val="24"/>
                <w:szCs w:val="24"/>
              </w:rPr>
              <w:t>Head of the Department</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Dr Vijayakumar P</w:t>
            </w:r>
          </w:p>
          <w:p>
            <w:pPr>
              <w:pStyle w:val="Normal"/>
              <w:spacing w:before="0" w:after="140"/>
              <w:rPr/>
            </w:pPr>
            <w:r>
              <w:rPr>
                <w:rFonts w:eastAsia="Times New Roman" w:cs="Times New Roman"/>
                <w:sz w:val="22"/>
                <w:szCs w:val="22"/>
              </w:rPr>
              <w:t>Date: ......................</w:t>
            </w:r>
          </w:p>
        </w:tc>
      </w:tr>
      <w:tr>
        <w:trPr>
          <w:cantSplit/>
        </w:trPr>
        <w:tc>
          <w:tcPr>
            <w:tcW w:w="4680" w:type="dxa"/>
            <w:tcBorders/>
          </w:tcPr>
          <w:p>
            <w:pPr>
              <w:pStyle w:val="Normal"/>
              <w:spacing w:before="200" w:after="140"/>
              <w:rPr/>
            </w:pPr>
            <w:r>
              <w:rPr>
                <w:rFonts w:eastAsia="Times New Roman" w:cs="Times New Roman"/>
                <w:b/>
                <w:bCs/>
                <w:sz w:val="24"/>
                <w:szCs w:val="24"/>
              </w:rPr>
              <w:t>Examiner 1</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w:t>
            </w:r>
          </w:p>
          <w:p>
            <w:pPr>
              <w:pStyle w:val="Normal"/>
              <w:spacing w:before="0" w:after="140"/>
              <w:rPr/>
            </w:pPr>
            <w:r>
              <w:rPr>
                <w:rFonts w:eastAsia="Times New Roman" w:cs="Times New Roman"/>
                <w:sz w:val="22"/>
                <w:szCs w:val="22"/>
              </w:rPr>
              <w:t>Date: ......................</w:t>
            </w:r>
          </w:p>
        </w:tc>
        <w:tc>
          <w:tcPr>
            <w:tcW w:w="4680" w:type="dxa"/>
            <w:tcBorders/>
          </w:tcPr>
          <w:p>
            <w:pPr>
              <w:pStyle w:val="Normal"/>
              <w:spacing w:before="200" w:after="140"/>
              <w:rPr/>
            </w:pPr>
            <w:r>
              <w:rPr>
                <w:rFonts w:eastAsia="Times New Roman" w:cs="Times New Roman"/>
                <w:b/>
                <w:bCs/>
                <w:sz w:val="24"/>
                <w:szCs w:val="24"/>
              </w:rPr>
              <w:t>Examiner 2</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w:t>
            </w:r>
          </w:p>
          <w:p>
            <w:pPr>
              <w:pStyle w:val="Normal"/>
              <w:spacing w:before="0" w:after="140"/>
              <w:rPr/>
            </w:pPr>
            <w:r>
              <w:rPr>
                <w:rFonts w:eastAsia="Times New Roman" w:cs="Times New Roman"/>
                <w:sz w:val="22"/>
                <w:szCs w:val="22"/>
              </w:rPr>
              <w:t>Date: ......................</w:t>
            </w:r>
          </w:p>
        </w:tc>
      </w:tr>
    </w:tbl>
    <w:p>
      <w:pPr>
        <w:pStyle w:val="Normal"/>
        <w:spacing w:before="500" w:after="0"/>
        <w:jc w:val="end"/>
        <w:rPr/>
      </w:pPr>
      <w:r>
        <w:rPr>
          <w:rFonts w:eastAsia="Times New Roman" w:cs="Times New Roman"/>
          <w:sz w:val="22"/>
          <w:szCs w:val="22"/>
        </w:rPr>
        <w:t>(Seal of the School)</w:t>
      </w:r>
      <w:r>
        <w:br w:type="page"/>
      </w:r>
    </w:p>
    <w:p>
      <w:pPr>
        <w:pStyle w:val="Heading1"/>
        <w:spacing w:before="0" w:after="240"/>
        <w:jc w:val="center"/>
        <w:rPr/>
      </w:pPr>
      <w:r>
        <w:rPr>
          <w:rFonts w:eastAsia="Times New Roman" w:cs="Times New Roman" w:ascii="Times New Roman" w:hAnsi="Times New Roman"/>
          <w:b/>
          <w:bCs/>
          <w:sz w:val="32"/>
          <w:szCs w:val="32"/>
        </w:rPr>
        <w:t>Abstract</w:t>
      </w:r>
    </w:p>
    <w:p>
      <w:pPr>
        <w:pStyle w:val="Normal"/>
        <w:spacing w:lineRule="auto" w:line="319" w:before="0" w:after="140"/>
        <w:jc w:val="both"/>
        <w:rPr/>
      </w:pPr>
      <w:r>
        <w:t>This project presents an AIOps framework that detects network faults, corroborates anomalous behaviour and generates evidence-grounded root-cause analysis (RCA) reports. It combines a supervised Random Forest detector, a temporal LSTM autoencoder and a LangGraph ReAct agent with a Streamlit operations dashboard.</w:t>
      </w:r>
    </w:p>
    <w:p>
      <w:pPr>
        <w:pStyle w:val="Normal"/>
        <w:spacing w:lineRule="auto" w:line="319" w:before="0" w:after="140"/>
        <w:jc w:val="both"/>
        <w:rPr/>
      </w:pPr>
      <w:r>
        <w:t>The implementation uses synthetic SNMP-style telemetry for broad fault coverage and a Mininet/Open vSwitch spine-leaf emulation for kernel-level validation. The classifier detects known signatures, while the LSTM autoencoder evaluates 10-step, interface-isolated histories. For a high-confidence known fault, Tier 1 routes the alert directly to the agent; otherwise, Tier 2 identifies novel temporal anomalies. The agent queries live metrics, syslogs, topology, paths, routes and anomaly scores before returning a structured RCA report and remediation recommendation.</w:t>
      </w:r>
    </w:p>
    <w:p>
      <w:pPr>
        <w:pStyle w:val="Normal"/>
        <w:spacing w:lineRule="auto" w:line="319" w:before="0" w:after="140"/>
        <w:jc w:val="both"/>
        <w:rPr/>
      </w:pPr>
      <w:r>
        <w:t>On the final augmented Mininet benchmark dataset of 73,240 records, evaluated on a held-out test split of 14,650 records, the fine-tuned Random Forest achieved ROC-AUC 0.9965, PR-AUC 0.9927, precision 0.9977, recall 0.9492 and F1 0.9728. The LSTM autoencoder achieved ROC-AUC 0.9812, PR-AUC 0.9284, precision 0.8970, recall 0.7093 and F1 0.7922. Across the retained 25-case agent benchmark, the agent produced 22 correct verdicts (88.0%), averaged 12.24 tool calls and completed an investigation in 12.17 seconds on average.</w:t>
      </w:r>
    </w:p>
    <w:p>
      <w:pPr>
        <w:pStyle w:val="Normal"/>
        <w:spacing w:lineRule="auto" w:line="319" w:before="160" w:after="140"/>
        <w:jc w:val="both"/>
        <w:rPr/>
      </w:pPr>
      <w:r>
        <w:rPr>
          <w:rFonts w:eastAsia="Times New Roman" w:cs="Times New Roman"/>
          <w:b/>
          <w:bCs/>
          <w:sz w:val="24"/>
          <w:szCs w:val="24"/>
        </w:rPr>
        <w:t>Keywords:</w:t>
      </w:r>
      <w:r>
        <w:rPr>
          <w:rFonts w:eastAsia="Times New Roman" w:cs="Times New Roman"/>
          <w:sz w:val="24"/>
          <w:szCs w:val="24"/>
        </w:rPr>
        <w:t xml:space="preserve"> network anomaly detection, root cause analysis, LSTM autoencoder, Random Forest, ReAct agent, LangGraph, Mininet.</w:t>
      </w:r>
      <w:r>
        <w:br w:type="page"/>
      </w:r>
    </w:p>
    <w:p>
      <w:pPr>
        <w:pStyle w:val="Heading1"/>
        <w:spacing w:before="0" w:after="240"/>
        <w:jc w:val="center"/>
        <w:rPr/>
      </w:pPr>
      <w:r>
        <w:rPr>
          <w:rFonts w:eastAsia="Times New Roman" w:cs="Times New Roman" w:ascii="Times New Roman" w:hAnsi="Times New Roman"/>
          <w:b/>
          <w:bCs/>
          <w:sz w:val="32"/>
          <w:szCs w:val="32"/>
        </w:rPr>
        <w:t>Acknowledgements</w:t>
      </w:r>
    </w:p>
    <w:p>
      <w:pPr>
        <w:pStyle w:val="Normal"/>
        <w:spacing w:lineRule="auto" w:line="319" w:before="0" w:after="140"/>
        <w:jc w:val="both"/>
        <w:rPr/>
      </w:pPr>
      <w:r>
        <w:rPr>
          <w:rFonts w:eastAsia="Times New Roman" w:cs="Times New Roman"/>
          <w:sz w:val="24"/>
          <w:szCs w:val="24"/>
        </w:rPr>
        <w:t xml:space="preserve">We wish to express our sincere thanks and deep sense of gratitude to our project guide, </w:t>
      </w:r>
      <w:r>
        <w:rPr>
          <w:rFonts w:eastAsia="Times New Roman" w:cs="Times New Roman"/>
          <w:b/>
          <w:bCs/>
          <w:sz w:val="24"/>
          <w:szCs w:val="24"/>
        </w:rPr>
        <w:t>Dr Papanasam E</w:t>
      </w:r>
      <w:r>
        <w:rPr>
          <w:rFonts w:eastAsia="Times New Roman" w:cs="Times New Roman"/>
          <w:sz w:val="24"/>
          <w:szCs w:val="24"/>
        </w:rPr>
        <w:t>, School of Electronics Engineering (SENSE), for the consistent encouragement and valuable guidance offered to us throughout the course of the project work.</w:t>
      </w:r>
    </w:p>
    <w:p>
      <w:pPr>
        <w:pStyle w:val="Normal"/>
        <w:spacing w:lineRule="auto" w:line="319" w:before="0" w:after="140"/>
        <w:jc w:val="both"/>
        <w:rPr/>
      </w:pPr>
      <w:r>
        <w:rPr>
          <w:rFonts w:eastAsia="Times New Roman" w:cs="Times New Roman"/>
          <w:sz w:val="24"/>
          <w:szCs w:val="24"/>
        </w:rPr>
        <w:t xml:space="preserve">We sincerely express our gratitude to </w:t>
      </w:r>
      <w:r>
        <w:rPr>
          <w:rFonts w:eastAsia="Times New Roman" w:cs="Times New Roman"/>
          <w:b/>
          <w:bCs/>
          <w:sz w:val="24"/>
          <w:szCs w:val="24"/>
        </w:rPr>
        <w:t>Dr. Ravi Sankar A</w:t>
      </w:r>
      <w:r>
        <w:rPr>
          <w:rFonts w:eastAsia="Times New Roman" w:cs="Times New Roman"/>
          <w:sz w:val="24"/>
          <w:szCs w:val="24"/>
        </w:rPr>
        <w:t xml:space="preserve">, Dean, SENSE; </w:t>
      </w:r>
      <w:r>
        <w:rPr>
          <w:rFonts w:eastAsia="Times New Roman" w:cs="Times New Roman"/>
          <w:b/>
          <w:bCs/>
          <w:sz w:val="24"/>
          <w:szCs w:val="24"/>
        </w:rPr>
        <w:t>Dr. Mohanaprasad K</w:t>
      </w:r>
      <w:r>
        <w:rPr>
          <w:rFonts w:eastAsia="Times New Roman" w:cs="Times New Roman"/>
          <w:sz w:val="24"/>
          <w:szCs w:val="24"/>
        </w:rPr>
        <w:t xml:space="preserve">, Associate Dean (Academics), SENSE; and </w:t>
      </w:r>
      <w:r>
        <w:rPr>
          <w:rFonts w:eastAsia="Times New Roman" w:cs="Times New Roman"/>
          <w:b/>
          <w:bCs/>
          <w:sz w:val="24"/>
          <w:szCs w:val="24"/>
        </w:rPr>
        <w:t>Dr. Chitra K</w:t>
      </w:r>
      <w:r>
        <w:rPr>
          <w:rFonts w:eastAsia="Times New Roman" w:cs="Times New Roman"/>
          <w:sz w:val="24"/>
          <w:szCs w:val="24"/>
        </w:rPr>
        <w:t>, Associate Dean (Research), SENSE, for providing the necessary facilities and for their constant encouragement and support throughout our project.</w:t>
      </w:r>
    </w:p>
    <w:p>
      <w:pPr>
        <w:pStyle w:val="Normal"/>
        <w:spacing w:lineRule="auto" w:line="319" w:before="0" w:after="140"/>
        <w:jc w:val="both"/>
        <w:rPr/>
      </w:pPr>
      <w:r>
        <w:rPr>
          <w:rFonts w:eastAsia="Times New Roman" w:cs="Times New Roman"/>
          <w:sz w:val="24"/>
          <w:szCs w:val="24"/>
        </w:rPr>
        <w:t xml:space="preserve">We also extend our heartfelt thanks to </w:t>
      </w:r>
      <w:r>
        <w:rPr>
          <w:rFonts w:eastAsia="Times New Roman" w:cs="Times New Roman"/>
          <w:b/>
          <w:bCs/>
          <w:sz w:val="24"/>
          <w:szCs w:val="24"/>
        </w:rPr>
        <w:t>Dr. Vijayakumar P</w:t>
      </w:r>
      <w:r>
        <w:rPr>
          <w:rFonts w:eastAsia="Times New Roman" w:cs="Times New Roman"/>
          <w:sz w:val="24"/>
          <w:szCs w:val="24"/>
        </w:rPr>
        <w:t>, Head of the Department, for his continuous guidance and support during the course of this project.</w:t>
      </w:r>
    </w:p>
    <w:p>
      <w:pPr>
        <w:pStyle w:val="Normal"/>
        <w:spacing w:lineRule="auto" w:line="319" w:before="0" w:after="140"/>
        <w:jc w:val="both"/>
        <w:rPr/>
      </w:pPr>
      <w:r>
        <w:rPr>
          <w:rFonts w:eastAsia="Times New Roman" w:cs="Times New Roman"/>
          <w:sz w:val="24"/>
          <w:szCs w:val="24"/>
        </w:rPr>
        <w:t>We also take this opportunity to thank all the faculty of the School for their support and the knowledge imparted to us throughout the course.</w:t>
      </w:r>
    </w:p>
    <w:p>
      <w:pPr>
        <w:pStyle w:val="Normal"/>
        <w:spacing w:lineRule="auto" w:line="319" w:before="0" w:after="140"/>
        <w:jc w:val="both"/>
        <w:rPr/>
      </w:pPr>
      <w:r>
        <w:rPr>
          <w:rFonts w:eastAsia="Times New Roman" w:cs="Times New Roman"/>
          <w:sz w:val="24"/>
          <w:szCs w:val="24"/>
        </w:rPr>
        <w:t>We thank our parents, family and friends for bearing with us throughout the course of our project and for the opportunity they provided us in undergoing this course in such a prestigious institution.</w:t>
      </w:r>
      <w:r>
        <w:br w:type="page"/>
      </w:r>
    </w:p>
    <w:p>
      <w:pPr>
        <w:pStyle w:val="Heading1"/>
        <w:spacing w:before="0" w:after="240"/>
        <w:jc w:val="center"/>
        <w:rPr/>
      </w:pPr>
      <w:r>
        <w:rPr>
          <w:rFonts w:eastAsia="Times New Roman" w:cs="Times New Roman" w:ascii="Times New Roman" w:hAnsi="Times New Roman"/>
          <w:b/>
          <w:bCs/>
          <w:sz w:val="32"/>
          <w:szCs w:val="32"/>
        </w:rPr>
        <w:t>Codes and Standards</w:t>
      </w:r>
    </w:p>
    <w:p>
      <w:pPr>
        <w:pStyle w:val="Normal"/>
        <w:spacing w:lineRule="auto" w:line="319" w:before="0" w:after="140"/>
        <w:jc w:val="both"/>
        <w:rPr/>
      </w:pPr>
      <w:r>
        <w:rPr>
          <w:rFonts w:eastAsia="Times New Roman" w:cs="Times New Roman"/>
          <w:sz w:val="24"/>
          <w:szCs w:val="24"/>
        </w:rPr>
        <w:t>The following standards and specifications guide the data model and the design of this project. Where a standard is used only as a design reference, this is stated in the body of the report.</w:t>
      </w:r>
    </w:p>
    <w:p>
      <w:pPr>
        <w:pStyle w:val="Normal"/>
        <w:keepNext w:val="true"/>
        <w:spacing w:before="160" w:after="80"/>
        <w:rPr/>
      </w:pPr>
      <w:r>
        <w:rPr>
          <w:rFonts w:eastAsia="Times New Roman" w:cs="Times New Roman"/>
          <w:b/>
          <w:bCs/>
          <w:sz w:val="24"/>
          <w:szCs w:val="24"/>
        </w:rPr>
        <w:t>1. Network Management and Telemetry</w:t>
      </w:r>
    </w:p>
    <w:p>
      <w:pPr>
        <w:pStyle w:val="ListParagraph"/>
        <w:numPr>
          <w:ilvl w:val="0"/>
          <w:numId w:val="5"/>
        </w:numPr>
        <w:spacing w:lineRule="auto" w:line="319" w:before="0" w:after="80"/>
        <w:jc w:val="both"/>
        <w:rPr/>
      </w:pPr>
      <w:r>
        <w:rPr>
          <w:rFonts w:eastAsia="Times New Roman" w:cs="Times New Roman"/>
          <w:b/>
          <w:bCs/>
          <w:sz w:val="24"/>
          <w:szCs w:val="24"/>
        </w:rPr>
        <w:t>RFC 3410:</w:t>
      </w:r>
      <w:r>
        <w:rPr>
          <w:rFonts w:eastAsia="Times New Roman" w:cs="Times New Roman"/>
          <w:sz w:val="24"/>
          <w:szCs w:val="24"/>
        </w:rPr>
        <w:t xml:space="preserve"> Introduction and Applicability Statements for the Internet-Standard Management Framework. Background for the SNMP-style polling model used in the simulator.</w:t>
      </w:r>
    </w:p>
    <w:p>
      <w:pPr>
        <w:pStyle w:val="ListParagraph"/>
        <w:numPr>
          <w:ilvl w:val="0"/>
          <w:numId w:val="1"/>
        </w:numPr>
        <w:spacing w:lineRule="auto" w:line="319" w:before="0" w:after="80"/>
        <w:jc w:val="both"/>
        <w:rPr/>
      </w:pPr>
      <w:r>
        <w:rPr>
          <w:rFonts w:eastAsia="Times New Roman" w:cs="Times New Roman"/>
          <w:b/>
          <w:bCs/>
          <w:sz w:val="24"/>
          <w:szCs w:val="24"/>
        </w:rPr>
        <w:t>RFC 2863:</w:t>
      </w:r>
      <w:r>
        <w:rPr>
          <w:rFonts w:eastAsia="Times New Roman" w:cs="Times New Roman"/>
          <w:sz w:val="24"/>
          <w:szCs w:val="24"/>
        </w:rPr>
        <w:t xml:space="preserve"> The Interfaces Group MIB. Defines interface variables such as ifOperStatus, ifInOctets, ifOutOctets, ifInDiscards and ifInErrors, which are the basis of the telemetry columns.</w:t>
      </w:r>
    </w:p>
    <w:p>
      <w:pPr>
        <w:pStyle w:val="ListParagraph"/>
        <w:numPr>
          <w:ilvl w:val="0"/>
          <w:numId w:val="1"/>
        </w:numPr>
        <w:spacing w:lineRule="auto" w:line="319" w:before="0" w:after="80"/>
        <w:jc w:val="both"/>
        <w:rPr/>
      </w:pPr>
      <w:r>
        <w:rPr>
          <w:rFonts w:eastAsia="Times New Roman" w:cs="Times New Roman"/>
          <w:b/>
          <w:bCs/>
          <w:sz w:val="24"/>
          <w:szCs w:val="24"/>
        </w:rPr>
        <w:t>RFC 5424:</w:t>
      </w:r>
      <w:r>
        <w:rPr>
          <w:rFonts w:eastAsia="Times New Roman" w:cs="Times New Roman"/>
          <w:sz w:val="24"/>
          <w:szCs w:val="24"/>
        </w:rPr>
        <w:t xml:space="preserve"> The Syslog Protocol. Reference for the format of the device log events that the agent can query.</w:t>
      </w:r>
    </w:p>
    <w:p>
      <w:pPr>
        <w:pStyle w:val="ListParagraph"/>
        <w:numPr>
          <w:ilvl w:val="0"/>
          <w:numId w:val="1"/>
        </w:numPr>
        <w:spacing w:lineRule="auto" w:line="319" w:before="0" w:after="80"/>
        <w:jc w:val="both"/>
        <w:rPr/>
      </w:pPr>
      <w:r>
        <w:rPr>
          <w:rFonts w:eastAsia="Times New Roman" w:cs="Times New Roman"/>
          <w:b/>
          <w:bCs/>
          <w:sz w:val="24"/>
          <w:szCs w:val="24"/>
        </w:rPr>
        <w:t>RFC 1191:</w:t>
      </w:r>
      <w:r>
        <w:rPr>
          <w:rFonts w:eastAsia="Times New Roman" w:cs="Times New Roman"/>
          <w:sz w:val="24"/>
          <w:szCs w:val="24"/>
        </w:rPr>
        <w:t xml:space="preserve"> Path MTU Discovery. Reference for the MTU-mismatch fault.</w:t>
      </w:r>
    </w:p>
    <w:p>
      <w:pPr>
        <w:pStyle w:val="Normal"/>
        <w:keepNext w:val="true"/>
        <w:spacing w:before="160" w:after="80"/>
        <w:rPr/>
      </w:pPr>
      <w:r>
        <w:rPr>
          <w:rFonts w:eastAsia="Times New Roman" w:cs="Times New Roman"/>
          <w:b/>
          <w:bCs/>
          <w:sz w:val="24"/>
          <w:szCs w:val="24"/>
        </w:rPr>
        <w:t>2. Network Interfaces</w:t>
      </w:r>
    </w:p>
    <w:p>
      <w:pPr>
        <w:pStyle w:val="ListParagraph"/>
        <w:numPr>
          <w:ilvl w:val="0"/>
          <w:numId w:val="1"/>
        </w:numPr>
        <w:spacing w:lineRule="auto" w:line="319" w:before="0" w:after="80"/>
        <w:jc w:val="both"/>
        <w:rPr/>
      </w:pPr>
      <w:r>
        <w:rPr>
          <w:rFonts w:eastAsia="Times New Roman" w:cs="Times New Roman"/>
          <w:b/>
          <w:bCs/>
          <w:sz w:val="24"/>
          <w:szCs w:val="24"/>
        </w:rPr>
        <w:t>IEEE 802.3:</w:t>
      </w:r>
      <w:r>
        <w:rPr>
          <w:rFonts w:eastAsia="Times New Roman" w:cs="Times New Roman"/>
          <w:sz w:val="24"/>
          <w:szCs w:val="24"/>
        </w:rPr>
        <w:t xml:space="preserve"> Ethernet. Reference for the standard 1500-byte payload against which the reduced MTU of 500 bytes in the mtu_mismatch fault is defined.</w:t>
      </w:r>
    </w:p>
    <w:p>
      <w:pPr>
        <w:pStyle w:val="Normal"/>
        <w:keepNext w:val="true"/>
        <w:spacing w:before="160" w:after="80"/>
        <w:rPr/>
      </w:pPr>
      <w:r>
        <w:rPr>
          <w:rFonts w:eastAsia="Times New Roman" w:cs="Times New Roman"/>
          <w:b/>
          <w:bCs/>
          <w:sz w:val="24"/>
          <w:szCs w:val="24"/>
        </w:rPr>
        <w:t>3. Information Security and Software Practice</w:t>
      </w:r>
    </w:p>
    <w:p>
      <w:pPr>
        <w:pStyle w:val="ListParagraph"/>
        <w:numPr>
          <w:ilvl w:val="0"/>
          <w:numId w:val="1"/>
        </w:numPr>
        <w:spacing w:lineRule="auto" w:line="319" w:before="0" w:after="80"/>
        <w:jc w:val="both"/>
        <w:rPr/>
      </w:pPr>
      <w:r>
        <w:rPr>
          <w:rFonts w:eastAsia="Times New Roman" w:cs="Times New Roman"/>
          <w:b/>
          <w:bCs/>
          <w:sz w:val="24"/>
          <w:szCs w:val="24"/>
        </w:rPr>
        <w:t>RFC 8259:</w:t>
      </w:r>
      <w:r>
        <w:rPr>
          <w:rFonts w:eastAsia="Times New Roman" w:cs="Times New Roman"/>
          <w:sz w:val="24"/>
          <w:szCs w:val="24"/>
        </w:rPr>
        <w:t xml:space="preserve"> The JavaScript Object Notation (JSON) Data Interchange Format. Format of the state file shared by the pipeline and the dashboard.</w:t>
      </w:r>
    </w:p>
    <w:p>
      <w:pPr>
        <w:pStyle w:val="ListParagraph"/>
        <w:numPr>
          <w:ilvl w:val="0"/>
          <w:numId w:val="1"/>
        </w:numPr>
        <w:spacing w:lineRule="auto" w:line="319" w:before="0" w:after="80"/>
        <w:jc w:val="both"/>
        <w:rPr/>
      </w:pPr>
      <w:r>
        <w:rPr>
          <w:rFonts w:eastAsia="Times New Roman" w:cs="Times New Roman"/>
          <w:b/>
          <w:bCs/>
          <w:sz w:val="24"/>
          <w:szCs w:val="24"/>
        </w:rPr>
        <w:t>ISO/IEC 27001:</w:t>
      </w:r>
      <w:r>
        <w:rPr>
          <w:rFonts w:eastAsia="Times New Roman" w:cs="Times New Roman"/>
          <w:sz w:val="24"/>
          <w:szCs w:val="24"/>
        </w:rPr>
        <w:t xml:space="preserve"> Information Security Management. Reference for the handling of credentials: API keys are kept in an environment file outside version control.</w:t>
      </w:r>
      <w:r>
        <w:br w:type="page"/>
      </w:r>
    </w:p>
    <w:p>
      <w:pPr>
        <w:pStyle w:val="Heading1"/>
        <w:spacing w:before="0" w:after="240"/>
        <w:jc w:val="center"/>
        <w:rPr/>
      </w:pPr>
      <w:r>
        <w:rPr>
          <w:rFonts w:eastAsia="Times New Roman" w:cs="Times New Roman" w:ascii="Times New Roman" w:hAnsi="Times New Roman"/>
          <w:b/>
          <w:bCs/>
          <w:sz w:val="32"/>
          <w:szCs w:val="32"/>
        </w:rPr>
        <w:t>Mapping of Sustainable Development Goals (SDGs)</w:t>
      </w:r>
    </w:p>
    <w:tbl>
      <w:tblPr>
        <w:tblW w:w="9360" w:type="dxa"/>
        <w:jc w:val="start"/>
        <w:tblInd w:w="0" w:type="dxa"/>
        <w:tblLayout w:type="fixed"/>
        <w:tblCellMar>
          <w:top w:w="50" w:type="dxa"/>
          <w:start w:w="90" w:type="dxa"/>
          <w:bottom w:w="50" w:type="dxa"/>
          <w:end w:w="90" w:type="dxa"/>
        </w:tblCellMar>
      </w:tblPr>
      <w:tblGrid>
        <w:gridCol w:w="1900"/>
        <w:gridCol w:w="2000"/>
        <w:gridCol w:w="2959"/>
        <w:gridCol w:w="2501"/>
      </w:tblGrid>
      <w:tr>
        <w:trPr>
          <w:tblHeader w:val="true"/>
        </w:trPr>
        <w:tc>
          <w:tcPr>
            <w:tcW w:w="19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drawing>
                <wp:inline xmlns:a="http://schemas.openxmlformats.org/drawingml/2006/main">
                  <wp:extent cx="5303520" cy="4209926"/>
                  <wp:docPr id="20" name="Picture 20"/>
                  <wp:cNvGraphicFramePr>
                    <a:graphicFrameLocks noChangeAspect="1"/>
                  </wp:cNvGraphicFramePr>
                  <a:graphic>
                    <a:graphicData uri="http://schemas.openxmlformats.org/drawingml/2006/picture">
                      <pic:pic>
                        <pic:nvPicPr>
                          <pic:cNvPr id="0" name="dashboard_live_monitor_RCA_part3.png"/>
                          <pic:cNvPicPr/>
                        </pic:nvPicPr>
                        <pic:blipFill>
                          <a:blip r:embed="rId30"/>
                          <a:stretch>
                            <a:fillRect/>
                          </a:stretch>
                        </pic:blipFill>
                        <pic:spPr>
                          <a:xfrm>
                            <a:off x="0" y="0"/>
                            <a:ext cx="5303520" cy="4209926"/>
                          </a:xfrm>
                          <a:prstGeom prst="rect"/>
                        </pic:spPr>
                      </pic:pic>
                    </a:graphicData>
                  </a:graphic>
                </wp:inline>
              </w:drawing>
            </w:r>
          </w:p>
        </w:tc>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Mapped SDGs</w:t>
            </w:r>
          </w:p>
        </w:tc>
        <w:tc>
          <w:tcPr>
            <w:tcW w:w="295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Justification</w:t>
            </w:r>
          </w:p>
        </w:tc>
        <w:tc>
          <w:tcPr>
            <w:tcW w:w="25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Example Impact</w:t>
            </w:r>
          </w:p>
        </w:tc>
      </w:tr>
      <w:tr>
        <w:trPr>
          <w:cantSplit/>
        </w:trPr>
        <w:tc>
          <w:tcPr>
            <w:tcW w:w="19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Agentic AI Framework for Network Anomaly Detection, Root Cause Analysis and Remediation Recommendation</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SDG 9: Industry, Innovation and Infrastructure</w:t>
            </w:r>
          </w:p>
        </w:tc>
        <w:tc>
          <w:tcPr>
            <w:tcW w:w="295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Automates fault detection and diagnosis in network infrastructure, supporting reliable digital infrastructure and AI-based innovation in network operations.</w:t>
            </w:r>
          </w:p>
        </w:tc>
        <w:tc>
          <w:tcPr>
            <w:tcW w:w="25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Faults are investigated in under 30 seconds instead of 15 to 45 minutes, which shortens service degradation.</w:t>
            </w:r>
          </w:p>
        </w:tc>
      </w:tr>
      <w:tr>
        <w:trPr>
          <w:cantSplit/>
        </w:trPr>
        <w:tc>
          <w:tcPr>
            <w:tcW w:w="19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SDG 8: Decent Work and Economic Growth</w:t>
            </w:r>
          </w:p>
        </w:tc>
        <w:tc>
          <w:tcPr>
            <w:tcW w:w="295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Raises the productivity of network operations through technological upgrading (target 8.2) by automating repetitive triage and report writing.</w:t>
            </w:r>
          </w:p>
        </w:tc>
        <w:tc>
          <w:tcPr>
            <w:tcW w:w="25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Fewer false alerts and less alert fatigue; engineers can concentrate on higher-value tasks.</w:t>
            </w:r>
          </w:p>
        </w:tc>
      </w:tr>
    </w:tbl>
    <w:p>
      <w:pPr>
        <w:pStyle w:val="Heading1"/>
        <w:spacing w:before="0" w:after="240"/>
        <w:jc w:val="center"/>
        <w:rPr/>
      </w:pPr>
      <w:r>
        <w:br w:type="page"/>
      </w:r>
      <w:r>
        <w:rPr>
          <w:rFonts w:eastAsia="Times New Roman" w:cs="Times New Roman" w:ascii="Times New Roman" w:hAnsi="Times New Roman"/>
          <w:b/>
          <w:bCs/>
          <w:sz w:val="32"/>
          <w:szCs w:val="32"/>
        </w:rPr>
        <w:t>Table of Contents</w:t>
      </w:r>
    </w:p>
    <w:p>
      <w:pPr>
        <w:pStyle w:val="Normal"/>
        <w:tabs>
          <w:tab w:val="clear" w:pos="720"/>
          <w:tab w:val="right" w:pos="9360" w:leader="dot"/>
        </w:tabs>
        <w:spacing w:lineRule="auto" w:line="264" w:before="0" w:after="60"/>
        <w:ind w:hanging="0" w:start="0"/>
        <w:rPr/>
      </w:pPr>
      <w:r>
        <w:t>Declaration</w:t>
        <w:tab/>
        <w:t>i</w:t>
      </w:r>
    </w:p>
    <w:p>
      <w:pPr>
        <w:pStyle w:val="Normal"/>
        <w:tabs>
          <w:tab w:val="clear" w:pos="720"/>
          <w:tab w:val="right" w:pos="9360" w:leader="dot"/>
        </w:tabs>
        <w:spacing w:lineRule="auto" w:line="264" w:before="0" w:after="60"/>
        <w:ind w:hanging="0" w:start="0"/>
        <w:rPr/>
      </w:pPr>
      <w:r>
        <w:t>Certificate</w:t>
        <w:tab/>
        <w:t>ii</w:t>
      </w:r>
    </w:p>
    <w:p>
      <w:pPr>
        <w:pStyle w:val="Normal"/>
        <w:tabs>
          <w:tab w:val="clear" w:pos="720"/>
          <w:tab w:val="right" w:pos="9360" w:leader="dot"/>
        </w:tabs>
        <w:spacing w:lineRule="auto" w:line="264" w:before="0" w:after="60"/>
        <w:ind w:hanging="0" w:start="0"/>
        <w:rPr/>
      </w:pPr>
      <w:r>
        <w:t>Abstract</w:t>
        <w:tab/>
        <w:t>iii</w:t>
      </w:r>
    </w:p>
    <w:p>
      <w:pPr>
        <w:pStyle w:val="Normal"/>
        <w:tabs>
          <w:tab w:val="clear" w:pos="720"/>
          <w:tab w:val="right" w:pos="9360" w:leader="dot"/>
        </w:tabs>
        <w:spacing w:lineRule="auto" w:line="264" w:before="0" w:after="60"/>
        <w:ind w:hanging="0" w:start="0"/>
        <w:rPr/>
      </w:pPr>
      <w:r>
        <w:t>Acknowledgements</w:t>
        <w:tab/>
        <w:t>iv</w:t>
      </w:r>
    </w:p>
    <w:p>
      <w:pPr>
        <w:pStyle w:val="Normal"/>
        <w:tabs>
          <w:tab w:val="clear" w:pos="720"/>
          <w:tab w:val="right" w:pos="9360" w:leader="dot"/>
        </w:tabs>
        <w:spacing w:lineRule="auto" w:line="264" w:before="0" w:after="60"/>
        <w:ind w:hanging="0" w:start="0"/>
        <w:rPr/>
      </w:pPr>
      <w:r>
        <w:t>Codes and Standards</w:t>
        <w:tab/>
        <w:t>v</w:t>
      </w:r>
    </w:p>
    <w:p>
      <w:pPr>
        <w:pStyle w:val="Normal"/>
        <w:tabs>
          <w:tab w:val="clear" w:pos="720"/>
          <w:tab w:val="right" w:pos="9360" w:leader="dot"/>
        </w:tabs>
        <w:spacing w:lineRule="auto" w:line="264" w:before="0" w:after="60"/>
        <w:ind w:hanging="0" w:start="0"/>
        <w:rPr/>
      </w:pPr>
      <w:r>
        <w:t>Mapping of Sustainable Development Goals (SDGs)</w:t>
        <w:tab/>
        <w:t>vi</w:t>
      </w:r>
    </w:p>
    <w:p>
      <w:pPr>
        <w:pStyle w:val="Normal"/>
        <w:tabs>
          <w:tab w:val="clear" w:pos="720"/>
          <w:tab w:val="right" w:pos="9360" w:leader="dot"/>
        </w:tabs>
        <w:spacing w:lineRule="auto" w:line="264" w:before="0" w:after="60"/>
        <w:ind w:hanging="0" w:start="0"/>
        <w:rPr/>
      </w:pPr>
      <w:r>
        <w:t>List of Figures</w:t>
        <w:tab/>
        <w:t>ix</w:t>
      </w:r>
    </w:p>
    <w:p>
      <w:pPr>
        <w:pStyle w:val="Normal"/>
        <w:tabs>
          <w:tab w:val="clear" w:pos="720"/>
          <w:tab w:val="right" w:pos="9360" w:leader="dot"/>
        </w:tabs>
        <w:spacing w:lineRule="auto" w:line="264" w:before="0" w:after="60"/>
        <w:ind w:hanging="0" w:start="0"/>
        <w:rPr/>
      </w:pPr>
      <w:r>
        <w:t>List of Tables</w:t>
        <w:tab/>
        <w:t>x</w:t>
      </w:r>
    </w:p>
    <w:p>
      <w:pPr>
        <w:pStyle w:val="Normal"/>
        <w:tabs>
          <w:tab w:val="clear" w:pos="720"/>
          <w:tab w:val="right" w:pos="9360" w:leader="dot"/>
        </w:tabs>
        <w:spacing w:lineRule="auto" w:line="264" w:before="0" w:after="60"/>
        <w:ind w:hanging="0" w:start="0"/>
        <w:rPr/>
      </w:pPr>
      <w:r>
        <w:t>List of Listings</w:t>
        <w:tab/>
        <w:t>xi</w:t>
      </w:r>
    </w:p>
    <w:p>
      <w:pPr>
        <w:pStyle w:val="Normal"/>
        <w:tabs>
          <w:tab w:val="clear" w:pos="720"/>
          <w:tab w:val="right" w:pos="9360" w:leader="dot"/>
        </w:tabs>
        <w:spacing w:lineRule="auto" w:line="264" w:before="0" w:after="60"/>
        <w:ind w:hanging="0" w:start="0"/>
        <w:rPr/>
      </w:pPr>
      <w:r>
        <w:t>List of Acronyms</w:t>
        <w:tab/>
        <w:t>xii</w:t>
      </w:r>
    </w:p>
    <w:p>
      <w:pPr>
        <w:pStyle w:val="Normal"/>
        <w:tabs>
          <w:tab w:val="clear" w:pos="720"/>
          <w:tab w:val="right" w:pos="9360" w:leader="dot"/>
        </w:tabs>
        <w:spacing w:lineRule="auto" w:line="264" w:before="120" w:after="60"/>
        <w:ind w:hanging="0" w:start="0"/>
        <w:rPr/>
      </w:pPr>
      <w:r>
        <w:t>1  Introduction</w:t>
        <w:tab/>
        <w:t>1</w:t>
      </w:r>
    </w:p>
    <w:p>
      <w:pPr>
        <w:pStyle w:val="Normal"/>
        <w:tabs>
          <w:tab w:val="clear" w:pos="720"/>
          <w:tab w:val="right" w:pos="9360" w:leader="dot"/>
        </w:tabs>
        <w:spacing w:lineRule="auto" w:line="264" w:before="0" w:after="40"/>
        <w:ind w:hanging="520" w:start="720"/>
        <w:rPr/>
      </w:pPr>
      <w:r>
        <w:t>1.1  Background</w:t>
        <w:tab/>
        <w:t>1</w:t>
      </w:r>
    </w:p>
    <w:p>
      <w:pPr>
        <w:pStyle w:val="Normal"/>
        <w:tabs>
          <w:tab w:val="clear" w:pos="720"/>
          <w:tab w:val="right" w:pos="9360" w:leader="dot"/>
        </w:tabs>
        <w:spacing w:lineRule="auto" w:line="264" w:before="0" w:after="40"/>
        <w:ind w:hanging="520" w:start="720"/>
        <w:rPr/>
      </w:pPr>
      <w:r>
        <w:t>1.2  Problem Statement</w:t>
        <w:tab/>
        <w:t>1</w:t>
      </w:r>
    </w:p>
    <w:p>
      <w:pPr>
        <w:pStyle w:val="Normal"/>
        <w:tabs>
          <w:tab w:val="clear" w:pos="720"/>
          <w:tab w:val="right" w:pos="9360" w:leader="dot"/>
        </w:tabs>
        <w:spacing w:lineRule="auto" w:line="264" w:before="0" w:after="40"/>
        <w:ind w:hanging="520" w:start="720"/>
        <w:rPr/>
      </w:pPr>
      <w:r>
        <w:t>1.3  Objectives</w:t>
        <w:tab/>
        <w:t>2</w:t>
      </w:r>
    </w:p>
    <w:p>
      <w:pPr>
        <w:pStyle w:val="Normal"/>
        <w:tabs>
          <w:tab w:val="clear" w:pos="720"/>
          <w:tab w:val="right" w:pos="9360" w:leader="dot"/>
        </w:tabs>
        <w:spacing w:lineRule="auto" w:line="264" w:before="0" w:after="40"/>
        <w:ind w:hanging="520" w:start="720"/>
        <w:rPr/>
      </w:pPr>
      <w:r>
        <w:t>1.4  Scope</w:t>
        <w:tab/>
        <w:t>2</w:t>
      </w:r>
    </w:p>
    <w:p>
      <w:pPr>
        <w:pStyle w:val="Normal"/>
        <w:tabs>
          <w:tab w:val="clear" w:pos="720"/>
          <w:tab w:val="right" w:pos="9360" w:leader="dot"/>
        </w:tabs>
        <w:spacing w:lineRule="auto" w:line="264" w:before="0" w:after="40"/>
        <w:ind w:hanging="520" w:start="720"/>
        <w:rPr/>
      </w:pPr>
      <w:r>
        <w:t>1.5  Organisation of the Report</w:t>
        <w:tab/>
        <w:t>3</w:t>
      </w:r>
    </w:p>
    <w:p>
      <w:pPr>
        <w:pStyle w:val="Normal"/>
        <w:tabs>
          <w:tab w:val="clear" w:pos="720"/>
          <w:tab w:val="right" w:pos="9360" w:leader="dot"/>
        </w:tabs>
        <w:spacing w:lineRule="auto" w:line="264" w:before="120" w:after="60"/>
        <w:ind w:hanging="0" w:start="0"/>
        <w:rPr/>
      </w:pPr>
      <w:r>
        <w:t>2  Literature Survey</w:t>
        <w:tab/>
        <w:t>4</w:t>
      </w:r>
    </w:p>
    <w:p>
      <w:pPr>
        <w:pStyle w:val="Normal"/>
        <w:tabs>
          <w:tab w:val="clear" w:pos="720"/>
          <w:tab w:val="right" w:pos="9360" w:leader="dot"/>
        </w:tabs>
        <w:spacing w:lineRule="auto" w:line="264" w:before="0" w:after="40"/>
        <w:ind w:hanging="520" w:start="720"/>
        <w:rPr/>
      </w:pPr>
      <w:r>
        <w:t>2.1  Network Anomaly Detection</w:t>
        <w:tab/>
        <w:t>4</w:t>
      </w:r>
    </w:p>
    <w:p>
      <w:pPr>
        <w:pStyle w:val="Normal"/>
        <w:tabs>
          <w:tab w:val="clear" w:pos="720"/>
          <w:tab w:val="right" w:pos="9360" w:leader="dot"/>
        </w:tabs>
        <w:spacing w:lineRule="auto" w:line="264" w:before="0" w:after="40"/>
        <w:ind w:hanging="520" w:start="720"/>
        <w:rPr/>
      </w:pPr>
      <w:r>
        <w:t>2.2  Log-Based Anomaly Detection</w:t>
        <w:tab/>
        <w:t>4</w:t>
      </w:r>
    </w:p>
    <w:p>
      <w:pPr>
        <w:pStyle w:val="Normal"/>
        <w:tabs>
          <w:tab w:val="clear" w:pos="720"/>
          <w:tab w:val="right" w:pos="9360" w:leader="dot"/>
        </w:tabs>
        <w:spacing w:lineRule="auto" w:line="264" w:before="0" w:after="40"/>
        <w:ind w:hanging="520" w:start="720"/>
        <w:rPr/>
      </w:pPr>
      <w:r>
        <w:t>2.3  Root Cause Analysis in Networks</w:t>
        <w:tab/>
        <w:t>5</w:t>
      </w:r>
    </w:p>
    <w:p>
      <w:pPr>
        <w:pStyle w:val="Normal"/>
        <w:tabs>
          <w:tab w:val="clear" w:pos="720"/>
          <w:tab w:val="right" w:pos="9360" w:leader="dot"/>
        </w:tabs>
        <w:spacing w:lineRule="auto" w:line="264" w:before="0" w:after="40"/>
        <w:ind w:hanging="520" w:start="720"/>
        <w:rPr/>
      </w:pPr>
      <w:r>
        <w:t>2.4  LLM Agents for Operations</w:t>
        <w:tab/>
        <w:t>5</w:t>
      </w:r>
    </w:p>
    <w:p>
      <w:pPr>
        <w:pStyle w:val="Normal"/>
        <w:tabs>
          <w:tab w:val="clear" w:pos="720"/>
          <w:tab w:val="right" w:pos="9360" w:leader="dot"/>
        </w:tabs>
        <w:spacing w:lineRule="auto" w:line="264" w:before="0" w:after="40"/>
        <w:ind w:hanging="520" w:start="720"/>
        <w:rPr/>
      </w:pPr>
      <w:r>
        <w:t>2.5  Emulation and Domain Adaptation</w:t>
        <w:tab/>
        <w:t>5</w:t>
      </w:r>
    </w:p>
    <w:p>
      <w:pPr>
        <w:pStyle w:val="Normal"/>
        <w:tabs>
          <w:tab w:val="clear" w:pos="720"/>
          <w:tab w:val="right" w:pos="9360" w:leader="dot"/>
        </w:tabs>
        <w:spacing w:lineRule="auto" w:line="264" w:before="0" w:after="40"/>
        <w:ind w:hanging="520" w:start="720"/>
        <w:rPr/>
      </w:pPr>
      <w:r>
        <w:t>2.6  Summary of the Studies Reviewed</w:t>
        <w:tab/>
        <w:t>6</w:t>
      </w:r>
    </w:p>
    <w:p>
      <w:pPr>
        <w:pStyle w:val="Normal"/>
        <w:tabs>
          <w:tab w:val="clear" w:pos="720"/>
          <w:tab w:val="right" w:pos="9360" w:leader="dot"/>
        </w:tabs>
        <w:spacing w:lineRule="auto" w:line="264" w:before="0" w:after="40"/>
        <w:ind w:hanging="520" w:start="720"/>
        <w:rPr/>
      </w:pPr>
      <w:r>
        <w:t>2.7  Gaps Identified</w:t>
        <w:tab/>
        <w:t>7</w:t>
      </w:r>
    </w:p>
    <w:p>
      <w:pPr>
        <w:pStyle w:val="Normal"/>
        <w:tabs>
          <w:tab w:val="clear" w:pos="720"/>
          <w:tab w:val="right" w:pos="9360" w:leader="dot"/>
        </w:tabs>
        <w:spacing w:lineRule="auto" w:line="264" w:before="120" w:after="60"/>
        <w:ind w:hanging="0" w:start="0"/>
        <w:rPr/>
      </w:pPr>
      <w:r>
        <w:t>3  Methodology</w:t>
        <w:tab/>
        <w:t>8</w:t>
      </w:r>
    </w:p>
    <w:p>
      <w:pPr>
        <w:pStyle w:val="Normal"/>
        <w:tabs>
          <w:tab w:val="clear" w:pos="720"/>
          <w:tab w:val="right" w:pos="9360" w:leader="dot"/>
        </w:tabs>
        <w:spacing w:lineRule="auto" w:line="264" w:before="0" w:after="40"/>
        <w:ind w:hanging="520" w:start="720"/>
        <w:rPr/>
      </w:pPr>
      <w:r>
        <w:t>3.1  System Overview</w:t>
        <w:tab/>
        <w:t>8</w:t>
      </w:r>
    </w:p>
    <w:p>
      <w:pPr>
        <w:pStyle w:val="Normal"/>
        <w:tabs>
          <w:tab w:val="clear" w:pos="720"/>
          <w:tab w:val="right" w:pos="9360" w:leader="dot"/>
        </w:tabs>
        <w:spacing w:lineRule="auto" w:line="264" w:before="0" w:after="40"/>
        <w:ind w:hanging="520" w:start="720"/>
        <w:rPr/>
      </w:pPr>
      <w:r>
        <w:t>3.2  Data Sources</w:t>
        <w:tab/>
        <w:t>9</w:t>
      </w:r>
    </w:p>
    <w:p>
      <w:pPr>
        <w:pStyle w:val="Normal"/>
        <w:tabs>
          <w:tab w:val="clear" w:pos="720"/>
          <w:tab w:val="right" w:pos="9360" w:leader="dot"/>
        </w:tabs>
        <w:spacing w:lineRule="auto" w:line="264" w:before="0" w:after="30"/>
        <w:ind w:hanging="780" w:start="1500"/>
        <w:rPr/>
      </w:pPr>
      <w:r>
        <w:t>3.2.1  Python WAN simulator (training data)</w:t>
        <w:tab/>
        <w:t>9</w:t>
      </w:r>
    </w:p>
    <w:p>
      <w:pPr>
        <w:pStyle w:val="Normal"/>
        <w:tabs>
          <w:tab w:val="clear" w:pos="720"/>
          <w:tab w:val="right" w:pos="9360" w:leader="dot"/>
        </w:tabs>
        <w:spacing w:lineRule="auto" w:line="264" w:before="0" w:after="30"/>
        <w:ind w:hanging="780" w:start="1500"/>
        <w:rPr/>
      </w:pPr>
      <w:r>
        <w:t>3.2.2  Mininet emulation (adaptation and validation data)</w:t>
        <w:tab/>
        <w:t>10</w:t>
      </w:r>
    </w:p>
    <w:p>
      <w:pPr>
        <w:pStyle w:val="Normal"/>
        <w:tabs>
          <w:tab w:val="clear" w:pos="720"/>
          <w:tab w:val="right" w:pos="9360" w:leader="dot"/>
        </w:tabs>
        <w:spacing w:lineRule="auto" w:line="264" w:before="0" w:after="40"/>
        <w:ind w:hanging="520" w:start="720"/>
        <w:rPr/>
      </w:pPr>
      <w:r>
        <w:t>3.3  Feature Engineering</w:t>
        <w:tab/>
        <w:t>13</w:t>
      </w:r>
    </w:p>
    <w:p>
      <w:pPr>
        <w:pStyle w:val="Normal"/>
        <w:tabs>
          <w:tab w:val="clear" w:pos="720"/>
          <w:tab w:val="right" w:pos="9360" w:leader="dot"/>
        </w:tabs>
        <w:spacing w:lineRule="auto" w:line="264" w:before="0" w:after="40"/>
        <w:ind w:hanging="520" w:start="720"/>
        <w:rPr/>
      </w:pPr>
      <w:r>
        <w:t>3.4  Tier 1: Random Forest Classifier</w:t>
        <w:tab/>
        <w:t>15</w:t>
      </w:r>
    </w:p>
    <w:p>
      <w:pPr>
        <w:pStyle w:val="Normal"/>
        <w:tabs>
          <w:tab w:val="clear" w:pos="720"/>
          <w:tab w:val="right" w:pos="9360" w:leader="dot"/>
        </w:tabs>
        <w:spacing w:lineRule="auto" w:line="264" w:before="0" w:after="40"/>
        <w:ind w:hanging="520" w:start="720"/>
        <w:rPr/>
      </w:pPr>
      <w:r>
        <w:t>3.5  Tier 2: LSTM Autoencoder with Temporal Attention</w:t>
        <w:tab/>
        <w:t>16</w:t>
      </w:r>
    </w:p>
    <w:p>
      <w:pPr>
        <w:pStyle w:val="Normal"/>
        <w:tabs>
          <w:tab w:val="clear" w:pos="720"/>
          <w:tab w:val="right" w:pos="9360" w:leader="dot"/>
        </w:tabs>
        <w:spacing w:lineRule="auto" w:line="264" w:before="0" w:after="40"/>
        <w:ind w:hanging="520" w:start="720"/>
        <w:rPr/>
      </w:pPr>
      <w:r>
        <w:t>3.6  Cascade Decision Logic</w:t>
        <w:tab/>
        <w:t>17</w:t>
      </w:r>
    </w:p>
    <w:p>
      <w:pPr>
        <w:pStyle w:val="Normal"/>
        <w:tabs>
          <w:tab w:val="clear" w:pos="720"/>
          <w:tab w:val="right" w:pos="9360" w:leader="dot"/>
        </w:tabs>
        <w:spacing w:lineRule="auto" w:line="264" w:before="0" w:after="40"/>
        <w:ind w:hanging="520" w:start="720"/>
        <w:rPr/>
      </w:pPr>
      <w:r>
        <w:t>3.7  Domain Adaptation to Mininet Data</w:t>
        <w:tab/>
        <w:t>17</w:t>
      </w:r>
    </w:p>
    <w:p>
      <w:pPr>
        <w:pStyle w:val="Normal"/>
        <w:tabs>
          <w:tab w:val="clear" w:pos="720"/>
          <w:tab w:val="right" w:pos="9360" w:leader="dot"/>
        </w:tabs>
        <w:spacing w:lineRule="auto" w:line="264" w:before="0" w:after="40"/>
        <w:ind w:hanging="520" w:start="720"/>
        <w:rPr/>
      </w:pPr>
      <w:r>
        <w:t>3.8  Tier 3: LangGraph ReAct Agent</w:t>
        <w:tab/>
        <w:t>18</w:t>
      </w:r>
    </w:p>
    <w:p>
      <w:pPr>
        <w:pStyle w:val="Normal"/>
        <w:tabs>
          <w:tab w:val="clear" w:pos="720"/>
          <w:tab w:val="right" w:pos="9360" w:leader="dot"/>
        </w:tabs>
        <w:spacing w:lineRule="auto" w:line="264" w:before="0" w:after="40"/>
        <w:ind w:hanging="520" w:start="720"/>
        <w:rPr/>
      </w:pPr>
      <w:r>
        <w:t>3.9  Live Pipeline and Dashboard</w:t>
        <w:tab/>
        <w:t>19</w:t>
      </w:r>
    </w:p>
    <w:p>
      <w:pPr>
        <w:pStyle w:val="Normal"/>
        <w:tabs>
          <w:tab w:val="clear" w:pos="720"/>
          <w:tab w:val="right" w:pos="9360" w:leader="dot"/>
        </w:tabs>
        <w:spacing w:lineRule="auto" w:line="264" w:before="0" w:after="40"/>
        <w:ind w:hanging="520" w:start="720"/>
        <w:rPr/>
      </w:pPr>
      <w:r>
        <w:t>3.10  Implementation Environment</w:t>
        <w:tab/>
        <w:t>20</w:t>
      </w:r>
    </w:p>
    <w:p>
      <w:pPr>
        <w:pStyle w:val="Normal"/>
        <w:tabs>
          <w:tab w:val="clear" w:pos="720"/>
          <w:tab w:val="right" w:pos="9360" w:leader="dot"/>
        </w:tabs>
        <w:spacing w:lineRule="auto" w:line="264" w:before="0" w:after="40"/>
        <w:ind w:hanging="520" w:start="720"/>
        <w:rPr/>
      </w:pPr>
      <w:r>
        <w:t>3.11  Evaluation Metrics</w:t>
        <w:tab/>
        <w:t>20</w:t>
      </w:r>
    </w:p>
    <w:p>
      <w:pPr>
        <w:pStyle w:val="Normal"/>
        <w:tabs>
          <w:tab w:val="clear" w:pos="720"/>
          <w:tab w:val="right" w:pos="9360" w:leader="dot"/>
        </w:tabs>
        <w:spacing w:lineRule="auto" w:line="264" w:before="120" w:after="60"/>
        <w:ind w:hanging="0" w:start="0"/>
        <w:rPr/>
      </w:pPr>
      <w:r>
        <w:t>4  Results and Discussion</w:t>
        <w:tab/>
        <w:t>21</w:t>
      </w:r>
    </w:p>
    <w:p>
      <w:pPr>
        <w:pStyle w:val="Normal"/>
        <w:tabs>
          <w:tab w:val="clear" w:pos="720"/>
          <w:tab w:val="right" w:pos="9360" w:leader="dot"/>
        </w:tabs>
        <w:spacing w:lineRule="auto" w:line="264" w:before="0" w:after="40"/>
        <w:ind w:hanging="520" w:start="720"/>
        <w:rPr/>
      </w:pPr>
      <w:r>
        <w:t>4.1  Experimental Setup</w:t>
        <w:tab/>
        <w:t>21</w:t>
      </w:r>
    </w:p>
    <w:p>
      <w:pPr>
        <w:pStyle w:val="Normal"/>
        <w:tabs>
          <w:tab w:val="clear" w:pos="720"/>
          <w:tab w:val="right" w:pos="9360" w:leader="dot"/>
        </w:tabs>
        <w:spacing w:lineRule="auto" w:line="264" w:before="0" w:after="40"/>
        <w:ind w:hanging="520" w:start="720"/>
        <w:rPr/>
      </w:pPr>
      <w:r>
        <w:t>4.2  Detection Results on Simulated Data</w:t>
        <w:tab/>
        <w:t>21</w:t>
      </w:r>
    </w:p>
    <w:p>
      <w:pPr>
        <w:pStyle w:val="Normal"/>
        <w:tabs>
          <w:tab w:val="clear" w:pos="720"/>
          <w:tab w:val="right" w:pos="9360" w:leader="dot"/>
        </w:tabs>
        <w:spacing w:lineRule="auto" w:line="264" w:before="0" w:after="40"/>
        <w:ind w:hanging="520" w:start="720"/>
        <w:rPr/>
      </w:pPr>
      <w:r>
        <w:t>4.3  Improvement of the LSTM Autoencoder</w:t>
        <w:tab/>
        <w:t>23</w:t>
      </w:r>
    </w:p>
    <w:p>
      <w:pPr>
        <w:pStyle w:val="Normal"/>
        <w:tabs>
          <w:tab w:val="clear" w:pos="720"/>
          <w:tab w:val="right" w:pos="9360" w:leader="dot"/>
        </w:tabs>
        <w:spacing w:lineRule="auto" w:line="264" w:before="0" w:after="40"/>
        <w:ind w:hanging="520" w:start="720"/>
        <w:rPr/>
      </w:pPr>
      <w:r>
        <w:t>4.4  False-Positive Suppression by the Cascade</w:t>
        <w:tab/>
        <w:t>25</w:t>
      </w:r>
    </w:p>
    <w:p>
      <w:pPr>
        <w:pStyle w:val="Normal"/>
        <w:tabs>
          <w:tab w:val="clear" w:pos="720"/>
          <w:tab w:val="right" w:pos="9360" w:leader="dot"/>
        </w:tabs>
        <w:spacing w:lineRule="auto" w:line="264" w:before="0" w:after="40"/>
        <w:ind w:hanging="520" w:start="720"/>
        <w:rPr/>
      </w:pPr>
      <w:r>
        <w:t>4.5  Evaluation on Mininet Data</w:t>
        <w:tab/>
        <w:t>26</w:t>
      </w:r>
    </w:p>
    <w:p>
      <w:pPr>
        <w:pStyle w:val="Normal"/>
        <w:tabs>
          <w:tab w:val="clear" w:pos="720"/>
          <w:tab w:val="right" w:pos="9360" w:leader="dot"/>
        </w:tabs>
        <w:spacing w:lineRule="auto" w:line="264" w:before="0" w:after="40"/>
        <w:ind w:hanging="520" w:start="720"/>
        <w:rPr/>
      </w:pPr>
      <w:r>
        <w:t>4.6  Evaluation of the ReAct Agent</w:t>
        <w:tab/>
        <w:t>27</w:t>
      </w:r>
    </w:p>
    <w:p>
      <w:pPr>
        <w:pStyle w:val="Normal"/>
        <w:tabs>
          <w:tab w:val="clear" w:pos="720"/>
          <w:tab w:val="right" w:pos="9360" w:leader="dot"/>
        </w:tabs>
        <w:spacing w:lineRule="auto" w:line="264" w:before="0" w:after="30"/>
        <w:ind w:hanging="780" w:start="1500"/>
        <w:rPr/>
      </w:pPr>
      <w:r>
        <w:t>4.6.1  Example of the ReAct loop</w:t>
        <w:tab/>
        <w:t>27</w:t>
      </w:r>
    </w:p>
    <w:p>
      <w:pPr>
        <w:pStyle w:val="Normal"/>
        <w:tabs>
          <w:tab w:val="clear" w:pos="720"/>
          <w:tab w:val="right" w:pos="9360" w:leader="dot"/>
        </w:tabs>
        <w:spacing w:lineRule="auto" w:line="264" w:before="0" w:after="30"/>
        <w:ind w:hanging="780" w:start="1500"/>
        <w:rPr/>
      </w:pPr>
      <w:r>
        <w:t>4.6.2  RCA accuracy and response time</w:t>
        <w:tab/>
        <w:t>28</w:t>
      </w:r>
    </w:p>
    <w:p>
      <w:pPr>
        <w:pStyle w:val="Normal"/>
        <w:tabs>
          <w:tab w:val="clear" w:pos="720"/>
          <w:tab w:val="right" w:pos="9360" w:leader="dot"/>
        </w:tabs>
        <w:spacing w:lineRule="auto" w:line="264" w:before="0" w:after="40"/>
        <w:ind w:hanging="520" w:start="720"/>
        <w:rPr/>
      </w:pPr>
      <w:r>
        <w:t>4.7  Complex Scenarios</w:t>
        <w:tab/>
        <w:t>29</w:t>
      </w:r>
    </w:p>
    <w:p>
      <w:pPr>
        <w:pStyle w:val="Normal"/>
        <w:tabs>
          <w:tab w:val="clear" w:pos="720"/>
          <w:tab w:val="right" w:pos="9360" w:leader="dot"/>
        </w:tabs>
        <w:spacing w:lineRule="auto" w:line="264" w:before="0" w:after="40"/>
        <w:ind w:hanging="520" w:start="720"/>
        <w:rPr/>
      </w:pPr>
      <w:r>
        <w:t>4.8  Dashboard Demonstration</w:t>
        <w:tab/>
        <w:t>29</w:t>
      </w:r>
    </w:p>
    <w:p>
      <w:pPr>
        <w:pStyle w:val="Normal"/>
        <w:tabs>
          <w:tab w:val="clear" w:pos="720"/>
          <w:tab w:val="right" w:pos="9360" w:leader="dot"/>
        </w:tabs>
        <w:spacing w:lineRule="auto" w:line="264" w:before="0" w:after="40"/>
        <w:ind w:hanging="520" w:start="720"/>
        <w:rPr/>
      </w:pPr>
      <w:r>
        <w:t>4.9  Summary of Results</w:t>
        <w:tab/>
        <w:t>31</w:t>
      </w:r>
    </w:p>
    <w:p>
      <w:pPr>
        <w:pStyle w:val="Normal"/>
        <w:tabs>
          <w:tab w:val="clear" w:pos="720"/>
          <w:tab w:val="right" w:pos="9360" w:leader="dot"/>
        </w:tabs>
        <w:spacing w:lineRule="auto" w:line="264" w:before="0" w:after="40"/>
        <w:ind w:hanging="520" w:start="720"/>
        <w:rPr/>
      </w:pPr>
      <w:r>
        <w:t>4.10  Discussion</w:t>
        <w:tab/>
        <w:t>32</w:t>
      </w:r>
    </w:p>
    <w:p>
      <w:pPr>
        <w:pStyle w:val="Normal"/>
        <w:tabs>
          <w:tab w:val="clear" w:pos="720"/>
          <w:tab w:val="right" w:pos="9360" w:leader="dot"/>
        </w:tabs>
        <w:spacing w:lineRule="auto" w:line="264" w:before="120" w:after="60"/>
        <w:ind w:hanging="0" w:start="0"/>
        <w:rPr/>
      </w:pPr>
      <w:r>
        <w:t>5  Conclusion and Future Work</w:t>
        <w:tab/>
        <w:t>34</w:t>
      </w:r>
    </w:p>
    <w:p>
      <w:pPr>
        <w:pStyle w:val="Normal"/>
        <w:tabs>
          <w:tab w:val="clear" w:pos="720"/>
          <w:tab w:val="right" w:pos="9360" w:leader="dot"/>
        </w:tabs>
        <w:spacing w:lineRule="auto" w:line="264" w:before="0" w:after="40"/>
        <w:ind w:hanging="520" w:start="720"/>
        <w:rPr/>
      </w:pPr>
      <w:r>
        <w:t>5.1  Conclusion</w:t>
        <w:tab/>
        <w:t>34</w:t>
      </w:r>
    </w:p>
    <w:p>
      <w:pPr>
        <w:pStyle w:val="Normal"/>
        <w:tabs>
          <w:tab w:val="clear" w:pos="720"/>
          <w:tab w:val="right" w:pos="9360" w:leader="dot"/>
        </w:tabs>
        <w:spacing w:lineRule="auto" w:line="264" w:before="0" w:after="40"/>
        <w:ind w:hanging="520" w:start="720"/>
        <w:rPr/>
      </w:pPr>
      <w:r>
        <w:t>5.2  Limitations</w:t>
        <w:tab/>
        <w:t>34</w:t>
      </w:r>
    </w:p>
    <w:p>
      <w:pPr>
        <w:pStyle w:val="Normal"/>
        <w:tabs>
          <w:tab w:val="clear" w:pos="720"/>
          <w:tab w:val="right" w:pos="9360" w:leader="dot"/>
        </w:tabs>
        <w:spacing w:lineRule="auto" w:line="264" w:before="0" w:after="40"/>
        <w:ind w:hanging="520" w:start="720"/>
        <w:rPr/>
      </w:pPr>
      <w:r>
        <w:t>5.3  Future Work</w:t>
        <w:tab/>
        <w:t>35</w:t>
      </w:r>
    </w:p>
    <w:p>
      <w:pPr>
        <w:pStyle w:val="Normal"/>
        <w:tabs>
          <w:tab w:val="clear" w:pos="720"/>
          <w:tab w:val="right" w:pos="9360" w:leader="dot"/>
        </w:tabs>
        <w:spacing w:lineRule="auto" w:line="264" w:before="120" w:after="60"/>
        <w:ind w:hanging="0" w:start="0"/>
        <w:rPr/>
      </w:pPr>
      <w:r>
        <w:t>Appendix 1: Code Listings  36</w:t>
      </w:r>
    </w:p>
    <w:p>
      <w:pPr>
        <w:pStyle w:val="Normal"/>
        <w:tabs>
          <w:tab w:val="clear" w:pos="720"/>
          <w:tab w:val="right" w:pos="9360" w:leader="dot"/>
        </w:tabs>
        <w:spacing w:lineRule="auto" w:line="264" w:before="120" w:after="60"/>
        <w:ind w:hanging="0" w:start="0"/>
        <w:rPr/>
      </w:pPr>
      <w:r>
        <w:t>Appendix 2: Pipeline State and Configuration  38</w:t>
      </w:r>
    </w:p>
    <w:p>
      <w:pPr>
        <w:pStyle w:val="Normal"/>
        <w:tabs>
          <w:tab w:val="clear" w:pos="720"/>
          <w:tab w:val="right" w:pos="9360" w:leader="dot"/>
        </w:tabs>
        <w:spacing w:lineRule="auto" w:line="264" w:before="120" w:after="60"/>
        <w:ind w:hanging="0" w:start="0"/>
        <w:rPr/>
      </w:pPr>
      <w:r>
        <w:t>Appendix 3: Dashboard and Evaluation Evidence  39</w:t>
      </w:r>
    </w:p>
    <w:p>
      <w:pPr>
        <w:pStyle w:val="Normal"/>
        <w:tabs>
          <w:tab w:val="clear" w:pos="720"/>
          <w:tab w:val="right" w:pos="9360" w:leader="dot"/>
        </w:tabs>
        <w:spacing w:lineRule="auto" w:line="264" w:before="120" w:after="60"/>
        <w:ind w:hanging="0" w:start="0"/>
        <w:rPr/>
      </w:pPr>
      <w:r>
        <w:t>Bibliography  47</w:t>
      </w:r>
    </w:p>
    <w:p>
      <w:pPr>
        <w:pStyle w:val="Heading1"/>
        <w:spacing w:before="0" w:after="240"/>
        <w:jc w:val="center"/>
        <w:rPr/>
      </w:pPr>
      <w:r>
        <w:rPr>
          <w:rFonts w:eastAsia="Times New Roman" w:cs="Times New Roman" w:ascii="Times New Roman" w:hAnsi="Times New Roman"/>
          <w:b/>
          <w:bCs/>
          <w:sz w:val="32"/>
          <w:szCs w:val="32"/>
        </w:rPr>
        <w:t>List of Figures</w:t>
      </w:r>
    </w:p>
    <w:p>
      <w:pPr>
        <w:pStyle w:val="Normal"/>
        <w:tabs>
          <w:tab w:val="clear" w:pos="720"/>
          <w:tab w:val="right" w:pos="9360" w:leader="dot"/>
        </w:tabs>
        <w:spacing w:lineRule="auto" w:line="264" w:before="0" w:after="80"/>
        <w:ind w:hanging="1500" w:start="1500"/>
        <w:rPr/>
      </w:pPr>
      <w:r>
        <w:t>Figure 3.1: System architecture: detection (Tiers 1 and 2) gating investigation (Tier 3)</w:t>
        <w:tab/>
        <w:t>8</w:t>
      </w:r>
    </w:p>
    <w:p>
      <w:pPr>
        <w:pStyle w:val="Normal"/>
        <w:tabs>
          <w:tab w:val="clear" w:pos="720"/>
          <w:tab w:val="right" w:pos="9360" w:leader="dot"/>
        </w:tabs>
        <w:spacing w:lineRule="auto" w:line="264" w:before="0" w:after="80"/>
        <w:ind w:hanging="1500" w:start="1500"/>
        <w:rPr/>
      </w:pPr>
      <w:r>
        <w:t>Figure 3.2: Mininet Real-Data Lab dashboard showing augmented-dataset overview</w:t>
        <w:tab/>
        <w:t>13</w:t>
      </w:r>
    </w:p>
    <w:p>
      <w:pPr>
        <w:pStyle w:val="Normal"/>
        <w:tabs>
          <w:tab w:val="clear" w:pos="720"/>
          <w:tab w:val="right" w:pos="9360" w:leader="dot"/>
        </w:tabs>
        <w:spacing w:lineRule="auto" w:line="264" w:before="0" w:after="80"/>
        <w:ind w:hanging="1500" w:start="1500"/>
        <w:rPr/>
      </w:pPr>
      <w:r>
        <w:t>Figure 3.3: Live Monitor dashboard in replay-mode idle state</w:t>
        <w:tab/>
        <w:t>19</w:t>
      </w:r>
    </w:p>
    <w:p>
      <w:pPr>
        <w:pStyle w:val="Normal"/>
        <w:tabs>
          <w:tab w:val="clear" w:pos="720"/>
          <w:tab w:val="right" w:pos="9360" w:leader="dot"/>
        </w:tabs>
        <w:spacing w:lineRule="auto" w:line="264" w:before="0" w:after="80"/>
        <w:ind w:hanging="1500" w:start="1500"/>
        <w:rPr/>
      </w:pPr>
      <w:r>
        <w:t>Figure 4.1: Simulated-data detector evaluation output</w:t>
        <w:tab/>
        <w:t>22</w:t>
      </w:r>
    </w:p>
    <w:p>
      <w:pPr>
        <w:pStyle w:val="Normal"/>
        <w:tabs>
          <w:tab w:val="clear" w:pos="720"/>
          <w:tab w:val="right" w:pos="9360" w:leader="dot"/>
        </w:tabs>
        <w:spacing w:lineRule="auto" w:line="264" w:before="0" w:after="80"/>
        <w:ind w:hanging="1500" w:start="1500"/>
        <w:rPr/>
      </w:pPr>
      <w:r>
        <w:t>Figure 4.2: Dashboard confusion-matrix view for detector evaluation</w:t>
        <w:tab/>
        <w:t>22</w:t>
      </w:r>
    </w:p>
    <w:p>
      <w:pPr>
        <w:pStyle w:val="Normal"/>
        <w:tabs>
          <w:tab w:val="clear" w:pos="720"/>
          <w:tab w:val="right" w:pos="9360" w:leader="dot"/>
        </w:tabs>
        <w:spacing w:lineRule="auto" w:line="264" w:before="0" w:after="80"/>
        <w:ind w:hanging="1500" w:start="1500"/>
        <w:rPr/>
      </w:pPr>
      <w:r>
        <w:t>Figure 4.3: Dashboard receiver-operating-characteristic curves</w:t>
        <w:tab/>
        <w:t>23</w:t>
      </w:r>
    </w:p>
    <w:p>
      <w:pPr>
        <w:pStyle w:val="Normal"/>
        <w:tabs>
          <w:tab w:val="clear" w:pos="720"/>
          <w:tab w:val="right" w:pos="9360" w:leader="dot"/>
        </w:tabs>
        <w:spacing w:lineRule="auto" w:line="264" w:before="0" w:after="80"/>
        <w:ind w:hanging="1500" w:start="1500"/>
        <w:rPr/>
      </w:pPr>
      <w:r>
        <w:t>Figure 4.4: Reconstruction-error distribution from diagnostic evaluation</w:t>
        <w:tab/>
        <w:t>24</w:t>
      </w:r>
    </w:p>
    <w:p>
      <w:pPr>
        <w:pStyle w:val="Normal"/>
        <w:tabs>
          <w:tab w:val="clear" w:pos="720"/>
          <w:tab w:val="right" w:pos="9360" w:leader="dot"/>
        </w:tabs>
        <w:spacing w:lineRule="auto" w:line="264" w:before="0" w:after="80"/>
        <w:ind w:hanging="1500" w:start="1500"/>
        <w:rPr/>
      </w:pPr>
      <w:r>
        <w:t>Figure 4.5: Mininet Lab view of per-fault performance and probe-signal distributions</w:t>
        <w:tab/>
        <w:t>26</w:t>
      </w:r>
    </w:p>
    <w:p>
      <w:pPr>
        <w:pStyle w:val="Normal"/>
        <w:tabs>
          <w:tab w:val="clear" w:pos="720"/>
          <w:tab w:val="right" w:pos="9360" w:leader="dot"/>
        </w:tabs>
        <w:spacing w:lineRule="auto" w:line="264" w:before="0" w:after="80"/>
        <w:ind w:hanging="1500" w:start="1500"/>
        <w:rPr/>
      </w:pPr>
      <w:r>
        <w:t>Figure 4.6: Root-cause analysis incident summary in the dashboard</w:t>
        <w:tab/>
        <w:t>27</w:t>
      </w:r>
    </w:p>
    <w:p>
      <w:pPr>
        <w:pStyle w:val="Normal"/>
        <w:tabs>
          <w:tab w:val="clear" w:pos="720"/>
          <w:tab w:val="right" w:pos="9360" w:leader="dot"/>
        </w:tabs>
        <w:spacing w:lineRule="auto" w:line="264" w:before="0" w:after="80"/>
        <w:ind w:hanging="1500" w:start="1500"/>
        <w:rPr/>
      </w:pPr>
      <w:r>
        <w:t>Figure 4.7: Dashboard Live Monitor before a replay fault request</w:t>
        <w:tab/>
        <w:t>29</w:t>
      </w:r>
    </w:p>
    <w:p>
      <w:pPr>
        <w:pStyle w:val="Normal"/>
        <w:tabs>
          <w:tab w:val="clear" w:pos="720"/>
          <w:tab w:val="right" w:pos="9360" w:leader="dot"/>
        </w:tabs>
        <w:spacing w:lineRule="auto" w:line="264" w:before="0" w:after="80"/>
        <w:ind w:hanging="1500" w:start="1500"/>
        <w:rPr/>
      </w:pPr>
      <w:r>
        <w:t>Figure 4.8: Dashboard after a replay fault request and detector evaluation</w:t>
        <w:tab/>
        <w:t>29</w:t>
      </w:r>
    </w:p>
    <w:p>
      <w:pPr>
        <w:pStyle w:val="Normal"/>
        <w:tabs>
          <w:tab w:val="clear" w:pos="720"/>
          <w:tab w:val="right" w:pos="9360" w:leader="dot"/>
        </w:tabs>
        <w:spacing w:lineRule="auto" w:line="264" w:before="0" w:after="80"/>
        <w:ind w:hanging="1500" w:start="1500"/>
        <w:rPr/>
      </w:pPr>
      <w:r>
        <w:t>Figure 4.9: Dashboard root-cause evidence chain</w:t>
        <w:tab/>
        <w:t>30</w:t>
      </w:r>
    </w:p>
    <w:p>
      <w:pPr>
        <w:pStyle w:val="Normal"/>
        <w:tabs>
          <w:tab w:val="clear" w:pos="720"/>
          <w:tab w:val="right" w:pos="9360" w:leader="dot"/>
        </w:tabs>
        <w:spacing w:lineRule="auto" w:line="264" w:before="0" w:after="80"/>
        <w:ind w:hanging="1500" w:start="1500"/>
        <w:rPr/>
      </w:pPr>
      <w:r>
        <w:t>Figure 4.10: Dashboard root-cause classification and remediation view</w:t>
        <w:tab/>
        <w:t>31</w:t>
      </w:r>
    </w:p>
    <w:p>
      <w:pPr>
        <w:pStyle w:val="Normal"/>
        <w:spacing w:after="80" w:before="0"/>
        <w:ind w:hanging="1500" w:left="1440"/>
      </w:pPr>
      <w:r>
        <w:t>Figure A3.1: Root-cause evidence chain continuation...........................................39</w:t>
      </w:r>
    </w:p>
    <w:p>
      <w:pPr>
        <w:pStyle w:val="Normal"/>
        <w:spacing w:after="80" w:before="0"/>
        <w:ind w:hanging="1500" w:left="1440"/>
      </w:pPr>
      <w:r>
        <w:t>Figure A3.2: Root-cause remediation recommendations...........................................39</w:t>
      </w:r>
    </w:p>
    <w:p>
      <w:pPr>
        <w:pStyle w:val="Normal"/>
        <w:spacing w:after="80" w:before="0"/>
        <w:ind w:hanging="1500" w:left="1440"/>
      </w:pPr>
      <w:r>
        <w:t>Figure A3.3: Root-cause long-term remediation recommendations.................................40</w:t>
      </w:r>
    </w:p>
    <w:p>
      <w:pPr>
        <w:pStyle w:val="Normal"/>
        <w:spacing w:after="80" w:before="0"/>
        <w:ind w:hanging="1500" w:left="1440"/>
      </w:pPr>
      <w:r>
        <w:t>Figure A3.4: Root-cause confidence assessment.................................................41</w:t>
      </w:r>
    </w:p>
    <w:p>
      <w:pPr>
        <w:pStyle w:val="Normal"/>
        <w:spacing w:after="80" w:before="0"/>
        <w:ind w:hanging="1500" w:left="1440"/>
      </w:pPr>
      <w:r>
        <w:t>Figure A3.5: Root-cause tool-evidence analysis panel..........................................42</w:t>
      </w:r>
    </w:p>
    <w:p>
      <w:pPr>
        <w:pStyle w:val="Normal"/>
        <w:spacing w:after="80" w:before="0"/>
        <w:ind w:hanging="1500" w:left="1440"/>
      </w:pPr>
      <w:r>
        <w:t>Figure A3.6: Root-cause discarded-hypotheses panel............................................43</w:t>
      </w:r>
    </w:p>
    <w:p>
      <w:pPr>
        <w:pStyle w:val="Normal"/>
        <w:spacing w:after="80" w:before="0"/>
        <w:ind w:hanging="1500" w:left="1440"/>
      </w:pPr>
      <w:r>
        <w:t>Figure A3.7: Telemetry Analytics dashboard overview...........................................43</w:t>
      </w:r>
    </w:p>
    <w:p>
      <w:pPr>
        <w:pStyle w:val="Normal"/>
        <w:spacing w:after="80" w:before="0"/>
        <w:ind w:hanging="1500" w:left="1440"/>
      </w:pPr>
      <w:r>
        <w:t>Figure A3.8: Telemetry Analytics fault-distribution and metric panels.........................44</w:t>
      </w:r>
    </w:p>
    <w:p>
      <w:pPr>
        <w:pStyle w:val="Normal"/>
        <w:spacing w:after="80" w:before="0"/>
        <w:ind w:hanging="1500" w:left="1440"/>
      </w:pPr>
      <w:r>
        <w:t>Figure A3.9: Telemetry Analytics anomaly and feature views....................................44</w:t>
      </w:r>
    </w:p>
    <w:p>
      <w:pPr>
        <w:pStyle w:val="Normal"/>
        <w:spacing w:after="80" w:before="0"/>
        <w:ind w:hanging="1500" w:left="1440"/>
      </w:pPr>
      <w:r>
        <w:t>Figure A3.10: Benchmark dashboard summary cards...............................................44</w:t>
      </w:r>
    </w:p>
    <w:p>
      <w:pPr>
        <w:pStyle w:val="Normal"/>
        <w:spacing w:after="80" w:before="0"/>
        <w:ind w:hanging="1500" w:left="1440"/>
      </w:pPr>
      <w:r>
        <w:t>Figure A3.11: Benchmark dashboard detailed scenario table.....................................45</w:t>
      </w:r>
    </w:p>
    <w:p>
      <w:pPr>
        <w:pStyle w:val="Normal"/>
        <w:spacing w:after="80" w:before="0"/>
        <w:ind w:hanging="1500" w:left="1440"/>
      </w:pPr>
      <w:r>
        <w:t>Figure A3.12: Results-folder confusion matrices...............................................45</w:t>
      </w:r>
    </w:p>
    <w:p>
      <w:pPr>
        <w:pStyle w:val="Normal"/>
        <w:spacing w:after="80" w:before="0"/>
        <w:ind w:hanging="1500" w:left="1440"/>
      </w:pPr>
      <w:r>
        <w:t>Figure A3.13: Results-folder ROC and precision-recall curves..................................45</w:t>
      </w:r>
    </w:p>
    <w:p>
      <w:pPr>
        <w:pStyle w:val="Normal"/>
        <w:spacing w:after="80" w:before="0"/>
        <w:ind w:hanging="1500" w:left="1440"/>
      </w:pPr>
      <w:r>
        <w:t>Figure A3.14: Results-folder threshold-sweep diagnostic.......................................46</w:t>
      </w:r>
    </w:p>
    <w:p>
      <w:pPr>
        <w:pStyle w:val="Heading1"/>
        <w:spacing w:before="0" w:after="240"/>
        <w:jc w:val="center"/>
        <w:rPr/>
      </w:pPr>
      <w:r>
        <w:rPr>
          <w:rFonts w:eastAsia="Times New Roman" w:cs="Times New Roman" w:ascii="Times New Roman" w:hAnsi="Times New Roman"/>
          <w:b/>
          <w:bCs/>
          <w:sz w:val="32"/>
          <w:szCs w:val="32"/>
        </w:rPr>
        <w:t>List of Tables</w:t>
      </w:r>
    </w:p>
    <w:p>
      <w:pPr>
        <w:pStyle w:val="Normal"/>
        <w:tabs>
          <w:tab w:val="clear" w:pos="720"/>
          <w:tab w:val="right" w:pos="9360" w:leader="dot"/>
        </w:tabs>
        <w:spacing w:lineRule="auto" w:line="264" w:before="0" w:after="80"/>
        <w:ind w:hanging="1400" w:start="1400"/>
        <w:rPr/>
      </w:pPr>
      <w:r>
        <w:t>Table 2.1: Summary of the fifteen studies reviewed</w:t>
        <w:tab/>
        <w:t>6</w:t>
      </w:r>
    </w:p>
    <w:p>
      <w:pPr>
        <w:pStyle w:val="Normal"/>
        <w:tabs>
          <w:tab w:val="clear" w:pos="720"/>
          <w:tab w:val="right" w:pos="9360" w:leader="dot"/>
        </w:tabs>
        <w:spacing w:lineRule="auto" w:line="264" w:before="0" w:after="80"/>
        <w:ind w:hanging="1400" w:start="1400"/>
        <w:rPr/>
      </w:pPr>
      <w:r>
        <w:t>Table 3.1: Telemetry schema of the simulator</w:t>
        <w:tab/>
        <w:t>10</w:t>
      </w:r>
    </w:p>
    <w:p>
      <w:pPr>
        <w:pStyle w:val="Normal"/>
        <w:tabs>
          <w:tab w:val="clear" w:pos="720"/>
          <w:tab w:val="right" w:pos="9360" w:leader="dot"/>
        </w:tabs>
        <w:spacing w:lineRule="auto" w:line="264" w:before="0" w:after="80"/>
        <w:ind w:hanging="1400" w:start="1400"/>
        <w:rPr/>
      </w:pPr>
      <w:r>
        <w:t>Table 3.1a: Engineered feature interpretation</w:t>
        <w:tab/>
        <w:t>14</w:t>
      </w:r>
    </w:p>
    <w:p>
      <w:pPr>
        <w:pStyle w:val="Normal"/>
        <w:tabs>
          <w:tab w:val="clear" w:pos="720"/>
          <w:tab w:val="right" w:pos="9360" w:leader="dot"/>
        </w:tabs>
        <w:spacing w:lineRule="auto" w:line="264" w:before="0" w:after="80"/>
        <w:ind w:hanging="1400" w:start="1400"/>
        <w:rPr/>
      </w:pPr>
      <w:r>
        <w:t>Table 3.2: Target fault types and their injection in Mininet</w:t>
        <w:tab/>
        <w:t>12</w:t>
      </w:r>
    </w:p>
    <w:p>
      <w:pPr>
        <w:pStyle w:val="Normal"/>
        <w:tabs>
          <w:tab w:val="clear" w:pos="720"/>
          <w:tab w:val="right" w:pos="9360" w:leader="dot"/>
        </w:tabs>
        <w:spacing w:lineRule="auto" w:line="264" w:before="0" w:after="80"/>
        <w:ind w:hanging="1400" w:start="1400"/>
        <w:rPr/>
      </w:pPr>
      <w:r>
        <w:t>Table 3.3: Decision logic of the three-tier cascade</w:t>
        <w:tab/>
        <w:t>17</w:t>
      </w:r>
    </w:p>
    <w:p>
      <w:pPr>
        <w:pStyle w:val="Normal"/>
        <w:tabs>
          <w:tab w:val="clear" w:pos="720"/>
          <w:tab w:val="right" w:pos="9360" w:leader="dot"/>
        </w:tabs>
        <w:spacing w:lineRule="auto" w:line="264" w:before="0" w:after="80"/>
        <w:ind w:hanging="1400" w:start="1400"/>
        <w:rPr/>
      </w:pPr>
      <w:r>
        <w:t>Table 3.4: Diagnostic tools available to the agent</w:t>
        <w:tab/>
        <w:t>18</w:t>
      </w:r>
    </w:p>
    <w:p>
      <w:pPr>
        <w:pStyle w:val="Normal"/>
        <w:tabs>
          <w:tab w:val="clear" w:pos="720"/>
          <w:tab w:val="right" w:pos="9360" w:leader="dot"/>
        </w:tabs>
        <w:spacing w:lineRule="auto" w:line="264" w:before="0" w:after="80"/>
        <w:ind w:hanging="1400" w:start="1400"/>
        <w:rPr/>
      </w:pPr>
      <w:r>
        <w:t>Table 3.5: Software stack</w:t>
        <w:tab/>
        <w:t>20</w:t>
      </w:r>
    </w:p>
    <w:p>
      <w:pPr>
        <w:pStyle w:val="Normal"/>
        <w:tabs>
          <w:tab w:val="clear" w:pos="720"/>
          <w:tab w:val="right" w:pos="9360" w:leader="dot"/>
        </w:tabs>
        <w:spacing w:lineRule="auto" w:line="264" w:before="0" w:after="80"/>
        <w:ind w:hanging="1400" w:start="1400"/>
        <w:rPr/>
      </w:pPr>
      <w:r>
        <w:t>Table 3.6: Summary of the configuration of the three tiers</w:t>
        <w:tab/>
        <w:t>20</w:t>
      </w:r>
    </w:p>
    <w:p>
      <w:pPr>
        <w:pStyle w:val="Normal"/>
        <w:tabs>
          <w:tab w:val="clear" w:pos="720"/>
          <w:tab w:val="right" w:pos="9360" w:leader="dot"/>
        </w:tabs>
        <w:spacing w:lineRule="auto" w:line="264" w:before="0" w:after="80"/>
        <w:ind w:hanging="1400" w:start="1400"/>
        <w:rPr/>
      </w:pPr>
      <w:r>
        <w:t>Table 4.1: Datasets used in the experiments</w:t>
        <w:tab/>
        <w:t>21</w:t>
      </w:r>
    </w:p>
    <w:p>
      <w:pPr>
        <w:pStyle w:val="Normal"/>
        <w:tabs>
          <w:tab w:val="clear" w:pos="720"/>
          <w:tab w:val="right" w:pos="9360" w:leader="dot"/>
        </w:tabs>
        <w:spacing w:lineRule="auto" w:line="264" w:before="0" w:after="80"/>
        <w:ind w:hanging="1400" w:start="1400"/>
        <w:rPr/>
      </w:pPr>
      <w:r>
        <w:t>Table 4.2: Test-set metrics on the simulated data</w:t>
        <w:tab/>
        <w:t>21</w:t>
      </w:r>
    </w:p>
    <w:p>
      <w:pPr>
        <w:pStyle w:val="Normal"/>
        <w:tabs>
          <w:tab w:val="clear" w:pos="720"/>
          <w:tab w:val="right" w:pos="9360" w:leader="dot"/>
        </w:tabs>
        <w:spacing w:lineRule="auto" w:line="264" w:before="0" w:after="80"/>
        <w:ind w:hanging="1400" w:start="1400"/>
        <w:rPr/>
      </w:pPr>
      <w:r>
        <w:t>Table 4.3: Effect of the refinements on the LSTM autoencoder</w:t>
        <w:tab/>
        <w:t>25</w:t>
      </w:r>
    </w:p>
    <w:p>
      <w:pPr>
        <w:pStyle w:val="Normal"/>
        <w:tabs>
          <w:tab w:val="clear" w:pos="720"/>
          <w:tab w:val="right" w:pos="9360" w:leader="dot"/>
        </w:tabs>
        <w:spacing w:lineRule="auto" w:line="264" w:before="0" w:after="80"/>
        <w:ind w:hanging="1400" w:start="1400"/>
        <w:rPr/>
      </w:pPr>
      <w:r>
        <w:t>Table 4.4: Counters of the detection funnel in a test run</w:t>
        <w:tab/>
        <w:t>25</w:t>
      </w:r>
    </w:p>
    <w:p>
      <w:pPr>
        <w:pStyle w:val="Normal"/>
        <w:tabs>
          <w:tab w:val="clear" w:pos="720"/>
          <w:tab w:val="right" w:pos="9360" w:leader="dot"/>
        </w:tabs>
        <w:spacing w:lineRule="auto" w:line="264" w:before="0" w:after="80"/>
        <w:ind w:hanging="1400" w:start="1400"/>
        <w:rPr/>
      </w:pPr>
      <w:r>
        <w:t>Table 4.5: Detection metrics on the Mininet test split before and after fine-tuning</w:t>
        <w:tab/>
        <w:t>26</w:t>
      </w:r>
    </w:p>
    <w:p>
      <w:pPr>
        <w:pStyle w:val="Normal"/>
        <w:tabs>
          <w:tab w:val="clear" w:pos="720"/>
          <w:tab w:val="right" w:pos="9360" w:leader="dot"/>
        </w:tabs>
        <w:spacing w:lineRule="auto" w:line="264" w:before="0" w:after="80"/>
        <w:ind w:hanging="1400" w:start="1400"/>
        <w:rPr/>
      </w:pPr>
      <w:r>
        <w:t>Table 4.6: RCA accuracy and response time of the agent per fault type</w:t>
        <w:tab/>
        <w:t>28</w:t>
      </w:r>
    </w:p>
    <w:p>
      <w:pPr>
        <w:pStyle w:val="Normal"/>
        <w:tabs>
          <w:tab w:val="clear" w:pos="720"/>
          <w:tab w:val="right" w:pos="9360" w:leader="dot"/>
        </w:tabs>
        <w:spacing w:lineRule="auto" w:line="264" w:before="0" w:after="80"/>
        <w:ind w:hanging="1400" w:start="1400"/>
        <w:rPr/>
      </w:pPr>
      <w:r>
        <w:t>Table 4.7: Multi-fault test scenarios</w:t>
        <w:tab/>
        <w:t>29</w:t>
      </w:r>
    </w:p>
    <w:p>
      <w:pPr>
        <w:pStyle w:val="Normal"/>
        <w:tabs>
          <w:tab w:val="clear" w:pos="720"/>
          <w:tab w:val="right" w:pos="9360" w:leader="dot"/>
        </w:tabs>
        <w:spacing w:lineRule="auto" w:line="264" w:before="0" w:after="80"/>
        <w:ind w:hanging="1400" w:start="1400"/>
        <w:rPr/>
      </w:pPr>
      <w:r>
        <w:t>Table 4.8: Summary of test scenarios and results</w:t>
        <w:tab/>
        <w:t>31</w:t>
      </w:r>
    </w:p>
    <w:p>
      <w:pPr>
        <w:pStyle w:val="Normal"/>
        <w:spacing w:after="80" w:before="0"/>
        <w:ind w:hanging="1400"/>
      </w:pPr>
      <w:r>
        <w:t>Table 4.9: Comparison of existing approaches and this project</w:t>
        <w:tab/>
        <w:t>32</w:t>
      </w:r>
    </w:p>
    <w:p>
      <w:pPr>
        <w:pStyle w:val="Heading1"/>
        <w:spacing w:before="0" w:after="240"/>
        <w:jc w:val="center"/>
        <w:rPr/>
      </w:pPr>
      <w:r>
        <w:rPr>
          <w:rFonts w:eastAsia="Times New Roman" w:cs="Times New Roman" w:ascii="Times New Roman" w:hAnsi="Times New Roman"/>
          <w:b/>
          <w:bCs/>
          <w:sz w:val="32"/>
          <w:szCs w:val="32"/>
        </w:rPr>
        <w:t>List of Listings</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3.1: Telemetry generator (dataset generation)</w:t>
        <w:tab/>
        <w:t>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3.2: Anomaly injector</w:t>
        <w:tab/>
        <w:t>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3.3: Random Forest training and threshold tuning</w:t>
        <w:tab/>
        <w:t>12</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3.4: LSTM autoencoder with temporal attention</w:t>
        <w:tab/>
        <w:t>13</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3.5: ReAct agent graph and tool registry</w:t>
        <w:tab/>
        <w:t>15</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A.1: Dataset generation (network/telemetry_generator.py)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A.2: Anomaly injection (network/anomaly_injector.py)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A.3: Random Forest detector (detection/baseline_models.py)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A.4: LSTM autoencoder (detection/lstm_autoencoder.py)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A.5: ReAct agent (agent/react_agent.py)</w:t>
        <w:tab/>
        <w:t>30</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A.6: Mininet topology and fault injection (emulation/mininet_topo.py)</w:t>
        <w:tab/>
        <w:t>30</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A.7: Live pipeline (demo/live_pipeline.py)</w:t>
        <w:tab/>
        <w:t>30</w:t>
      </w:r>
      <w:r>
        <w:br w:type="page"/>
      </w:r>
    </w:p>
    <w:p>
      <w:pPr>
        <w:pStyle w:val="Heading1"/>
        <w:spacing w:before="0" w:after="240"/>
        <w:jc w:val="center"/>
        <w:rPr/>
      </w:pPr>
      <w:r>
        <w:rPr>
          <w:rFonts w:eastAsia="Times New Roman" w:cs="Times New Roman" w:ascii="Times New Roman" w:hAnsi="Times New Roman"/>
          <w:b/>
          <w:bCs/>
          <w:sz w:val="32"/>
          <w:szCs w:val="32"/>
        </w:rPr>
        <w:t>List of Acronyms</w:t>
      </w:r>
    </w:p>
    <w:tbl>
      <w:tblPr>
        <w:tblW w:w="9360" w:type="dxa"/>
        <w:jc w:val="start"/>
        <w:tblInd w:w="0" w:type="dxa"/>
        <w:tblLayout w:type="fixed"/>
        <w:tblCellMar>
          <w:top w:w="50" w:type="dxa"/>
          <w:start w:w="90" w:type="dxa"/>
          <w:bottom w:w="50" w:type="dxa"/>
          <w:end w:w="90" w:type="dxa"/>
        </w:tblCellMar>
      </w:tblPr>
      <w:tblGrid>
        <w:gridCol w:w="2399"/>
        <w:gridCol w:w="6961"/>
      </w:tblGrid>
      <w:tr>
        <w:trPr>
          <w:tblHeader w:val="true"/>
        </w:trPr>
        <w:tc>
          <w:tcPr>
            <w:tcW w:w="23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start"/>
              <w:rPr/>
            </w:pPr>
            <w:r>
              <w:rPr>
                <w:rFonts w:eastAsia="Times New Roman" w:cs="Times New Roman"/>
                <w:b/>
                <w:bCs/>
                <w:sz w:val="20"/>
                <w:szCs w:val="20"/>
              </w:rPr>
              <w:t>Acronym</w:t>
            </w:r>
          </w:p>
        </w:tc>
        <w:tc>
          <w:tcPr>
            <w:tcW w:w="69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start"/>
              <w:rPr/>
            </w:pPr>
            <w:r>
              <w:rPr>
                <w:rFonts w:eastAsia="Times New Roman" w:cs="Times New Roman"/>
                <w:b/>
                <w:bCs/>
                <w:sz w:val="20"/>
                <w:szCs w:val="20"/>
              </w:rPr>
              <w:t>Full Form</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Autoencoder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Artificial Intelligence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AIOps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Artificial Intelligence for IT Operations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API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Application Programming Interface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AUC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Area Under the Curve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CPU</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Central Processing Unit</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CSV</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Comma-Separated Values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ECMP</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Equal-Cost Multi-Path</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GNN</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Graph Neural Network</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JSON</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JavaScript Object Notation</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KPI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Key Performance Indicator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LLM</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Large Language Model</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LSTM</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Long Short-Term Memory</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MIB</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Management Information Base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ML</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Machine Learning</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MSE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Mean Squared Error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MTU</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Maximum Transmission Unit</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NOC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Network Operations Centre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OVS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Open vSwitch</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PR-AUC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Area under the Precision-Recall curve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QoS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Quality of Service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RCA</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Root Cause Analysis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ReAct</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Reasoning and Acting</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RF</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Random Forest</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ROC-AUC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Area under the Receiver Operating Characteristic curve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SDG</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Sustainable Development Goal</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SMOTE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Synthetic Minority Over-sampling Technique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SNMP</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Simple Network Management Protocol</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tc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Traffic Control (Linux)</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UI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User Interface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WAN</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Wide Area Network</w:t>
            </w:r>
          </w:p>
        </w:tc>
      </w:tr>
    </w:tbl>
    <w:p>
      <w:pPr>
        <w:sectPr>
          <w:footerReference w:type="even" r:id="rId5"/>
          <w:footerReference w:type="default" r:id="rId6"/>
          <w:footerReference w:type="first" r:id="rId7"/>
          <w:type w:val="nextPage"/>
          <w:pgSz w:w="12240" w:h="15840"/>
          <w:pgMar w:left="1440" w:right="1440" w:gutter="0" w:header="0" w:top="1440" w:footer="600" w:bottom="1440"/>
          <w:pgNumType w:start="1" w:fmt="lowerRoman"/>
          <w:formProt w:val="false"/>
          <w:textDirection w:val="lrTb"/>
          <w:docGrid w:type="default" w:linePitch="360" w:charSpace="0"/>
        </w:sectPr>
      </w:pPr>
      <w:r>
        <w:br w:type="page"/>
      </w:r>
    </w:p>
    <w:p>
      <w:pPr>
        <w:pStyle w:val="Normal"/>
        <w:spacing w:before="1200" w:after="120"/>
        <w:jc w:val="center"/>
        <w:rPr/>
      </w:pPr>
      <w:r>
        <w:rPr>
          <w:rFonts w:eastAsia="Times New Roman" w:cs="Times New Roman"/>
          <w:b/>
          <w:bCs/>
          <w:i/>
          <w:iCs/>
          <w:sz w:val="32"/>
          <w:szCs w:val="32"/>
        </w:rPr>
        <w:t>CHAPTER 1</w:t>
      </w:r>
    </w:p>
    <w:p>
      <w:pPr>
        <w:pStyle w:val="Heading1"/>
        <w:spacing w:before="0" w:after="480"/>
        <w:jc w:val="center"/>
        <w:rPr/>
      </w:pPr>
      <w:r>
        <w:rPr>
          <w:rFonts w:eastAsia="Times New Roman" w:cs="Times New Roman" w:ascii="Times New Roman" w:hAnsi="Times New Roman"/>
          <w:b/>
          <w:bCs/>
          <w:i/>
          <w:iCs/>
          <w:sz w:val="36"/>
          <w:szCs w:val="36"/>
        </w:rPr>
        <w:t>Introduction</w:t>
      </w:r>
    </w:p>
    <w:p>
      <w:pPr>
        <w:pStyle w:val="Heading2"/>
        <w:keepNext w:val="true"/>
        <w:spacing w:before="280" w:after="140"/>
        <w:rPr/>
      </w:pPr>
      <w:r>
        <w:rPr>
          <w:rFonts w:eastAsia="Times New Roman" w:cs="Times New Roman" w:ascii="Times New Roman" w:hAnsi="Times New Roman"/>
          <w:b/>
          <w:bCs/>
          <w:sz w:val="26"/>
          <w:szCs w:val="26"/>
        </w:rPr>
        <w:t>1.1 Background</w:t>
      </w:r>
    </w:p>
    <w:p>
      <w:pPr>
        <w:pStyle w:val="Normal"/>
        <w:spacing w:lineRule="auto" w:line="319" w:before="0" w:after="140"/>
        <w:jc w:val="both"/>
        <w:rPr/>
      </w:pPr>
      <w:r>
        <w:rPr>
          <w:rFonts w:eastAsia="Times New Roman" w:cs="Times New Roman"/>
          <w:sz w:val="24"/>
          <w:szCs w:val="24"/>
        </w:rPr>
        <w:t>Modern enterprise and service-provider networks are watched through telemetry. Routers and switches expose interface counters, operational status, latency and loss measurements, and they write syslog messages. A single wide-area network can produce millions of telemetry rows per day, and the few rows that belong to a real fault are buried among them. Operations teams normally set thresholds in a monitoring tool. When a threshold trips, an engineer pulls metrics, reads syslogs, checks the topology and decides on a fix. This manual triage takes about 15 to 45 minutes per incident, and the service stays degraded for that time.</w:t>
      </w:r>
    </w:p>
    <w:p>
      <w:pPr>
        <w:pStyle w:val="Normal"/>
        <w:spacing w:lineRule="auto" w:line="319" w:before="0" w:after="140"/>
        <w:jc w:val="both"/>
        <w:rPr/>
      </w:pPr>
      <w:r>
        <w:rPr>
          <w:rFonts w:eastAsia="Times New Roman" w:cs="Times New Roman"/>
          <w:sz w:val="24"/>
          <w:szCs w:val="24"/>
        </w:rPr>
        <w:t>Machine learning can find anomalies in telemetry faster than a person, and large language models (LLMs) can reason over evidence and write clear explanations. In most existing work, however, detection and diagnosis are treated as separate problems. Detection models flag a row but do not say why it is abnormal, and root cause analysis (RCA) methods usually follow fixed rules or a fixed model architecture [1], [9]. False alerts add to the load, because an operator who sees too many of them stops trusting the monitor, a problem known as alert fatigue.</w:t>
      </w:r>
    </w:p>
    <w:p>
      <w:pPr>
        <w:pStyle w:val="Normal"/>
        <w:spacing w:lineRule="auto" w:line="319" w:before="0" w:after="140"/>
        <w:jc w:val="both"/>
        <w:rPr/>
      </w:pPr>
      <w:r>
        <w:rPr>
          <w:rFonts w:eastAsia="Times New Roman" w:cs="Times New Roman"/>
          <w:sz w:val="24"/>
          <w:szCs w:val="24"/>
        </w:rPr>
        <w:t>This project builds a single framework that goes from raw telemetry to a written incident report. The framework is a three-tier cascade. A Random Forest classifier recognises known fault signatures. An LSTM autoencoder with temporal attention then confirms or rejects each flag using the recent history of the device. Only anomalies on which both tiers agree are passed to a LangGraph ReAct agent, which uses a Google Gemini model to choose diagnostic tools, collect evidence and write a root cause analysis with remediation recommendations. A live dashboard shows each stage as it runs.</w:t>
      </w:r>
    </w:p>
    <w:p>
      <w:pPr>
        <w:pStyle w:val="Heading2"/>
        <w:keepNext w:val="true"/>
        <w:spacing w:before="280" w:after="140"/>
        <w:rPr/>
      </w:pPr>
      <w:r>
        <w:rPr>
          <w:rFonts w:eastAsia="Times New Roman" w:cs="Times New Roman" w:ascii="Times New Roman" w:hAnsi="Times New Roman"/>
          <w:b/>
          <w:bCs/>
          <w:sz w:val="26"/>
          <w:szCs w:val="26"/>
        </w:rPr>
        <w:t>1.2 Problem Statement</w:t>
      </w:r>
    </w:p>
    <w:p>
      <w:pPr>
        <w:pStyle w:val="Normal"/>
        <w:spacing w:lineRule="auto" w:line="319" w:before="0" w:after="140"/>
        <w:jc w:val="both"/>
        <w:rPr/>
      </w:pPr>
      <w:r>
        <w:rPr>
          <w:rFonts w:eastAsia="Times New Roman" w:cs="Times New Roman"/>
          <w:sz w:val="24"/>
          <w:szCs w:val="24"/>
        </w:rPr>
        <w:t>Network operations centres face four connected problems.</w:t>
      </w:r>
    </w:p>
    <w:p>
      <w:pPr>
        <w:pStyle w:val="ListParagraph"/>
        <w:numPr>
          <w:ilvl w:val="0"/>
          <w:numId w:val="1"/>
        </w:numPr>
        <w:spacing w:lineRule="auto" w:line="319" w:before="0" w:after="80"/>
        <w:jc w:val="both"/>
        <w:rPr/>
      </w:pPr>
      <w:r>
        <w:rPr>
          <w:rFonts w:eastAsia="Times New Roman" w:cs="Times New Roman"/>
          <w:b/>
          <w:bCs/>
          <w:sz w:val="24"/>
          <w:szCs w:val="24"/>
        </w:rPr>
        <w:t>Volume.</w:t>
      </w:r>
      <w:r>
        <w:rPr>
          <w:rFonts w:eastAsia="Times New Roman" w:cs="Times New Roman"/>
          <w:sz w:val="24"/>
          <w:szCs w:val="24"/>
        </w:rPr>
        <w:t xml:space="preserve"> Telemetry arrives faster than engineers can read it, and faults are rare compared with normal rows.</w:t>
      </w:r>
    </w:p>
    <w:p>
      <w:pPr>
        <w:pStyle w:val="ListParagraph"/>
        <w:numPr>
          <w:ilvl w:val="0"/>
          <w:numId w:val="1"/>
        </w:numPr>
        <w:spacing w:lineRule="auto" w:line="319" w:before="0" w:after="80"/>
        <w:jc w:val="both"/>
        <w:rPr/>
      </w:pPr>
      <w:r>
        <w:rPr>
          <w:rFonts w:eastAsia="Times New Roman" w:cs="Times New Roman"/>
          <w:b/>
          <w:bCs/>
          <w:sz w:val="24"/>
          <w:szCs w:val="24"/>
        </w:rPr>
        <w:t>Alert fatigue.</w:t>
      </w:r>
      <w:r>
        <w:rPr>
          <w:rFonts w:eastAsia="Times New Roman" w:cs="Times New Roman"/>
          <w:sz w:val="24"/>
          <w:szCs w:val="24"/>
        </w:rPr>
        <w:t xml:space="preserve"> Threshold monitors raise many false alerts, so real faults are easily missed or ignored.</w:t>
      </w:r>
    </w:p>
    <w:p>
      <w:pPr>
        <w:pStyle w:val="ListParagraph"/>
        <w:numPr>
          <w:ilvl w:val="0"/>
          <w:numId w:val="1"/>
        </w:numPr>
        <w:spacing w:lineRule="auto" w:line="319" w:before="0" w:after="80"/>
        <w:jc w:val="both"/>
        <w:rPr/>
      </w:pPr>
      <w:r>
        <w:rPr>
          <w:rFonts w:eastAsia="Times New Roman" w:cs="Times New Roman"/>
          <w:b/>
          <w:bCs/>
          <w:sz w:val="24"/>
          <w:szCs w:val="24"/>
        </w:rPr>
        <w:t>Detection without diagnosis.</w:t>
      </w:r>
      <w:r>
        <w:rPr>
          <w:rFonts w:eastAsia="Times New Roman" w:cs="Times New Roman"/>
          <w:sz w:val="24"/>
          <w:szCs w:val="24"/>
        </w:rPr>
        <w:t xml:space="preserve"> A monitor says that something is wrong but not what is wrong, where it started, or what to do. Engineers must still correlate metrics, logs and topology by hand.</w:t>
      </w:r>
    </w:p>
    <w:p>
      <w:pPr>
        <w:pStyle w:val="ListParagraph"/>
        <w:numPr>
          <w:ilvl w:val="0"/>
          <w:numId w:val="1"/>
        </w:numPr>
        <w:spacing w:lineRule="auto" w:line="319" w:before="0" w:after="80"/>
        <w:jc w:val="both"/>
        <w:rPr/>
      </w:pPr>
      <w:r>
        <w:rPr>
          <w:rFonts w:eastAsia="Times New Roman" w:cs="Times New Roman"/>
          <w:b/>
          <w:bCs/>
          <w:sz w:val="24"/>
          <w:szCs w:val="24"/>
        </w:rPr>
        <w:t>Static analysis.</w:t>
      </w:r>
      <w:r>
        <w:rPr>
          <w:rFonts w:eastAsia="Times New Roman" w:cs="Times New Roman"/>
          <w:sz w:val="24"/>
          <w:szCs w:val="24"/>
        </w:rPr>
        <w:t xml:space="preserve"> Existing automated RCA methods rely on predefined rules, workflows or fixed models, and they cannot decide at run time which diagnostic check is needed for a given fault [1], [9].</w:t>
      </w:r>
    </w:p>
    <w:p>
      <w:pPr>
        <w:pStyle w:val="Normal"/>
        <w:spacing w:lineRule="auto" w:line="319" w:before="100" w:after="140"/>
        <w:jc w:val="both"/>
        <w:rPr/>
      </w:pPr>
      <w:r>
        <w:rPr>
          <w:rFonts w:eastAsia="Times New Roman" w:cs="Times New Roman"/>
          <w:sz w:val="24"/>
          <w:szCs w:val="24"/>
        </w:rPr>
        <w:t xml:space="preserve">The problem addressed in this report is therefore: </w:t>
      </w:r>
      <w:r>
        <w:rPr>
          <w:rFonts w:eastAsia="Times New Roman" w:cs="Times New Roman"/>
          <w:i/>
          <w:iCs/>
          <w:sz w:val="24"/>
          <w:szCs w:val="24"/>
        </w:rPr>
        <w:t>how can a network be monitored so that real faults, including previously unseen ones, are detected with few false alarms, and each confirmed fault is automatically investigated and explained with evidence and a recommended remediation, in well under a minute?</w:t>
      </w:r>
    </w:p>
    <w:p>
      <w:pPr>
        <w:pStyle w:val="Heading2"/>
        <w:keepNext w:val="true"/>
        <w:spacing w:before="280" w:after="140"/>
        <w:rPr/>
      </w:pPr>
      <w:r>
        <w:rPr>
          <w:rFonts w:eastAsia="Times New Roman" w:cs="Times New Roman" w:ascii="Times New Roman" w:hAnsi="Times New Roman"/>
          <w:b/>
          <w:bCs/>
          <w:sz w:val="26"/>
          <w:szCs w:val="26"/>
        </w:rPr>
        <w:t>1.3 Objectives</w:t>
      </w:r>
    </w:p>
    <w:p>
      <w:pPr>
        <w:pStyle w:val="Normal"/>
        <w:spacing w:lineRule="auto" w:line="319" w:before="0" w:after="140"/>
        <w:jc w:val="both"/>
        <w:rPr/>
      </w:pPr>
      <w:r>
        <w:rPr>
          <w:rFonts w:eastAsia="Times New Roman" w:cs="Times New Roman"/>
          <w:sz w:val="24"/>
          <w:szCs w:val="24"/>
        </w:rPr>
        <w:t>The objectives of the project are:</w:t>
      </w:r>
    </w:p>
    <w:p>
      <w:pPr>
        <w:pStyle w:val="ListParagraph"/>
        <w:numPr>
          <w:ilvl w:val="0"/>
          <w:numId w:val="1"/>
        </w:numPr>
        <w:spacing w:lineRule="auto" w:line="319" w:before="0" w:after="80"/>
        <w:jc w:val="both"/>
        <w:rPr/>
      </w:pPr>
      <w:r>
        <w:rPr>
          <w:rFonts w:eastAsia="Times New Roman" w:cs="Times New Roman"/>
          <w:sz w:val="24"/>
          <w:szCs w:val="24"/>
        </w:rPr>
        <w:t>to detect known and unseen (zero-day) network faults from telemetry;</w:t>
      </w:r>
    </w:p>
    <w:p>
      <w:pPr>
        <w:pStyle w:val="ListParagraph"/>
        <w:numPr>
          <w:ilvl w:val="0"/>
          <w:numId w:val="1"/>
        </w:numPr>
        <w:spacing w:lineRule="auto" w:line="319" w:before="0" w:after="80"/>
        <w:jc w:val="both"/>
        <w:rPr/>
      </w:pPr>
      <w:r>
        <w:rPr>
          <w:rFonts w:eastAsia="Times New Roman" w:cs="Times New Roman"/>
          <w:sz w:val="24"/>
          <w:szCs w:val="24"/>
        </w:rPr>
        <w:t>to filter false positives before any investigation is started;</w:t>
      </w:r>
    </w:p>
    <w:p>
      <w:pPr>
        <w:pStyle w:val="ListParagraph"/>
        <w:numPr>
          <w:ilvl w:val="0"/>
          <w:numId w:val="1"/>
        </w:numPr>
        <w:spacing w:lineRule="auto" w:line="319" w:before="0" w:after="80"/>
        <w:jc w:val="both"/>
        <w:rPr/>
      </w:pPr>
      <w:r>
        <w:rPr>
          <w:rFonts w:eastAsia="Times New Roman" w:cs="Times New Roman"/>
          <w:sz w:val="24"/>
          <w:szCs w:val="24"/>
        </w:rPr>
        <w:t>to use an LLM agent that chooses diagnostic tools dynamically to find the root cause of a confirmed anomaly;</w:t>
      </w:r>
    </w:p>
    <w:p>
      <w:pPr>
        <w:pStyle w:val="ListParagraph"/>
        <w:numPr>
          <w:ilvl w:val="0"/>
          <w:numId w:val="1"/>
        </w:numPr>
        <w:spacing w:lineRule="auto" w:line="319" w:before="0" w:after="80"/>
        <w:jc w:val="both"/>
        <w:rPr/>
      </w:pPr>
      <w:r>
        <w:rPr>
          <w:rFonts w:eastAsia="Times New Roman" w:cs="Times New Roman"/>
          <w:sz w:val="24"/>
          <w:szCs w:val="24"/>
        </w:rPr>
        <w:t>to generate an evidence-grounded incident report with remediation recommendations in under 30 seconds;</w:t>
      </w:r>
    </w:p>
    <w:p>
      <w:pPr>
        <w:pStyle w:val="ListParagraph"/>
        <w:numPr>
          <w:ilvl w:val="0"/>
          <w:numId w:val="1"/>
        </w:numPr>
        <w:spacing w:lineRule="auto" w:line="319" w:before="0" w:after="80"/>
        <w:jc w:val="both"/>
        <w:rPr/>
      </w:pPr>
      <w:r>
        <w:rPr>
          <w:rFonts w:eastAsia="Times New Roman" w:cs="Times New Roman"/>
          <w:sz w:val="24"/>
          <w:szCs w:val="24"/>
        </w:rPr>
        <w:t>to validate the approach on emulated (Mininet) data and not only on simulation; and</w:t>
      </w:r>
    </w:p>
    <w:p>
      <w:pPr>
        <w:pStyle w:val="ListParagraph"/>
        <w:numPr>
          <w:ilvl w:val="0"/>
          <w:numId w:val="1"/>
        </w:numPr>
        <w:spacing w:lineRule="auto" w:line="319" w:before="0" w:after="80"/>
        <w:jc w:val="both"/>
        <w:rPr/>
      </w:pPr>
      <w:r>
        <w:rPr>
          <w:rFonts w:eastAsia="Times New Roman" w:cs="Times New Roman"/>
          <w:sz w:val="24"/>
          <w:szCs w:val="24"/>
        </w:rPr>
        <w:t>to present the whole pipeline on a live dashboard with controls for injecting faults.</w:t>
      </w:r>
    </w:p>
    <w:p>
      <w:pPr>
        <w:pStyle w:val="Heading2"/>
        <w:keepNext w:val="true"/>
        <w:spacing w:before="280" w:after="140"/>
        <w:rPr/>
      </w:pPr>
      <w:r>
        <w:rPr>
          <w:rFonts w:eastAsia="Times New Roman" w:cs="Times New Roman" w:ascii="Times New Roman" w:hAnsi="Times New Roman"/>
          <w:b/>
          <w:bCs/>
          <w:sz w:val="26"/>
          <w:szCs w:val="26"/>
        </w:rPr>
        <w:t>1.4 Scope</w:t>
      </w:r>
    </w:p>
    <w:p>
      <w:pPr>
        <w:pStyle w:val="Normal"/>
        <w:spacing w:lineRule="auto" w:line="319" w:before="0" w:after="140"/>
        <w:jc w:val="both"/>
        <w:rPr/>
      </w:pPr>
      <w:r>
        <w:t>The work covers a Python simulator, a Mininet/Open vSwitch spine-leaf emulation, feature engineering, a Random Forest detector, an LSTM autoencoder, a LangGraph RCA agent and a Streamlit dashboard. The demonstration supports five injected operational fault classes—link failure, congestion, interface flap, MTU mismatch and packet loss—while the simulator also contains routing-loop benchmark scenarios. The agent recommends remediation; it does not make configuration changes on network devices.</w:t>
      </w:r>
    </w:p>
    <w:p>
      <w:pPr>
        <w:pStyle w:val="Normal"/>
        <w:spacing w:lineRule="auto" w:line="319" w:before="0" w:after="140"/>
        <w:jc w:val="both"/>
        <w:rPr/>
      </w:pPr>
      <w:r>
        <w:t>The report evaluates the implemented single-fault workflow and clearly separates measured results from the planned compound-fault evaluation described in the limitations and future-work sections.</w:t>
      </w:r>
    </w:p>
    <w:p>
      <w:pPr>
        <w:pStyle w:val="Heading2"/>
        <w:keepNext w:val="true"/>
        <w:spacing w:before="280" w:after="140"/>
        <w:rPr/>
      </w:pPr>
      <w:r>
        <w:rPr>
          <w:rFonts w:eastAsia="Times New Roman" w:cs="Times New Roman" w:ascii="Times New Roman" w:hAnsi="Times New Roman"/>
          <w:b/>
          <w:bCs/>
          <w:sz w:val="26"/>
          <w:szCs w:val="26"/>
        </w:rPr>
        <w:t>1.5 Organisation of the Report</w:t>
      </w:r>
    </w:p>
    <w:p>
      <w:pPr>
        <w:pStyle w:val="Normal"/>
        <w:spacing w:lineRule="auto" w:line="319" w:before="0" w:after="140"/>
        <w:jc w:val="both"/>
        <w:rPr/>
      </w:pPr>
      <w:r>
        <w:rPr>
          <w:rFonts w:eastAsia="Times New Roman" w:cs="Times New Roman"/>
          <w:sz w:val="24"/>
          <w:szCs w:val="24"/>
        </w:rPr>
        <w:t>Chapter 2 reviews the literature on network anomaly detection, log analysis, root cause analysis and LLM agents, and lists the gaps that this project addresses. Chapter 3 describes the data sources, the three tiers, the domain adaptation procedure, the live pipeline and the dashboard. Chapter 4 presents the results and discusses them. Chapter 5 concludes the report, states the limitations and proposes future work. The appendices collect the code listings and the pipeline state structure, followed by the bibliography.</w:t>
      </w:r>
      <w:r>
        <w:br w:type="page"/>
      </w:r>
    </w:p>
    <w:p>
      <w:pPr>
        <w:pStyle w:val="Normal"/>
        <w:spacing w:before="1200" w:after="120"/>
        <w:jc w:val="center"/>
        <w:rPr/>
      </w:pPr>
      <w:r>
        <w:rPr>
          <w:rFonts w:eastAsia="Times New Roman" w:cs="Times New Roman"/>
          <w:b/>
          <w:bCs/>
          <w:i/>
          <w:iCs/>
          <w:sz w:val="32"/>
          <w:szCs w:val="32"/>
        </w:rPr>
        <w:t>CHAPTER 2</w:t>
      </w:r>
    </w:p>
    <w:p>
      <w:pPr>
        <w:pStyle w:val="Heading1"/>
        <w:spacing w:before="0" w:after="480"/>
        <w:jc w:val="center"/>
        <w:rPr/>
      </w:pPr>
      <w:r>
        <w:rPr>
          <w:rFonts w:eastAsia="Times New Roman" w:cs="Times New Roman" w:ascii="Times New Roman" w:hAnsi="Times New Roman"/>
          <w:b/>
          <w:bCs/>
          <w:i/>
          <w:iCs/>
          <w:sz w:val="36"/>
          <w:szCs w:val="36"/>
        </w:rPr>
        <w:t>Literature Survey</w:t>
      </w:r>
    </w:p>
    <w:p>
      <w:pPr>
        <w:pStyle w:val="Normal"/>
        <w:spacing w:lineRule="auto" w:line="319" w:before="0" w:after="140"/>
        <w:jc w:val="both"/>
        <w:rPr/>
      </w:pPr>
      <w:r>
        <w:rPr>
          <w:rFonts w:eastAsia="Times New Roman" w:cs="Times New Roman"/>
          <w:sz w:val="24"/>
          <w:szCs w:val="24"/>
        </w:rPr>
        <w:t>This chapter reviews fifteen recent studies grouped by theme: network anomaly detection, log-based anomaly detection, root cause analysis, and the use of LLM agents for operations tasks. It then summarises the studies in one table and lists the gaps that this project is designed to fill.</w:t>
      </w:r>
    </w:p>
    <w:p>
      <w:pPr>
        <w:pStyle w:val="Heading2"/>
        <w:keepNext w:val="true"/>
        <w:spacing w:before="280" w:after="140"/>
        <w:rPr/>
      </w:pPr>
      <w:r>
        <w:rPr>
          <w:rFonts w:eastAsia="Times New Roman" w:cs="Times New Roman" w:ascii="Times New Roman" w:hAnsi="Times New Roman"/>
          <w:b/>
          <w:bCs/>
          <w:sz w:val="26"/>
          <w:szCs w:val="26"/>
        </w:rPr>
        <w:t>2.1 Network Anomaly Detection</w:t>
      </w:r>
    </w:p>
    <w:p>
      <w:pPr>
        <w:pStyle w:val="Normal"/>
        <w:spacing w:lineRule="auto" w:line="319" w:before="0" w:after="140"/>
        <w:jc w:val="both"/>
        <w:rPr/>
      </w:pPr>
      <w:r>
        <w:rPr>
          <w:rFonts w:eastAsia="Times New Roman" w:cs="Times New Roman"/>
          <w:sz w:val="24"/>
          <w:szCs w:val="24"/>
        </w:rPr>
        <w:t>Anomaly detection in networks is usually treated as a classification or reconstruction problem on traffic and telemetry features [16]. Kamamura et al. analyse IP traffic at variable granularity so that large-scale anomalies can be found without fixing one time scale in advance [11]. Williams et al. model several seasonal patterns at once with a multi-seasonal SARIMA approach and flag points that break all of them [12]. Zhong et al. combine heterogeneous ensemble learning with a deep kNN to detect both known and unknown traffic anomalies at a fine granularity [13]. Kim et al. use an autoencoder that is trained on normal traffic and flags traffic it cannot reconstruct well, which allows unseen anomalies to be found in a blockchain network [14]. All four studies stop at detection. They tell the operator that a row or a flow is abnormal, but they do not explain the cause.</w:t>
      </w:r>
    </w:p>
    <w:p>
      <w:pPr>
        <w:pStyle w:val="Normal"/>
        <w:spacing w:lineRule="auto" w:line="319" w:before="0" w:after="140"/>
        <w:jc w:val="both"/>
        <w:rPr/>
      </w:pPr>
      <w:r>
        <w:rPr>
          <w:rFonts w:eastAsia="Times New Roman" w:cs="Times New Roman"/>
          <w:sz w:val="24"/>
          <w:szCs w:val="24"/>
        </w:rPr>
        <w:t>Two model families are used in this project. Random Forests [17] are fast, handle mixed numerical and binary features, and perform well when labelled examples of the fault are available. Recurrent networks with long short-term memory (LSTM) cells [18] model sequences, and an LSTM autoencoder trained only on normal data can detect faults it has never seen, because they reconstruct poorly [19]. Attention [20] lets such a model weight the most informative time steps in a window instead of treating them equally. The cascade in this project uses both families so that each covers the weakness of the other.</w:t>
      </w:r>
    </w:p>
    <w:p>
      <w:pPr>
        <w:pStyle w:val="Heading2"/>
        <w:keepNext w:val="true"/>
        <w:spacing w:before="280" w:after="140"/>
        <w:rPr/>
      </w:pPr>
      <w:r>
        <w:rPr>
          <w:rFonts w:eastAsia="Times New Roman" w:cs="Times New Roman" w:ascii="Times New Roman" w:hAnsi="Times New Roman"/>
          <w:b/>
          <w:bCs/>
          <w:sz w:val="26"/>
          <w:szCs w:val="26"/>
        </w:rPr>
        <w:t>2.2 Log-Based Anomaly Detection</w:t>
      </w:r>
    </w:p>
    <w:p>
      <w:pPr>
        <w:pStyle w:val="Normal"/>
        <w:spacing w:lineRule="auto" w:line="319" w:before="0" w:after="140"/>
        <w:jc w:val="both"/>
        <w:rPr/>
      </w:pPr>
      <w:r>
        <w:rPr>
          <w:rFonts w:eastAsia="Times New Roman" w:cs="Times New Roman"/>
          <w:sz w:val="24"/>
          <w:szCs w:val="24"/>
        </w:rPr>
        <w:t>A second line of work detects faults in system logs. LogFiT fine-tunes a BERT-style language model in a self-supervised way on normal logs and flags sequences that the model finds unlikely [2]. LogEncoder learns log representations by contrastive learning, which improves unsupervised detection [3]. Han et al. use BERT with matching networks to detect anomalies from only a few labelled examples [4], and ContexLog represents logs without parsing, so that unseen log formats do not break it [5]. Bagora et al. apply active learning to label fault data from cloud metrics with less manual effort [6]. These methods work well on logs, but each uses one data source. None of them combines logs with interface telemetry and topology to explain a network fault.</w:t>
      </w:r>
    </w:p>
    <w:p>
      <w:pPr>
        <w:pStyle w:val="Heading2"/>
        <w:keepNext w:val="true"/>
        <w:spacing w:before="280" w:after="140"/>
        <w:rPr/>
      </w:pPr>
      <w:r>
        <w:rPr>
          <w:rFonts w:eastAsia="Times New Roman" w:cs="Times New Roman" w:ascii="Times New Roman" w:hAnsi="Times New Roman"/>
          <w:b/>
          <w:bCs/>
          <w:sz w:val="26"/>
          <w:szCs w:val="26"/>
        </w:rPr>
        <w:t>2.3 Root Cause Analysis in Networks</w:t>
      </w:r>
    </w:p>
    <w:p>
      <w:pPr>
        <w:pStyle w:val="Normal"/>
        <w:spacing w:lineRule="auto" w:line="319" w:before="0" w:after="140"/>
        <w:jc w:val="both"/>
        <w:rPr/>
      </w:pPr>
      <w:r>
        <w:rPr>
          <w:rFonts w:eastAsia="Times New Roman" w:cs="Times New Roman"/>
          <w:sz w:val="24"/>
          <w:szCs w:val="24"/>
        </w:rPr>
        <w:t>Root cause analysis methods try to explain a fault once it is detected. Wankvar and Witayangkurn classify faults in an IP/MPLS network from SNMP and syslog data and then use case-based reasoning to retrieve a matching past case [1]. Guo et al. combine TextCNN and BERT on control-plane and data-plane information to detect failures in service function chains [7]. Mata et al. use a spatial graph convolutional network so that the topology of a mobile network guides the RCA [8]. Zhang combines CNN, LSTM and fuzzy reasoning to handle spatial-temporal fault data [9], Riaz et al. combine CNN and XGBoost to diagnose several faults from sparse drive-test reports in cellular networks [10], and Yen et al. learn dependencies between KPIs with a graph neural network [15].</w:t>
      </w:r>
    </w:p>
    <w:p>
      <w:pPr>
        <w:pStyle w:val="Normal"/>
        <w:spacing w:lineRule="auto" w:line="319" w:before="0" w:after="140"/>
        <w:jc w:val="both"/>
        <w:rPr/>
      </w:pPr>
      <w:r>
        <w:rPr>
          <w:rFonts w:eastAsia="Times New Roman" w:cs="Times New Roman"/>
          <w:sz w:val="24"/>
          <w:szCs w:val="24"/>
        </w:rPr>
        <w:t>These methods are effective in their own domains, but they are static. The set of checks that is run does not depend on the fault being investigated, and most of them are tied to one network type such as 4G/5G, service function chains or IP/MPLS. An engineer, in contrast, chooses the next check from what the previous one showed. That behaviour is what the agent tier of this project is designed to imitate.</w:t>
      </w:r>
    </w:p>
    <w:p>
      <w:pPr>
        <w:pStyle w:val="Heading2"/>
        <w:keepNext w:val="true"/>
        <w:spacing w:before="280" w:after="140"/>
        <w:rPr/>
      </w:pPr>
      <w:r>
        <w:rPr>
          <w:rFonts w:eastAsia="Times New Roman" w:cs="Times New Roman" w:ascii="Times New Roman" w:hAnsi="Times New Roman"/>
          <w:b/>
          <w:bCs/>
          <w:sz w:val="26"/>
          <w:szCs w:val="26"/>
        </w:rPr>
        <w:t>2.4 LLM Agents for Operations</w:t>
      </w:r>
    </w:p>
    <w:p>
      <w:pPr>
        <w:pStyle w:val="Normal"/>
        <w:spacing w:lineRule="auto" w:line="319" w:before="0" w:after="140"/>
        <w:jc w:val="both"/>
        <w:rPr/>
      </w:pPr>
      <w:r>
        <w:rPr>
          <w:rFonts w:eastAsia="Times New Roman" w:cs="Times New Roman"/>
          <w:sz w:val="24"/>
          <w:szCs w:val="24"/>
        </w:rPr>
        <w:t>ReAct is a prompting pattern in which a language model alternates between reasoning steps and actions such as tool calls, and uses the result of each action in its next reasoning step [21]. Because every conclusion must follow from a tool result, the answer is grounded in retrieved evidence instead of being produced in a single unverified pass. LangGraph represents such an agent as a stateful graph of model and tool nodes with a bounded number of steps [22], and the Gemini API can be reached through an OpenAI-compatible interface [23], which keeps the choice of model replaceable. Few published network RCA systems use an LLM agent in this way, which is the opportunity this project takes.</w:t>
      </w:r>
    </w:p>
    <w:p>
      <w:pPr>
        <w:pStyle w:val="Heading2"/>
        <w:keepNext w:val="true"/>
        <w:spacing w:before="280" w:after="140"/>
        <w:rPr/>
      </w:pPr>
      <w:r>
        <w:rPr>
          <w:rFonts w:eastAsia="Times New Roman" w:cs="Times New Roman" w:ascii="Times New Roman" w:hAnsi="Times New Roman"/>
          <w:b/>
          <w:bCs/>
          <w:sz w:val="26"/>
          <w:szCs w:val="26"/>
        </w:rPr>
        <w:t>2.5 Emulation and Domain Adaptation</w:t>
      </w:r>
    </w:p>
    <w:p>
      <w:pPr>
        <w:pStyle w:val="Normal"/>
        <w:spacing w:lineRule="auto" w:line="319" w:before="0" w:after="140"/>
        <w:jc w:val="both"/>
        <w:rPr/>
      </w:pPr>
      <w:r>
        <w:rPr>
          <w:rFonts w:eastAsia="Times New Roman" w:cs="Times New Roman"/>
          <w:sz w:val="24"/>
          <w:szCs w:val="24"/>
        </w:rPr>
        <w:t>Models trained on synthetic data are often evaluated on the same synthetic generator, which makes the results look better than they would be on real equipment. Mininet creates real Linux network namespaces, virtual Ethernet links and Open vSwitch instances on one machine [24], [25], so that faults injected with standard kernel tools produce real kernel behaviour. Transfer learning reuses what a model has learned in a source domain and adapts it to a target domain [26], and oversampling methods such as SMOTE [27] help when fault examples are rare. This project uses the simulator for large-scale training and Mininet for adaptation and validation.</w:t>
      </w:r>
    </w:p>
    <w:p>
      <w:pPr>
        <w:pStyle w:val="Heading2"/>
        <w:keepNext w:val="true"/>
        <w:spacing w:before="280" w:after="140"/>
        <w:rPr/>
      </w:pPr>
      <w:r>
        <w:rPr>
          <w:rFonts w:eastAsia="Times New Roman" w:cs="Times New Roman" w:ascii="Times New Roman" w:hAnsi="Times New Roman"/>
          <w:b/>
          <w:bCs/>
          <w:sz w:val="26"/>
          <w:szCs w:val="26"/>
        </w:rPr>
        <w:t>2.6 Summary of the Studies Reviewed</w:t>
      </w:r>
    </w:p>
    <w:p>
      <w:pPr>
        <w:pStyle w:val="Normal"/>
        <w:keepNext w:val="true"/>
        <w:spacing w:before="200" w:after="100"/>
        <w:jc w:val="center"/>
        <w:rPr/>
      </w:pPr>
      <w:r>
        <w:rPr>
          <w:rFonts w:eastAsia="Times New Roman" w:cs="Times New Roman"/>
          <w:b/>
          <w:bCs/>
          <w:sz w:val="22"/>
          <w:szCs w:val="22"/>
        </w:rPr>
        <w:t xml:space="preserve">Table 2.1: </w:t>
      </w:r>
      <w:r>
        <w:rPr>
          <w:rFonts w:eastAsia="Times New Roman" w:cs="Times New Roman"/>
          <w:i/>
          <w:iCs/>
          <w:sz w:val="22"/>
          <w:szCs w:val="22"/>
        </w:rPr>
        <w:t>Summary of the fifteen studies reviewed</w:t>
      </w:r>
    </w:p>
    <w:tbl>
      <w:tblPr>
        <w:tblW w:w="9360" w:type="dxa"/>
        <w:jc w:val="center"/>
        <w:tblInd w:w="0" w:type="dxa"/>
        <w:tblLayout w:type="fixed"/>
        <w:tblCellMar>
          <w:top w:w="50" w:type="dxa"/>
          <w:start w:w="90" w:type="dxa"/>
          <w:bottom w:w="50" w:type="dxa"/>
          <w:end w:w="90" w:type="dxa"/>
        </w:tblCellMar>
      </w:tblPr>
      <w:tblGrid>
        <w:gridCol w:w="520"/>
        <w:gridCol w:w="1700"/>
        <w:gridCol w:w="3540"/>
        <w:gridCol w:w="3600"/>
      </w:tblGrid>
      <w:tr>
        <w:trPr>
          <w:tblHeader w:val="true"/>
          <w:cantSplit/>
        </w:trPr>
        <w:tc>
          <w:tcPr>
            <w:tcW w:w="52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No.</w:t>
            </w:r>
          </w:p>
        </w:tc>
        <w:tc>
          <w:tcPr>
            <w:tcW w:w="17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Author(s), year</w:t>
            </w:r>
          </w:p>
        </w:tc>
        <w:tc>
          <w:tcPr>
            <w:tcW w:w="354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Method / approach</w:t>
            </w:r>
          </w:p>
        </w:tc>
        <w:tc>
          <w:tcPr>
            <w:tcW w:w="3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Finding and research gap</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Wankvar &amp; Witayangkurn, 2025</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ML classification and case-based reasoning on SNMP and syslog data</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Effective automated RCA, but uses predefined workflows with no dynamic agent-based investigation</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2</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Almodovar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LogFiT: BERT-based, self-supervised log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Strong log detection; does not combine logs with telemetry or topology for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3</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Qi et al.,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LogEncoder: contrastive learning with semantic log representations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Improves unsupervised detection; limited to log-level analysis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4</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Han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BERT with matching networks for few-shot log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Handles limited labels; no multi-source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5</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Xiao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ContexLog: transformer-based contextual log representation without parsing</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Robust to unseen log formats; lacks network-level diagnosis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6</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Bagora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Active learning for automated labelling of cloud fault data</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Reduces labelling effort; focused on cloud metrics, not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7</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Guo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FullSight: TextCNN and BERT on control and data plane information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High detection accuracy; limited to service function chains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8</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Mata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Spatial graph convolutional network for topology-aware RCA</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Effective topology-based RCA; specific to mobile networks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9</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Zhang,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CNN, LSTM and fuzzy reasoning (deep fuzzy neural network)</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Handles spatial-temporal fault data; fixed diagnostic architecture</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Riaz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HYDRA: CNN and XGBoost for multifault diagnosis from sparse MDT reports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Effective with sparse data; focused on cellular networks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11</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Kamamura et al.,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IP traffic analysis with variable granularity</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Detects large-scale traffic anomalies; no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12</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Williams et al.,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Multi-SARIMA time-series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Models several temporal patterns; no network-specific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13</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Zhong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RFG-HELAD: heterogeneous ensemble learning with deep kNN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Addresses unseen anomalies; no downstream root-cause reasoning</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14</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Kim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Autoencoder-based semi-supervised traffic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Detects unseen traffic anomalies; designed for blockchain networks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15</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Yen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GNN with graph structure learning on multivariate KPIs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Learns network dependencies; no logs and no dynamic LLM-based diagnosis</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2.7 Gaps Identified</w:t>
      </w:r>
    </w:p>
    <w:p>
      <w:pPr>
        <w:pStyle w:val="Normal"/>
        <w:spacing w:lineRule="auto" w:line="319" w:before="0" w:after="140"/>
        <w:jc w:val="both"/>
        <w:rPr/>
      </w:pPr>
      <w:r>
        <w:rPr>
          <w:rFonts w:eastAsia="Times New Roman" w:cs="Times New Roman"/>
          <w:sz w:val="24"/>
          <w:szCs w:val="24"/>
        </w:rPr>
        <w:t>The review shows the following gaps.</w:t>
      </w:r>
    </w:p>
    <w:p>
      <w:pPr>
        <w:pStyle w:val="ListParagraph"/>
        <w:numPr>
          <w:ilvl w:val="0"/>
          <w:numId w:val="1"/>
        </w:numPr>
        <w:spacing w:lineRule="auto" w:line="319" w:before="0" w:after="80"/>
        <w:jc w:val="both"/>
        <w:rPr/>
      </w:pPr>
      <w:r>
        <w:rPr>
          <w:rFonts w:eastAsia="Times New Roman" w:cs="Times New Roman"/>
          <w:b/>
          <w:bCs/>
          <w:sz w:val="24"/>
          <w:szCs w:val="24"/>
        </w:rPr>
        <w:t>Static RCA.</w:t>
      </w:r>
      <w:r>
        <w:rPr>
          <w:rFonts w:eastAsia="Times New Roman" w:cs="Times New Roman"/>
          <w:sz w:val="24"/>
          <w:szCs w:val="24"/>
        </w:rPr>
        <w:t xml:space="preserve"> Existing approaches rely on predefined rules, workflows or fixed models.</w:t>
      </w:r>
    </w:p>
    <w:p>
      <w:pPr>
        <w:pStyle w:val="ListParagraph"/>
        <w:numPr>
          <w:ilvl w:val="0"/>
          <w:numId w:val="1"/>
        </w:numPr>
        <w:spacing w:lineRule="auto" w:line="319" w:before="0" w:after="80"/>
        <w:jc w:val="both"/>
        <w:rPr/>
      </w:pPr>
      <w:r>
        <w:rPr>
          <w:rFonts w:eastAsia="Times New Roman" w:cs="Times New Roman"/>
          <w:b/>
          <w:bCs/>
          <w:sz w:val="24"/>
          <w:szCs w:val="24"/>
        </w:rPr>
        <w:t>Single-source analysis.</w:t>
      </w:r>
      <w:r>
        <w:rPr>
          <w:rFonts w:eastAsia="Times New Roman" w:cs="Times New Roman"/>
          <w:sz w:val="24"/>
          <w:szCs w:val="24"/>
        </w:rPr>
        <w:t xml:space="preserve"> Most methods use only KPIs, only logs or only alarms, and do not combine several network signals.</w:t>
      </w:r>
    </w:p>
    <w:p>
      <w:pPr>
        <w:pStyle w:val="ListParagraph"/>
        <w:numPr>
          <w:ilvl w:val="0"/>
          <w:numId w:val="1"/>
        </w:numPr>
        <w:spacing w:lineRule="auto" w:line="319" w:before="0" w:after="80"/>
        <w:jc w:val="both"/>
        <w:rPr/>
      </w:pPr>
      <w:r>
        <w:rPr>
          <w:rFonts w:eastAsia="Times New Roman" w:cs="Times New Roman"/>
          <w:b/>
          <w:bCs/>
          <w:sz w:val="24"/>
          <w:szCs w:val="24"/>
        </w:rPr>
        <w:t>Limited generalisation.</w:t>
      </w:r>
      <w:r>
        <w:rPr>
          <w:rFonts w:eastAsia="Times New Roman" w:cs="Times New Roman"/>
          <w:sz w:val="24"/>
          <w:szCs w:val="24"/>
        </w:rPr>
        <w:t xml:space="preserve"> Many solutions are designed for one domain such as 4G/5G, service function chains or IP/MPLS.</w:t>
      </w:r>
    </w:p>
    <w:p>
      <w:pPr>
        <w:pStyle w:val="ListParagraph"/>
        <w:numPr>
          <w:ilvl w:val="0"/>
          <w:numId w:val="1"/>
        </w:numPr>
        <w:spacing w:lineRule="auto" w:line="319" w:before="0" w:after="80"/>
        <w:jc w:val="both"/>
        <w:rPr/>
      </w:pPr>
      <w:r>
        <w:rPr>
          <w:rFonts w:eastAsia="Times New Roman" w:cs="Times New Roman"/>
          <w:b/>
          <w:bCs/>
          <w:sz w:val="24"/>
          <w:szCs w:val="24"/>
        </w:rPr>
        <w:t>Detection is not diagnosis.</w:t>
      </w:r>
      <w:r>
        <w:rPr>
          <w:rFonts w:eastAsia="Times New Roman" w:cs="Times New Roman"/>
          <w:sz w:val="24"/>
          <w:szCs w:val="24"/>
        </w:rPr>
        <w:t xml:space="preserve"> Fault detection and root-cause investigation are usually separate stages.</w:t>
      </w:r>
    </w:p>
    <w:p>
      <w:pPr>
        <w:pStyle w:val="ListParagraph"/>
        <w:numPr>
          <w:ilvl w:val="0"/>
          <w:numId w:val="1"/>
        </w:numPr>
        <w:spacing w:lineRule="auto" w:line="319" w:before="0" w:after="80"/>
        <w:jc w:val="both"/>
        <w:rPr/>
      </w:pPr>
      <w:r>
        <w:rPr>
          <w:rFonts w:eastAsia="Times New Roman" w:cs="Times New Roman"/>
          <w:b/>
          <w:bCs/>
          <w:sz w:val="24"/>
          <w:szCs w:val="24"/>
        </w:rPr>
        <w:t>No dynamic investigation.</w:t>
      </w:r>
      <w:r>
        <w:rPr>
          <w:rFonts w:eastAsia="Times New Roman" w:cs="Times New Roman"/>
          <w:sz w:val="24"/>
          <w:szCs w:val="24"/>
        </w:rPr>
        <w:t xml:space="preserve"> The models cannot choose diagnostic tools according to the fault.</w:t>
      </w:r>
    </w:p>
    <w:p>
      <w:pPr>
        <w:pStyle w:val="ListParagraph"/>
        <w:numPr>
          <w:ilvl w:val="0"/>
          <w:numId w:val="1"/>
        </w:numPr>
        <w:spacing w:lineRule="auto" w:line="319" w:before="0" w:after="80"/>
        <w:jc w:val="both"/>
        <w:rPr/>
      </w:pPr>
      <w:r>
        <w:rPr>
          <w:rFonts w:eastAsia="Times New Roman" w:cs="Times New Roman"/>
          <w:b/>
          <w:bCs/>
          <w:sz w:val="24"/>
          <w:szCs w:val="24"/>
        </w:rPr>
        <w:t>Limited LLM integration.</w:t>
      </w:r>
      <w:r>
        <w:rPr>
          <w:rFonts w:eastAsia="Times New Roman" w:cs="Times New Roman"/>
          <w:sz w:val="24"/>
          <w:szCs w:val="24"/>
        </w:rPr>
        <w:t xml:space="preserve"> Few approaches use an LLM agent for evidence-based, tool-driven RCA.</w:t>
      </w:r>
    </w:p>
    <w:p>
      <w:pPr>
        <w:pStyle w:val="ListParagraph"/>
        <w:numPr>
          <w:ilvl w:val="0"/>
          <w:numId w:val="1"/>
        </w:numPr>
        <w:spacing w:lineRule="auto" w:line="319" w:before="0" w:after="80"/>
        <w:jc w:val="both"/>
        <w:rPr/>
      </w:pPr>
      <w:r>
        <w:rPr>
          <w:rFonts w:eastAsia="Times New Roman" w:cs="Times New Roman"/>
          <w:b/>
          <w:bCs/>
          <w:sz w:val="24"/>
          <w:szCs w:val="24"/>
        </w:rPr>
        <w:t>Evaluation gap.</w:t>
      </w:r>
      <w:r>
        <w:rPr>
          <w:rFonts w:eastAsia="Times New Roman" w:cs="Times New Roman"/>
          <w:sz w:val="24"/>
          <w:szCs w:val="24"/>
        </w:rPr>
        <w:t xml:space="preserve"> Validation on realistic or emulated network environments is limited.</w:t>
      </w:r>
    </w:p>
    <w:p>
      <w:pPr>
        <w:pStyle w:val="Normal"/>
        <w:spacing w:lineRule="auto" w:line="319" w:before="100" w:after="140"/>
        <w:jc w:val="both"/>
        <w:rPr/>
      </w:pPr>
      <w:r>
        <w:rPr>
          <w:rFonts w:eastAsia="Times New Roman" w:cs="Times New Roman"/>
          <w:sz w:val="24"/>
          <w:szCs w:val="24"/>
        </w:rPr>
        <w:t>This project addresses these gaps with a detection cascade that gates an LLM agent, an agent that selects its own diagnostic tools and writes an evidence-based report, and a validation step on Mininet-emulated faults.</w:t>
      </w:r>
      <w:r>
        <w:br w:type="page"/>
      </w:r>
    </w:p>
    <w:p>
      <w:pPr>
        <w:pStyle w:val="Normal"/>
        <w:spacing w:before="1200" w:after="120"/>
        <w:jc w:val="center"/>
        <w:rPr/>
      </w:pPr>
      <w:r>
        <w:rPr>
          <w:rFonts w:eastAsia="Times New Roman" w:cs="Times New Roman"/>
          <w:b/>
          <w:bCs/>
          <w:i/>
          <w:iCs/>
          <w:sz w:val="32"/>
          <w:szCs w:val="32"/>
        </w:rPr>
        <w:t>CHAPTER 3</w:t>
      </w:r>
    </w:p>
    <w:p>
      <w:pPr>
        <w:pStyle w:val="Heading1"/>
        <w:spacing w:before="0" w:after="480"/>
        <w:jc w:val="center"/>
        <w:rPr/>
      </w:pPr>
      <w:r>
        <w:rPr>
          <w:rFonts w:eastAsia="Times New Roman" w:cs="Times New Roman" w:ascii="Times New Roman" w:hAnsi="Times New Roman"/>
          <w:b/>
          <w:bCs/>
          <w:i/>
          <w:iCs/>
          <w:sz w:val="36"/>
          <w:szCs w:val="36"/>
        </w:rPr>
        <w:t>Methodology</w:t>
      </w:r>
    </w:p>
    <w:p>
      <w:pPr>
        <w:pStyle w:val="Heading2"/>
        <w:keepNext w:val="true"/>
        <w:spacing w:before="280" w:after="140"/>
        <w:rPr/>
      </w:pPr>
      <w:r>
        <w:rPr>
          <w:rFonts w:eastAsia="Times New Roman" w:cs="Times New Roman" w:ascii="Times New Roman" w:hAnsi="Times New Roman"/>
          <w:b/>
          <w:bCs/>
          <w:sz w:val="26"/>
          <w:szCs w:val="26"/>
        </w:rPr>
        <w:t>3.1 System Overview</w:t>
      </w:r>
    </w:p>
    <w:p>
      <w:pPr>
        <w:pStyle w:val="Normal"/>
        <w:spacing w:lineRule="auto" w:line="319" w:before="0" w:after="140"/>
        <w:jc w:val="both"/>
        <w:rPr/>
      </w:pPr>
      <w:r>
        <w:t>The framework contains three implemented stages: a Random Forest classifier, an LSTM autoencoder and a LangGraph RCA agent. The reusable TieredTriagePipeline component sends an anomalous Random Forest prediction with probability greater than 0.85 directly to the agent; otherwise it evaluates the LSTM and escalates only an LSTM anomaly. The demonstration backend in demo/live_pipeline.py is deliberately more conservative: it displays both detector outputs for a requested replay scenario and invokes the agent only when the LSTM score crosses its stored threshold. These are two code paths in the repository and are described separately to avoid overstating a single routing rule.</w:t>
      </w:r>
    </w:p>
    <w:p>
      <w:pPr>
        <w:pStyle w:val="Normal"/>
        <w:keepNext w:val="true"/>
        <w:spacing w:before="120" w:after="60"/>
        <w:jc w:val="center"/>
        <w:rPr/>
      </w:pPr>
      <w:r>
        <w:rPr/>
        <w:drawing>
          <wp:inline distT="0" distB="0" distL="0" distR="0">
            <wp:extent cx="5715000" cy="2486025"/>
            <wp:effectExtent l="0" t="0" r="0" b="0"/>
            <wp:docPr id="4" name="arch" descr="System architecture: detection (Tiers 1 and 2) gating investigation (Tier 3)" title="System architecture: detection (Tiers 1 and 2) gating investigation (Ti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ch" descr="System architecture: detection (Tiers 1 and 2) gating investigation (Tier 3)" title="System architecture: detection (Tiers 1 and 2) gating investigation (Tier 3)"/>
                    <pic:cNvPicPr>
                      <a:picLocks noChangeAspect="1" noChangeArrowheads="1"/>
                    </pic:cNvPicPr>
                  </pic:nvPicPr>
                  <pic:blipFill>
                    <a:blip r:embed="rId8"/>
                    <a:stretch>
                      <a:fillRect/>
                    </a:stretch>
                  </pic:blipFill>
                  <pic:spPr bwMode="auto">
                    <a:xfrm>
                      <a:off x="0" y="0"/>
                      <a:ext cx="5715000" cy="2486025"/>
                    </a:xfrm>
                    <a:prstGeom prst="rect">
                      <a:avLst/>
                    </a:prstGeom>
                    <a:noFill/>
                  </pic:spPr>
                </pic:pic>
              </a:graphicData>
            </a:graphic>
          </wp:inline>
        </w:drawing>
      </w:r>
    </w:p>
    <w:p>
      <w:pPr>
        <w:pStyle w:val="Normal"/>
        <w:keepNext w:val="false"/>
        <w:spacing w:before="80" w:after="220"/>
        <w:jc w:val="center"/>
        <w:rPr/>
      </w:pPr>
      <w:r>
        <w:rPr>
          <w:rFonts w:eastAsia="Times New Roman" w:cs="Times New Roman"/>
          <w:b/>
          <w:bCs/>
          <w:sz w:val="22"/>
          <w:szCs w:val="22"/>
        </w:rPr>
        <w:t xml:space="preserve">Figure 3.1: </w:t>
      </w:r>
      <w:r>
        <w:rPr>
          <w:rFonts w:eastAsia="Times New Roman" w:cs="Times New Roman"/>
          <w:i/>
          <w:iCs/>
          <w:sz w:val="22"/>
          <w:szCs w:val="22"/>
        </w:rPr>
        <w:t>System architecture: detection (Tiers 1 and 2) gating investigation (Tier 3)</w:t>
      </w:r>
    </w:p>
    <w:p>
      <w:pPr>
        <w:pStyle w:val="Normal"/>
        <w:spacing w:lineRule="auto" w:line="319" w:before="0" w:after="140"/>
        <w:jc w:val="both"/>
        <w:rPr/>
      </w:pPr>
      <w:r>
        <w:t>The cascade separates rapid recognition of known faults from temporal novelty detection. The Random Forest can classify incoming rows efficiently, while the autoencoder examines recent history and provides a route for unseen fault behaviour. The agent is invoked only after a detector raises an actionable alert, then independently checks the evidence before forming an RCA conclusion. This limits unnecessary LLM calls and allows the agent to suppress alerts that are contradicted by metrics, logs or topology.</w:t>
      </w:r>
    </w:p>
    <w:p>
      <w:pPr>
        <w:pStyle w:val="Heading2"/>
        <w:keepNext w:val="true"/>
        <w:spacing w:before="280" w:after="140"/>
        <w:rPr/>
      </w:pPr>
      <w:r>
        <w:rPr>
          <w:rFonts w:eastAsia="Times New Roman" w:cs="Times New Roman" w:ascii="Times New Roman" w:hAnsi="Times New Roman"/>
          <w:b/>
          <w:bCs/>
          <w:sz w:val="26"/>
          <w:szCs w:val="26"/>
        </w:rPr>
        <w:t>3.2 Data Sources</w:t>
      </w:r>
    </w:p>
    <w:p>
      <w:pPr>
        <w:pStyle w:val="Heading3"/>
        <w:keepNext w:val="true"/>
        <w:spacing w:before="200" w:after="120"/>
        <w:rPr/>
      </w:pPr>
      <w:r>
        <w:rPr>
          <w:rFonts w:eastAsia="Times New Roman" w:cs="Times New Roman" w:ascii="Times New Roman" w:hAnsi="Times New Roman"/>
          <w:b/>
          <w:bCs/>
          <w:i/>
          <w:iCs/>
          <w:sz w:val="24"/>
          <w:szCs w:val="24"/>
        </w:rPr>
        <w:t>3.2.1 Python WAN simulator (training data)</w:t>
      </w:r>
    </w:p>
    <w:p>
      <w:pPr>
        <w:pStyle w:val="Normal"/>
        <w:spacing w:lineRule="auto" w:line="319" w:before="0" w:after="140"/>
        <w:jc w:val="both"/>
        <w:rPr/>
      </w:pPr>
      <w:r>
        <w:t>The primary training source is a Python SNMP-style telemetry simulator that produces one directed interface record per polling interval. For every physical topology link, the simulator emits a record for each direction so that the receiving and transmitting behaviour of both endpoints can be analysed separately. Normal traffic follows a daily load pattern with bounded Ornstein–Uhlenbeck noise, preventing every record from looking identical. The simulator stores telemetry, RFC 5424-style syslogs and sampled NetFlow-like flow records, allowing the agent to corroborate a detector alert with more than one data source.</w:t>
      </w:r>
    </w:p>
    <w:p>
      <w:pPr>
        <w:pStyle w:val="Normal"/>
      </w:pPr>
      <w:r>
        <w:t>A telemetry row is therefore an observation of one local interface at one moment in time, not a complete device summary. The same interface appears repeatedly across the dataset, and its ordered records form the history from which rates, rolling statistics and LSTM sequences are computed. The 760,320-record simulator corpus uses 15-second polling. Mininet uses a faster collector and produces a CSV with the same core schema so that the same pipeline can operate across the two sources.</w:t>
      </w:r>
    </w:p>
    <w:p>
      <w:pPr>
        <w:pStyle w:val="Normal"/>
      </w:pPr>
      <w:r>
        <w:t>A typical Mininet CSV record has the following form. The values shown are representative of the stored dataset and illustrate why raw counters are converted into differences before modelling:</w:t>
      </w:r>
    </w:p>
    <w:p>
      <w:pPr>
        <w:pStyle w:val="Normal"/>
      </w:pPr>
      <w:r>
        <w:rPr>
          <w:rFonts w:ascii="Consolas" w:hAnsi="Consolas"/>
          <w:sz w:val="16"/>
        </w:rPr>
        <w:t>timestamp=2026-10-24T13:10:37Z | device_id=l1 | interface_id=l1-eth2 | ifOperStatus=1 | ifInOctets=6273546650 | ifOutOctets=3357845116 | ifInDiscards=28855280 | ifOutDiscards=23494109 | ifInErrors=0 | latency_ms=0.28 | packet_loss_rate=0.0016 | cpu_utilization=0.0 | is_anomaly=0 | anomaly_type=none</w:t>
      </w:r>
    </w:p>
    <w:p>
      <w:pPr>
        <w:pStyle w:val="Normal"/>
      </w:pPr>
      <w:r>
        <w:t>The large octet and discard values are cumulative kernel counters, so a value is meaningful only in relation to earlier values from the same interface. For example, the pipeline computes delta_ifInOctets(t) = ifInOctets(t) − ifInOctets(t−1). This turns a cumulative byte counter into bytes observed during one polling interval and makes sudden drops, bursts and sustained utilisation measurable.</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network/telemetry_generator.py</w:t>
              <w:br/>
              <w:t>engine = TelemetryEngine(topology)</w:t>
              <w:br/>
              <w:t>snmp, syslogs, flow = engine.generate_telemetry_window(</w:t>
              <w:br/>
              <w:t xml:space="preserve">    start_time=phase_time, duration_seconds=259200,</w:t>
              <w:br/>
              <w:t xml:space="preserve">    interval_seconds=15, anomalies=anomalies</w:t>
              <w:br/>
              <w:t>)</w:t>
              <w:br/>
              <w:t>final_snmp.to_parquet("data/snmp_telemetry.parquet")</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3.1: </w:t>
      </w:r>
      <w:r>
        <w:rPr>
          <w:rFonts w:eastAsia="Times New Roman" w:cs="Times New Roman"/>
          <w:i/>
          <w:iCs/>
          <w:sz w:val="22"/>
          <w:szCs w:val="22"/>
        </w:rPr>
        <w:t>Telemetry generator (dataset generation)</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network/anomaly_injector.py</w:t>
              <w:br/>
              <w:t>def create_congestion(self, link, start_time, duration_minutes):</w:t>
              <w:br/>
              <w:t xml:space="preserve">    return self._create_base_anomaly(</w:t>
              <w:br/>
              <w:t xml:space="preserve">        anomaly_type="congestion", link=link,</w:t>
              <w:br/>
              <w:t xml:space="preserve">        start_time=start_time, duration_minutes=duration_minutes,</w:t>
              <w:br/>
              <w:t xml:space="preserve">        severity="major",</w:t>
              <w:br/>
              <w:t xml:space="preserve">        description=f"High congestion detected on {link}."</w:t>
              <w:br/>
              <w:t xml:space="preserve">    )</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3.2: </w:t>
      </w:r>
      <w:r>
        <w:rPr>
          <w:rFonts w:eastAsia="Times New Roman" w:cs="Times New Roman"/>
          <w:i/>
          <w:iCs/>
          <w:sz w:val="22"/>
          <w:szCs w:val="22"/>
        </w:rPr>
        <w:t>Anomaly injector</w:t>
      </w:r>
    </w:p>
    <w:p>
      <w:pPr>
        <w:pStyle w:val="Normal"/>
        <w:keepNext w:val="true"/>
        <w:spacing w:before="200" w:after="100"/>
        <w:jc w:val="center"/>
        <w:rPr/>
      </w:pPr>
      <w:r>
        <w:rPr>
          <w:rFonts w:eastAsia="Times New Roman" w:cs="Times New Roman"/>
          <w:b/>
          <w:bCs/>
          <w:sz w:val="22"/>
          <w:szCs w:val="22"/>
        </w:rPr>
        <w:t xml:space="preserve">Table 3.1: </w:t>
      </w:r>
      <w:r>
        <w:rPr>
          <w:rFonts w:eastAsia="Times New Roman" w:cs="Times New Roman"/>
          <w:i/>
          <w:iCs/>
          <w:sz w:val="22"/>
          <w:szCs w:val="22"/>
        </w:rPr>
        <w:t>Telemetry schema of the simulator</w:t>
      </w:r>
    </w:p>
    <w:tbl>
      <w:tblPr>
        <w:tblW w:w="9360" w:type="dxa"/>
        <w:jc w:val="center"/>
        <w:tblInd w:w="0" w:type="dxa"/>
        <w:tblLayout w:type="fixed"/>
        <w:tblCellMar>
          <w:top w:w="50" w:type="dxa"/>
          <w:start w:w="90" w:type="dxa"/>
          <w:bottom w:w="50" w:type="dxa"/>
          <w:end w:w="90" w:type="dxa"/>
        </w:tblCellMar>
      </w:tblPr>
      <w:tblGrid>
        <w:gridCol w:w="2999"/>
        <w:gridCol w:w="6361"/>
      </w:tblGrid>
      <w:tr>
        <w:trPr>
          <w:tblHeader w:val="true"/>
          <w:cantSplit/>
        </w:trPr>
        <w:tc>
          <w:tcPr>
            <w:tcW w:w="29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Field</w:t>
            </w:r>
          </w:p>
        </w:tc>
        <w:tc>
          <w:tcPr>
            <w:tcW w:w="63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Meaning and use</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timestamp</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UTC time at which the polling record was produced. It orders each interface history and defines the temporal window.</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device_id</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Switch, router or simulated device that emitted the record, for example l1 or Spine1.</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interface_id</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Local monitored interface, for example l1-eth2. Each device/interface pair is treated as an independent time series.</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peer_device_id</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Remote endpoint of the directed simulated link. This field is available in the simulator topology; the Mininet CSV identifies the local port.</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ifOperStatus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Operational interface state. The project uses 1 for UP and 2 for DOWN, following the IF-MIB convention.</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ifInOctets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Bytes received at the interface. It is a raw counter in Mininet; changes between polls are more informative than the absolute value.</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ifOutOctets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Bytes transmitted at the interface. Sustained high change rate indicates high utilisation; a sudden fall can indicate a failed link.</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ifInDiscards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Received packets discarded without a receive error. Increases can indicate buffer pressure or fragmentation-related drops.</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ifOutDiscards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Transmitted packets discarded, often due to queue overflow. It is a primary congestion signal.</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ifInErrors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Received packets with errors, such as malformed or fragmented traffic. It is a strong MTU-mismatch signal.</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latency_ms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Probe-derived delay in milliseconds. In the Mininet collector it is based on the dedicated UDP iperf3 probe jitter; it is a performance indicator, not an SNMP IF-MIB counter.</w:t>
            </w:r>
          </w:p>
        </w:tc>
      </w:tr>
      <w:tr>
        <w:tc>
          <w:tcPr>
            <w:tcW w:type="dxa" w:w="2999"/>
          </w:tcPr>
          <w:p>
            <w:r>
              <w:t>packet_loss_rate</w:t>
            </w:r>
          </w:p>
        </w:tc>
        <w:tc>
          <w:tcPr>
            <w:tcW w:type="dxa" w:w="6361"/>
          </w:tcPr>
          <w:p>
            <w:r>
              <w:t>Fraction of probe packets lost, in the range 0–1. A value of 0.40 means approximately 40% packet loss.</w:t>
            </w:r>
          </w:p>
        </w:tc>
      </w:tr>
      <w:tr>
        <w:tc>
          <w:tcPr>
            <w:tcW w:type="dxa" w:w="2999"/>
          </w:tcPr>
          <w:p>
            <w:r>
              <w:t>cpu_utilization</w:t>
            </w:r>
          </w:p>
        </w:tc>
        <w:tc>
          <w:tcPr>
            <w:tcW w:type="dxa" w:w="6361"/>
          </w:tcPr>
          <w:p>
            <w:r>
              <w:t>Host/switch CPU utilisation. In Mininet it is a host-level signal and is treated cautiously because it is not a true per-interface counter.</w:t>
            </w:r>
          </w:p>
        </w:tc>
      </w:tr>
      <w:tr>
        <w:tc>
          <w:tcPr>
            <w:tcW w:type="dxa" w:w="2999"/>
          </w:tcPr>
          <w:p>
            <w:r>
              <w:t>is_anomaly</w:t>
            </w:r>
          </w:p>
        </w:tc>
        <w:tc>
          <w:tcPr>
            <w:tcW w:type="dxa" w:w="6361"/>
          </w:tcPr>
          <w:p>
            <w:r>
              <w:t>Ground-truth binary label used for supervised training and evaluation: 0 normal, 1 fault interval. It is never supplied as a model input.</w:t>
            </w:r>
          </w:p>
        </w:tc>
      </w:tr>
      <w:tr>
        <w:tc>
          <w:tcPr>
            <w:tcW w:type="dxa" w:w="2999"/>
          </w:tcPr>
          <w:p>
            <w:r>
              <w:t>anomaly_type</w:t>
            </w:r>
          </w:p>
        </w:tc>
        <w:tc>
          <w:tcPr>
            <w:tcW w:type="dxa" w:w="6361"/>
          </w:tcPr>
          <w:p>
            <w:r>
              <w:t>Ground-truth fault label, such as link_failure or congestion. It is used for evaluation, replay selection and dashboard presentation, not as a prediction feature.</w:t>
            </w:r>
          </w:p>
        </w:tc>
      </w:tr>
      <w:tr>
        <w:tc>
          <w:tcPr>
            <w:tcW w:type="dxa" w:w="2999"/>
          </w:tcPr>
          <w:p>
            <w:r>
              <w:t>delta_ifInOctets / delta_ifOutOctets</w:t>
            </w:r>
          </w:p>
        </w:tc>
        <w:tc>
          <w:tcPr>
            <w:tcW w:type="dxa" w:w="6361"/>
          </w:tcPr>
          <w:p>
            <w:r>
              <w:t>Per-interface difference between successive counter readings. These derived values approximate traffic during the polling interval.</w:t>
            </w:r>
          </w:p>
        </w:tc>
      </w:tr>
      <w:tr>
        <w:tc>
          <w:tcPr>
            <w:tcW w:type="dxa" w:w="2999"/>
          </w:tcPr>
          <w:p>
            <w:r>
              <w:t>delta_ifInDiscards</w:t>
            </w:r>
          </w:p>
        </w:tc>
        <w:tc>
          <w:tcPr>
            <w:tcW w:type="dxa" w:w="6361"/>
          </w:tcPr>
          <w:p>
            <w:r>
              <w:t>Difference in receive discards between polls. It reveals new drops even when the raw counter is already large.</w:t>
            </w:r>
          </w:p>
        </w:tc>
      </w:tr>
    </w:tbl>
    <w:p>
      <w:pPr>
        <w:pStyle w:val="Normal"/>
        <w:spacing w:before="0" w:after="160"/>
        <w:rPr/>
      </w:pPr>
      <w:r>
        <w:rPr/>
      </w:r>
    </w:p>
    <w:p>
      <w:pPr>
        <w:pStyle w:val="Heading3"/>
        <w:keepNext w:val="true"/>
        <w:spacing w:before="200" w:after="120"/>
        <w:rPr/>
      </w:pPr>
      <w:r>
        <w:rPr>
          <w:rFonts w:eastAsia="Times New Roman" w:cs="Times New Roman" w:ascii="Times New Roman" w:hAnsi="Times New Roman"/>
          <w:b/>
          <w:bCs/>
          <w:i/>
          <w:iCs/>
          <w:sz w:val="24"/>
          <w:szCs w:val="24"/>
        </w:rPr>
        <w:t>3.2.2 Mininet emulation (adaptation and validation data)</w:t>
      </w:r>
    </w:p>
    <w:p>
      <w:pPr>
        <w:pStyle w:val="Normal"/>
        <w:spacing w:lineRule="auto" w:line="319" w:before="0" w:after="140"/>
        <w:jc w:val="both"/>
        <w:rPr/>
      </w:pPr>
      <w:r>
        <w:t>To obtain telemetry affected by real Linux networking behaviour, the project uses a Mininet/Open vSwitch spine-leaf topology with two spine switches, four leaf switches and four hosts. The TelemetryCollector visits each switch interface once per polling cycle. It reads rx_bytes, tx_bytes, rx_dropped, tx_dropped and rx_errors from /sys/class/net/&lt;interface&gt;/statistics, reads operational state from /sys/class/net/&lt;interface&gt;/operstate, and records host CPU utilisation from /proc/stat. A dedicated UDP iperf3 probe runs in parallel and supplies jitter-derived latency and packet-loss values. Every collected record is labelled with the active injection type only for controlled training and evaluation.</w:t>
      </w:r>
    </w:p>
    <w:p>
      <w:pPr>
        <w:pStyle w:val="Normal"/>
      </w:pPr>
      <w:r>
        <w:t>The collector flushes new records to mininet_telemetry_live.csv every five seconds, so the live pipeline can process newly arriving data without waiting for the full experiment to end. When an experiment is saved, it also derives delta_ifInOctets, delta_ifOutOctets and delta_ifInDiscards per device/interface pair. The augmented final dataset retains these authentic Open vSwitch counter measurements and replaces only known-unreliable probe columns with fault-specific distributions.</w:t>
      </w:r>
    </w:p>
    <w:p>
      <w:pPr>
        <w:pStyle w:val="Normal"/>
        <w:spacing w:lineRule="auto" w:line="319" w:before="0" w:after="140"/>
        <w:jc w:val="both"/>
        <w:rPr/>
      </w:pPr>
      <w:r>
        <w:rPr>
          <w:rFonts w:eastAsia="Times New Roman" w:cs="Times New Roman"/>
          <w:sz w:val="24"/>
          <w:szCs w:val="24"/>
        </w:rPr>
        <w:t>Faults are injected into the live kernel with standard Linux tools, which keeps the host operating system safe and the faults realistic. Table 3.2 lists the five fault types, the commands used in emulation and the symptom that each produces. The tc netem tool [34] provides the loss emulation.</w:t>
      </w:r>
    </w:p>
    <w:p>
      <w:pPr>
        <w:pStyle w:val="Normal"/>
        <w:keepNext w:val="true"/>
        <w:spacing w:before="200" w:after="100"/>
        <w:jc w:val="center"/>
        <w:rPr/>
      </w:pPr>
      <w:r>
        <w:rPr>
          <w:rFonts w:eastAsia="Times New Roman" w:cs="Times New Roman"/>
          <w:b/>
          <w:bCs/>
          <w:sz w:val="22"/>
          <w:szCs w:val="22"/>
        </w:rPr>
        <w:t xml:space="preserve">Table 3.2: </w:t>
      </w:r>
      <w:r>
        <w:rPr>
          <w:rFonts w:eastAsia="Times New Roman" w:cs="Times New Roman"/>
          <w:i/>
          <w:iCs/>
          <w:sz w:val="22"/>
          <w:szCs w:val="22"/>
        </w:rPr>
        <w:t>Target fault types and their injection in Mininet</w:t>
      </w:r>
    </w:p>
    <w:tbl>
      <w:tblPr>
        <w:tblW w:w="9360" w:type="dxa"/>
        <w:jc w:val="center"/>
        <w:tblInd w:w="0" w:type="dxa"/>
        <w:tblLayout w:type="fixed"/>
        <w:tblCellMar>
          <w:top w:w="50" w:type="dxa"/>
          <w:start w:w="90" w:type="dxa"/>
          <w:bottom w:w="50" w:type="dxa"/>
          <w:end w:w="90" w:type="dxa"/>
        </w:tblCellMar>
      </w:tblPr>
      <w:tblGrid>
        <w:gridCol w:w="1500"/>
        <w:gridCol w:w="3899"/>
        <w:gridCol w:w="396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Fault</w:t>
            </w:r>
          </w:p>
        </w:tc>
        <w:tc>
          <w:tcPr>
            <w:tcW w:w="38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Injection mechanism in the Mininet collector</w:t>
            </w:r>
          </w:p>
        </w:tc>
        <w:tc>
          <w:tcPr>
            <w:tcW w:w="39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Observable telemetry and syslog effect</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Link failure</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net.configLinkStatus(s1, l1, 'down') for the timed collection phase; the live helper can run ip link set s1-eth1 down.</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ifOperStatus becomes 2; traffic counters stop changing; probe loss rises; link and routing adjacency events are expected.</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Congestion</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tc qdisc replace dev s2-eth2 root netem delay 80ms 20ms distribution normal loss 5%.</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Latency/jitter rises, loss is introduced and transmit discards can increase as queues experience pressure.</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Interface flap</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The collector alternates net.configLinkStatus(s1, l2, 'up'/'down') every 5 seconds for the fault interval.</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Alternating ifOperStatus values, intermittent zero traffic and repeated UP/DOWN events; some transitions can be missed by slow polling.</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MTU mismatch</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ip link set dev l1-eth2 mtu 500; the interface is restored to MTU 1500 after the timed fault interval.</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Oversized packets can fragment or be discarded; ifInErrors and loss-related features are expected to increase while the link may remain UP.</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Packet loss</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tc qdisc replace dev s2-eth4 root netem loss 40% during data collection.</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High packet_loss_rate, retransmission-related delay and possible drop-counter changes while ifOperStatus remains UP.</w:t>
            </w:r>
          </w:p>
        </w:tc>
      </w:tr>
    </w:tbl>
    <w:p>
      <w:pPr>
        <w:pStyle w:val="Normal"/>
        <w:spacing w:before="0" w:after="160"/>
        <w:rPr/>
      </w:pPr>
      <w:r>
        <w:rPr/>
      </w:r>
    </w:p>
    <w:p>
      <w:pPr>
        <w:pStyle w:val="Normal"/>
        <w:spacing w:lineRule="auto" w:line="319" w:before="0" w:after="140"/>
        <w:jc w:val="both"/>
        <w:rPr/>
      </w:pPr>
      <w:r>
        <w:t>The Mininet collection process exposed a data-quality limitation that must be stated precisely. Early recordings used a probe target or fault interface that did not consistently lie on the measured traffic path, so latency and loss could remain fixed even when a fault was active. The corrected workflow aligns the probe host, probe server and injected interface. Where an earlier recorded probe signal is demonstrably unreliable, augmentation replaces only latency_ms and packet_loss_rate using fault-specific physical distributions; raw Open vSwitch counters and labels are retained. CPU utilisation remains a host-level, noisy measurement rather than an interface metric and is zeroed for the corresponding Mininet model workflow.</w:t>
      </w:r>
    </w:p>
    <w:tbl>
      <w:tblPr>
        <w:tblW w:w="8640" w:type="dxa"/>
        <w:jc w:val="center"/>
        <w:tblInd w:w="0" w:type="dxa"/>
        <w:tblLayout w:type="fixed"/>
        <w:tblCellMar>
          <w:top w:w="0" w:type="dxa"/>
          <w:start w:w="108" w:type="dxa"/>
          <w:bottom w:w="0" w:type="dxa"/>
          <w:end w:w="108" w:type="dxa"/>
        </w:tblCellMar>
      </w:tblPr>
      <w:tblGrid>
        <w:gridCol w:w="8640"/>
      </w:tblGrid>
      <w:tr>
        <w:trPr>
          <w:trHeight w:val="32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2291251"/>
                  <wp:docPr id="8" name="Picture 8"/>
                  <wp:cNvGraphicFramePr>
                    <a:graphicFrameLocks noChangeAspect="1"/>
                  </wp:cNvGraphicFramePr>
                  <a:graphic>
                    <a:graphicData uri="http://schemas.openxmlformats.org/drawingml/2006/picture">
                      <pic:pic>
                        <pic:nvPicPr>
                          <pic:cNvPr id="0" name="image (19).png"/>
                          <pic:cNvPicPr/>
                        </pic:nvPicPr>
                        <pic:blipFill>
                          <a:blip r:embed="rId19"/>
                          <a:stretch>
                            <a:fillRect/>
                          </a:stretch>
                        </pic:blipFill>
                        <pic:spPr>
                          <a:xfrm>
                            <a:off x="0" y="0"/>
                            <a:ext cx="5212080" cy="2291251"/>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3.2: </w:t>
      </w:r>
      <w:r>
        <w:rPr>
          <w:rFonts w:eastAsia="Times New Roman" w:cs="Times New Roman"/>
          <w:i/>
          <w:iCs/>
          <w:sz w:val="22"/>
          <w:szCs w:val="22"/>
        </w:rPr>
        <w:t>Mininet spine-leaf topology and telemetry collection</w:t>
      </w:r>
    </w:p>
    <w:p>
      <w:pPr>
        <w:pStyle w:val="Heading2"/>
        <w:keepNext w:val="true"/>
        <w:spacing w:before="280" w:after="140"/>
        <w:rPr/>
      </w:pPr>
      <w:r>
        <w:rPr>
          <w:rFonts w:eastAsia="Times New Roman" w:cs="Times New Roman" w:ascii="Times New Roman" w:hAnsi="Times New Roman"/>
          <w:b/>
          <w:bCs/>
          <w:sz w:val="26"/>
          <w:szCs w:val="26"/>
        </w:rPr>
        <w:t>3.3 Feature Engineering</w:t>
      </w:r>
    </w:p>
    <w:p>
      <w:pPr>
        <w:pStyle w:val="Normal"/>
        <w:spacing w:lineRule="auto" w:line="319" w:before="0" w:after="140"/>
        <w:jc w:val="both"/>
        <w:rPr/>
      </w:pPr>
      <w:r>
        <w:t>The feature pipeline converts raw telemetry into 21 model features. It first sorts data by device_id, interface_id and timestamp, then computes all temporal values inside each interface group. This isolation is essential: a counter change on l1-eth2 must never be compared with the unrelated counter history of l2-eth3. Raw cumulative byte and discard counters are not passed directly to the model because their magnitude grows with uptime; the model instead receives deltas, normalised ratios, rolling statistics and explicit state flags. A RobustScaler is fitted on training data only and reused for validation and test data.</w:t>
      </w:r>
    </w:p>
    <w:p>
      <w:pPr>
        <w:pStyle w:val="Normal"/>
      </w:pPr>
      <w:r>
        <w:t>Table 3.1a: Engineered feature interpretation</w:t>
      </w:r>
    </w:p>
    <w:tbl>
      <w:tblPr>
        <w:tblW w:type="auto" w:w="0"/>
        <w:tblLook w:firstColumn="1" w:firstRow="1" w:lastColumn="0" w:lastRow="0" w:noHBand="0" w:noVBand="1" w:val="04A0"/>
      </w:tblPr>
      <w:tblGrid>
        <w:gridCol w:w="4680"/>
        <w:gridCol w:w="4680"/>
      </w:tblGrid>
      <w:tr>
        <w:trPr>
          <w:tblHeader w:val="true"/>
        </w:trPr>
        <w:tc>
          <w:tcPr>
            <w:tcW w:type="dxa" w:w="4680"/>
          </w:tcPr>
          <w:p>
            <w:r>
              <w:t>Feature</w:t>
            </w:r>
          </w:p>
        </w:tc>
        <w:tc>
          <w:tcPr>
            <w:tcW w:type="dxa" w:w="4680"/>
          </w:tcPr>
          <w:p>
            <w:r>
              <w:t>Definition and diagnostic meaning</w:t>
            </w:r>
          </w:p>
        </w:tc>
      </w:tr>
      <w:tr>
        <w:tc>
          <w:tcPr>
            <w:tcW w:type="dxa" w:w="4680"/>
          </w:tcPr>
          <w:p>
            <w:r>
              <w:t>delta_in_octets / delta_out_octets</w:t>
            </w:r>
          </w:p>
        </w:tc>
        <w:tc>
          <w:tcPr>
            <w:tcW w:type="dxa" w:w="4680"/>
          </w:tcPr>
          <w:p>
            <w:r>
              <w:t>Current raw-counter value minus prior value for the same interface. Represents traffic volume during the interval and exposes a sudden traffic stop or burst.</w:t>
            </w:r>
          </w:p>
        </w:tc>
      </w:tr>
      <w:tr>
        <w:tc>
          <w:tcPr>
            <w:tcW w:type="dxa" w:w="4680"/>
          </w:tcPr>
          <w:p>
            <w:r>
              <w:t>is_link_down</w:t>
            </w:r>
          </w:p>
        </w:tc>
        <w:tc>
          <w:tcPr>
            <w:tcW w:type="dxa" w:w="4680"/>
          </w:tcPr>
          <w:p>
            <w:r>
              <w:t>1 when ifOperStatus equals 2; otherwise 0. Gives the models a direct, unambiguous link-state indicator.</w:t>
            </w:r>
          </w:p>
        </w:tc>
      </w:tr>
      <w:tr>
        <w:tc>
          <w:tcPr>
            <w:tcW w:type="dxa" w:w="4680"/>
          </w:tcPr>
          <w:p>
            <w:r>
              <w:t>is_high_latency</w:t>
            </w:r>
          </w:p>
        </w:tc>
        <w:tc>
          <w:tcPr>
            <w:tcW w:type="dxa" w:w="4680"/>
          </w:tcPr>
          <w:p>
            <w:r>
              <w:t>1 when latency_ms exceeds 10 ms; otherwise 0. Captures material deviation from the low-latency baseline.</w:t>
            </w:r>
          </w:p>
        </w:tc>
      </w:tr>
      <w:tr>
        <w:tc>
          <w:tcPr>
            <w:tcW w:type="dxa" w:w="4680"/>
          </w:tcPr>
          <w:p>
            <w:r>
              <w:t>is_dropping_packets</w:t>
            </w:r>
          </w:p>
        </w:tc>
        <w:tc>
          <w:tcPr>
            <w:tcW w:type="dxa" w:w="4680"/>
          </w:tcPr>
          <w:p>
            <w:r>
              <w:t>1 when packet_loss_rate is positive. It helps distinguish healthy high utilisation from degraded traffic delivery.</w:t>
            </w:r>
          </w:p>
        </w:tc>
      </w:tr>
      <w:tr>
        <w:tc>
          <w:tcPr>
            <w:tcW w:type="dxa" w:w="4680"/>
          </w:tcPr>
          <w:p>
            <w:r>
              <w:t>rolling_mean / rolling_std</w:t>
            </w:r>
          </w:p>
        </w:tc>
        <w:tc>
          <w:tcPr>
            <w:tcW w:type="dxa" w:w="4680"/>
          </w:tcPr>
          <w:p>
            <w:r>
              <w:t>Trailing 12-record baseline of incoming traffic, outgoing traffic or discards for the same interface.</w:t>
            </w:r>
          </w:p>
        </w:tc>
      </w:tr>
      <w:tr>
        <w:tc>
          <w:tcPr>
            <w:tcW w:type="dxa" w:w="4680"/>
          </w:tcPr>
          <w:p>
            <w:r>
              <w:t>zscore_in_octets / zscore_out_octets / zscore_out_discards</w:t>
            </w:r>
          </w:p>
        </w:tc>
        <w:tc>
          <w:tcPr>
            <w:tcW w:type="dxa" w:w="4680"/>
          </w:tcPr>
          <w:p>
            <w:r>
              <w:t>Current value expressed relative to its rolling mean and standard deviation. Large magnitude identifies unusual changes rather than large counters alone.</w:t>
            </w:r>
          </w:p>
        </w:tc>
      </w:tr>
      <w:tr>
        <w:tc>
          <w:tcPr>
            <w:tcW w:type="dxa" w:w="4680"/>
          </w:tcPr>
          <w:p>
            <w:r>
              <w:t>in_out_ratio</w:t>
            </w:r>
          </w:p>
        </w:tc>
        <w:tc>
          <w:tcPr>
            <w:tcW w:type="dxa" w:w="4680"/>
          </w:tcPr>
          <w:p>
            <w:r>
              <w:t>(ifInOctets + 1) / (ifOutOctets + 1). Highlights directional imbalance and possible blackholing or asymmetric load.</w:t>
            </w:r>
          </w:p>
        </w:tc>
      </w:tr>
      <w:tr>
        <w:tc>
          <w:tcPr>
            <w:tcW w:type="dxa" w:w="4680"/>
          </w:tcPr>
          <w:p>
            <w:r>
              <w:t>discard_intensity</w:t>
            </w:r>
          </w:p>
        </w:tc>
        <w:tc>
          <w:tcPr>
            <w:tcW w:type="dxa" w:w="4680"/>
          </w:tcPr>
          <w:p>
            <w:r>
              <w:t>(ifOutDiscards + ifInDiscards) / (ifInOctets / 1000 + 1). Normalises drops by observed traffic.</w:t>
            </w:r>
          </w:p>
        </w:tc>
      </w:tr>
      <w:tr>
        <w:tc>
          <w:tcPr>
            <w:tcW w:type="dxa" w:w="4680"/>
          </w:tcPr>
          <w:p>
            <w:r>
              <w:t>error_rate</w:t>
            </w:r>
          </w:p>
        </w:tc>
        <w:tc>
          <w:tcPr>
            <w:tcW w:type="dxa" w:w="4680"/>
          </w:tcPr>
          <w:p>
            <w:r>
              <w:t>(ifInErrors + 1) / (ifInOctets + 1). Makes error behaviour comparable across heavily and lightly loaded interfaces.</w:t>
            </w:r>
          </w:p>
        </w:tc>
      </w:tr>
      <w:tr>
        <w:tc>
          <w:tcPr>
            <w:tcW w:type="dxa" w:w="4680"/>
          </w:tcPr>
          <w:p>
            <w:r>
              <w:t>burst_ratio</w:t>
            </w:r>
          </w:p>
        </w:tc>
        <w:tc>
          <w:tcPr>
            <w:tcW w:type="dxa" w:w="4680"/>
          </w:tcPr>
          <w:p>
            <w:r>
              <w:t>Absolute traffic delta divided by rolling mean traffic. Highlights bursts that can precede congestion.</w:t>
            </w:r>
          </w:p>
        </w:tc>
      </w:tr>
    </w:tbl>
    <w:p>
      <w:pPr>
        <w:pStyle w:val="Heading2"/>
        <w:keepNext w:val="true"/>
        <w:spacing w:before="280" w:after="140"/>
        <w:rPr/>
      </w:pPr>
      <w:r>
        <w:rPr>
          <w:rFonts w:eastAsia="Times New Roman" w:cs="Times New Roman" w:ascii="Times New Roman" w:hAnsi="Times New Roman"/>
          <w:b/>
          <w:bCs/>
          <w:sz w:val="26"/>
          <w:szCs w:val="26"/>
        </w:rPr>
        <w:t>3.4 Tier 1: Random Forest Classifier</w:t>
      </w:r>
    </w:p>
    <w:p>
      <w:pPr>
        <w:pStyle w:val="Normal"/>
        <w:spacing w:lineRule="auto" w:line="319" w:before="0" w:after="140"/>
        <w:jc w:val="both"/>
        <w:rPr/>
      </w:pPr>
      <w:r>
        <w:t>The generic baseline Random Forest in detection/baseline_models.py is binary and uses 200 estimators, balanced class weights and optional SMOTE when enough minority examples are present. The final Mininet fine-tuning workflow is separate: emulation/finetune_on_mininet.py creates a 500-tree RandomForestClassifier, applies controlled SMOTE, learns a validation-set decision threshold and saves a model bundle. The final Mininet values reported in Chapter 4 therefore describe this fine-tuned 500-tree workflow, not the generic baseline class.</w:t>
      </w:r>
    </w:p>
    <w:p>
      <w:pPr>
        <w:pStyle w:val="Normal"/>
        <w:spacing w:lineRule="auto" w:line="319" w:before="0" w:after="140"/>
        <w:jc w:val="both"/>
        <w:rPr/>
      </w:pPr>
      <w:r>
        <w:rPr>
          <w:rFonts w:eastAsia="Times New Roman" w:cs="Times New Roman"/>
          <w:sz w:val="24"/>
          <w:szCs w:val="24"/>
        </w:rPr>
        <w:t>The Random Forest was chosen as the first tier because it is fast (thousands of rows are classified in milliseconds), because its feature importances can be inspected, and because it needs no time window, so it can act on every new row as soon as it arrives. The weakness of a row-wise classifier is that it cannot see how the metrics are changing, and this is the role of Tier 2.</w:t>
      </w:r>
    </w:p>
    <w:p>
      <w:pPr>
        <w:pStyle w:val="Normal"/>
        <w:spacing w:lineRule="auto" w:line="319" w:before="0" w:after="140"/>
        <w:jc w:val="both"/>
        <w:rPr/>
      </w:pPr>
      <w:r>
        <w:t>For the live workflow, the prediction probability is used as an alert confidence. A high-confidence anomalous prediction (greater than 0.85 in the generic triage pipeline) bypasses Tier 2 and is investigated by the agent. Lower-confidence or unclassified observations are passed to the LSTM autoencoder, which provides the zero-day detection path.</w:t>
      </w:r>
    </w:p>
    <w:tbl>
      <w:tblPr>
        <w:tblW w:w="9360" w:type="dxa"/>
        <w:jc w:val="center"/>
        <w:tblInd w:w="0" w:type="dxa"/>
        <w:tblLayout w:type="fixed"/>
        <w:tblCellMar>
          <w:top w:w="120" w:type="dxa"/>
          <w:start w:w="160" w:type="dxa"/>
          <w:bottom w:w="120" w:type="dxa"/>
          <w:end w:w="160" w:type="dxa"/>
        </w:tblCellMar>
      </w:tblPr>
      <w:tblGrid>
        <w:gridCol w:w="9360"/>
      </w:tblGrid>
      <w:tr>
        <w:trPr>
          <w:trHeight w:val="24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detection/baseline_models.py</w:t>
              <w:br/>
              <w:t>self.model = RandomForestClassifier(</w:t>
              <w:br/>
              <w:t xml:space="preserve">    n_estimators=200, class_weight="balanced",</w:t>
              <w:br/>
              <w:t xml:space="preserve">    random_state=self.seed, n_jobs=-1</w:t>
              <w:br/>
              <w:t>)</w:t>
              <w:br/>
              <w:t>self.model.fit(X_train_res, y_train_res)</w:t>
              <w:br/>
              <w:t>probabilities = self.model.predict_proba(X_scaled)[:, 1]</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3.3: </w:t>
      </w:r>
      <w:r>
        <w:rPr>
          <w:rFonts w:eastAsia="Times New Roman" w:cs="Times New Roman"/>
          <w:i/>
          <w:iCs/>
          <w:sz w:val="22"/>
          <w:szCs w:val="22"/>
        </w:rPr>
        <w:t>Random Forest training and threshold tuning</w:t>
      </w:r>
    </w:p>
    <w:p>
      <w:pPr>
        <w:pStyle w:val="Heading2"/>
        <w:keepNext w:val="true"/>
        <w:spacing w:before="280" w:after="140"/>
        <w:rPr/>
      </w:pPr>
      <w:r>
        <w:rPr>
          <w:rFonts w:eastAsia="Times New Roman" w:cs="Times New Roman" w:ascii="Times New Roman" w:hAnsi="Times New Roman"/>
          <w:b/>
          <w:bCs/>
          <w:sz w:val="26"/>
          <w:szCs w:val="26"/>
        </w:rPr>
        <w:t>3.5 Tier 2: LSTM Autoencoder with Temporal Attention</w:t>
      </w:r>
    </w:p>
    <w:p>
      <w:pPr>
        <w:pStyle w:val="Normal"/>
        <w:spacing w:lineRule="auto" w:line="319" w:before="0" w:after="140"/>
        <w:jc w:val="both"/>
        <w:rPr/>
      </w:pPr>
      <w:r>
        <w:rPr>
          <w:rFonts w:eastAsia="Times New Roman" w:cs="Times New Roman"/>
          <w:sz w:val="24"/>
          <w:szCs w:val="24"/>
        </w:rPr>
        <w:t>An autoencoder is trained to compress its input and then rebuild it. When it is trained on normal traffic only, it rebuilds normal windows well and abnormal windows poorly, so the reconstruction error is a score of abnormality. The detector needs no fault labels for training, which makes it suitable for faults that were never seen before.</w:t>
      </w:r>
    </w:p>
    <w:p>
      <w:pPr>
        <w:pStyle w:val="Normal"/>
        <w:spacing w:lineRule="auto" w:line="319" w:before="0" w:after="140"/>
        <w:jc w:val="both"/>
        <w:rPr/>
      </w:pPr>
      <w:r>
        <w:t>The source LSTMAutoencoder class is a PyTorch encoder-decoder: input features pass through 128-unit and 64-unit LSTM encoder layers, temporal attention produces a 64-unit context vector, a 32-unit dense bottleneck compresses it, and 64-unit/128-unit decoder layers reconstruct the sequence. LSTMAutoencoderDetector uses a 10-step interface-isolated window, up to 60 epochs and batch size 128 by default; the Mininet fine-tuning script instantiates the detector with a 10-step window and 50 epochs. The stored model artifact and the feature dimension determine the exact trained instance used at runtime.</w:t>
      </w:r>
    </w:p>
    <w:p>
      <w:pPr>
        <w:pStyle w:val="Normal"/>
        <w:tabs>
          <w:tab w:val="clear" w:pos="720"/>
          <w:tab w:val="center" w:pos="4680" w:leader="none"/>
          <w:tab w:val="right" w:pos="9360" w:leader="none"/>
        </w:tabs>
        <w:spacing w:before="80" w:after="160"/>
        <w:rPr/>
      </w:pPr>
      <w:r>
        <w:rPr>
          <w:rFonts w:eastAsia="Times New Roman" w:cs="Times New Roman"/>
          <w:i/>
          <w:iCs/>
          <w:sz w:val="24"/>
          <w:szCs w:val="24"/>
        </w:rPr>
        <w:tab/>
        <w:t>MSE = (1 / (T · F)) · Σt Σf ( x(t,f) − x̂(t,f) )²</w:t>
      </w:r>
      <w:r>
        <w:rPr>
          <w:rFonts w:eastAsia="Times New Roman" w:cs="Times New Roman"/>
          <w:sz w:val="24"/>
          <w:szCs w:val="24"/>
        </w:rPr>
        <w:tab/>
        <w:t>(3.1)</w:t>
      </w:r>
    </w:p>
    <w:p>
      <w:pPr>
        <w:pStyle w:val="Normal"/>
        <w:spacing w:lineRule="auto" w:line="319" w:before="0" w:after="140"/>
        <w:jc w:val="both"/>
        <w:rPr/>
      </w:pPr>
      <w:r>
        <w:t>The reconstruction score is a weighted mean-squared error. Higher weights are assigned to link-down, packet-dropping, high-latency, error-rate and loss-related features. A centred rolling median of width three suppresses isolated score spikes. During calibration, candidate thresholds from the 85th to 99.9th validation-error percentiles are evaluated and the threshold with the best F1 score is retained. Training uses Adam, gradient clipping, learning-rate reduction on plateau and early stopping.</w:t>
      </w:r>
    </w:p>
    <w:p>
      <w:pPr>
        <w:pStyle w:val="Normal"/>
        <w:spacing w:lineRule="auto" w:line="319" w:before="0" w:after="140"/>
        <w:jc w:val="both"/>
        <w:rPr/>
      </w:pPr>
      <w:r>
        <w:t>The retained simulated benchmark shows the earlier LSTM configuration at F1 0.7284. The current implementation adds temporal attention, domain-weighted scoring, interface-isolated sequences, median smoothing and threshold calibration. In the final Mininet benchmark, the fine-tuned LSTM achieved F1 0.7922, ROC-AUC 0.9812 and PR-AUC 0.9284. Its lower recall on MTU mismatch and packet loss identifies the temporal detector's current sensitivity limits, while its strong performance on link failures, congestion and interface flaps provides a complementary signal to Tier 1.</w:t>
      </w:r>
    </w:p>
    <w:tbl>
      <w:tblPr>
        <w:tblW w:w="9360" w:type="dxa"/>
        <w:jc w:val="center"/>
        <w:tblInd w:w="0" w:type="dxa"/>
        <w:tblLayout w:type="fixed"/>
        <w:tblCellMar>
          <w:top w:w="120" w:type="dxa"/>
          <w:start w:w="160" w:type="dxa"/>
          <w:bottom w:w="120" w:type="dxa"/>
          <w:end w:w="160" w:type="dxa"/>
        </w:tblCellMar>
      </w:tblPr>
      <w:tblGrid>
        <w:gridCol w:w="9360"/>
      </w:tblGrid>
      <w:tr>
        <w:trPr>
          <w:trHeight w:val="28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detection/lstm_autoencoder.py</w:t>
              <w:br/>
              <w:t>scores = self.attn(lstm_out)</w:t>
              <w:br/>
              <w:t>weights = torch.softmax(scores, dim=1)</w:t>
              <w:br/>
              <w:t>context = (lstm_out * weights).sum(dim=1)</w:t>
              <w:br/>
              <w:br/>
              <w:t>weighted = torch.pow(x - x_hat, 2) * weights_tensor</w:t>
              <w:br/>
              <w:t>mse = torch.mean(weighted, dim=[1, 2])</w:t>
              <w:br/>
              <w:t>smoothed = pd.Series(scores).rolling(3, min_periods=1, center=True).median()</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3.4: </w:t>
      </w:r>
      <w:r>
        <w:rPr>
          <w:rFonts w:eastAsia="Times New Roman" w:cs="Times New Roman"/>
          <w:i/>
          <w:iCs/>
          <w:sz w:val="22"/>
          <w:szCs w:val="22"/>
        </w:rPr>
        <w:t>LSTM autoencoder with temporal attention</w:t>
      </w:r>
    </w:p>
    <w:p>
      <w:pPr>
        <w:pStyle w:val="Heading2"/>
        <w:keepNext w:val="true"/>
        <w:spacing w:before="280" w:after="140"/>
        <w:rPr/>
      </w:pPr>
      <w:r>
        <w:rPr>
          <w:rFonts w:eastAsia="Times New Roman" w:cs="Times New Roman" w:ascii="Times New Roman" w:hAnsi="Times New Roman"/>
          <w:b/>
          <w:bCs/>
          <w:sz w:val="26"/>
          <w:szCs w:val="26"/>
        </w:rPr>
        <w:t>3.6 Cascade Decision Logic</w:t>
      </w:r>
    </w:p>
    <w:p>
      <w:pPr>
        <w:pStyle w:val="Normal"/>
        <w:spacing w:lineRule="auto" w:line="319" w:before="0" w:after="140"/>
        <w:jc w:val="both"/>
        <w:rPr/>
      </w:pPr>
      <w:r>
        <w:t>Table 3.3 summarises the implemented routing logic. A high-confidence known-fault prediction goes directly to the agent. When Tier 1 is not decisive, Tier 2 can identify a temporal anomaly and send it to the agent as a potential novel fault. The agent then validates the alert against multiple evidence sources before reporting a root cause or suppressing a false positive.</w:t>
      </w:r>
    </w:p>
    <w:p>
      <w:pPr>
        <w:pStyle w:val="Normal"/>
        <w:keepNext w:val="true"/>
        <w:spacing w:before="200" w:after="100"/>
        <w:jc w:val="center"/>
        <w:rPr/>
      </w:pPr>
      <w:r>
        <w:rPr>
          <w:rFonts w:eastAsia="Times New Roman" w:cs="Times New Roman"/>
          <w:b/>
          <w:bCs/>
          <w:sz w:val="22"/>
          <w:szCs w:val="22"/>
        </w:rPr>
        <w:t xml:space="preserve">Table 3.3: </w:t>
      </w:r>
      <w:r>
        <w:rPr>
          <w:rFonts w:eastAsia="Times New Roman" w:cs="Times New Roman"/>
          <w:i/>
          <w:iCs/>
          <w:sz w:val="22"/>
          <w:szCs w:val="22"/>
        </w:rPr>
        <w:t>Decision logic of the three-tier cascade</w:t>
      </w:r>
    </w:p>
    <w:tbl>
      <w:tblPr>
        <w:tblW w:w="9360" w:type="dxa"/>
        <w:jc w:val="center"/>
        <w:tblInd w:w="0" w:type="dxa"/>
        <w:tblLayout w:type="fixed"/>
        <w:tblCellMar>
          <w:top w:w="50" w:type="dxa"/>
          <w:start w:w="90" w:type="dxa"/>
          <w:bottom w:w="50" w:type="dxa"/>
          <w:end w:w="90" w:type="dxa"/>
        </w:tblCellMar>
      </w:tblPr>
      <w:tblGrid>
        <w:gridCol w:w="2299"/>
        <w:gridCol w:w="2901"/>
        <w:gridCol w:w="4160"/>
      </w:tblGrid>
      <w:tr>
        <w:trPr>
          <w:tblHeader w:val="true"/>
          <w:cantSplit/>
        </w:trPr>
        <w:tc>
          <w:tcPr>
            <w:tcW w:w="22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Tier 1 path</w:t>
            </w:r>
          </w:p>
        </w:tc>
        <w:tc>
          <w:tcPr>
            <w:tcW w:w="29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Tier 2 / Tier 3</w:t>
            </w:r>
          </w:p>
        </w:tc>
        <w:tc>
          <w:tcPr>
            <w:tcW w:w="41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Outcome</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TieredTriagePipeline: anomalous RF probability &gt; 0.85</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LSTM skipped; agent invoked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High-confidence known anomaly is investigated by the agent.</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TieredTriagePipeline: no high-confidence RF anomaly</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LSTM score at or above calibrated threshold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Potential novel/temporal anomaly is investigated by the agent.</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TieredTriagePipeline: no high-confidence RF anomaly</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LSTM score below threshold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No escalation.</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Dashboard replay pipeline</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RF and LSTM are both evaluated; agent runs only for an LSTM threshold crossing</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Dashboard presents both detector verdicts before RCA.</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Agent investigation</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Tool evidence conflicts with alert</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Agent can return FALSE_POSITIVE or another evidence-supported conclusion.</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3.7 Domain Adaptation to Mininet Data</w:t>
      </w:r>
    </w:p>
    <w:p>
      <w:pPr>
        <w:pStyle w:val="Normal"/>
        <w:spacing w:lineRule="auto" w:line="319" w:before="0" w:after="140"/>
        <w:jc w:val="both"/>
        <w:rPr/>
      </w:pPr>
      <w:r>
        <w:rPr>
          <w:rFonts w:eastAsia="Times New Roman" w:cs="Times New Roman"/>
          <w:sz w:val="24"/>
          <w:szCs w:val="24"/>
        </w:rPr>
        <w:t>Models trained only on simulated data may not transfer to a real kernel, so they are adapted with transfer learning [26]. The procedure is:</w:t>
      </w:r>
    </w:p>
    <w:p>
      <w:pPr>
        <w:pStyle w:val="ListParagraph"/>
        <w:numPr>
          <w:ilvl w:val="0"/>
          <w:numId w:val="6"/>
        </w:numPr>
        <w:spacing w:lineRule="auto" w:line="319" w:before="0" w:after="80"/>
        <w:jc w:val="both"/>
        <w:rPr/>
      </w:pPr>
      <w:r>
        <w:rPr>
          <w:rFonts w:eastAsia="Times New Roman" w:cs="Times New Roman"/>
          <w:sz w:val="24"/>
          <w:szCs w:val="24"/>
        </w:rPr>
        <w:t>Re-fit the feature pipeline on the Mininet training split, because feature ranges change.</w:t>
      </w:r>
    </w:p>
    <w:p>
      <w:pPr>
        <w:pStyle w:val="ListParagraph"/>
        <w:numPr>
          <w:ilvl w:val="0"/>
          <w:numId w:val="2"/>
        </w:numPr>
        <w:spacing w:lineRule="auto" w:line="319" w:before="0" w:after="80"/>
        <w:jc w:val="both"/>
        <w:rPr/>
      </w:pPr>
      <w:r>
        <w:rPr>
          <w:rFonts w:eastAsia="Times New Roman" w:cs="Times New Roman"/>
          <w:sz w:val="24"/>
          <w:szCs w:val="24"/>
        </w:rPr>
        <w:t>Retrain the Random Forest on the Mininet training data, after balancing the classes with SMOTE [27], and tune its threshold again on the Mininet validation split. The architecture is reused and the weights are learned again, because the Mininet feature distribution is too different for a small update.</w:t>
      </w:r>
    </w:p>
    <w:p>
      <w:pPr>
        <w:pStyle w:val="ListParagraph"/>
        <w:numPr>
          <w:ilvl w:val="0"/>
          <w:numId w:val="2"/>
        </w:numPr>
        <w:spacing w:lineRule="auto" w:line="319" w:before="0" w:after="80"/>
        <w:jc w:val="both"/>
        <w:rPr/>
      </w:pPr>
      <w:r>
        <w:rPr>
          <w:rFonts w:eastAsia="Times New Roman" w:cs="Times New Roman"/>
          <w:sz w:val="24"/>
          <w:szCs w:val="24"/>
        </w:rPr>
        <w:t>Set the broken feature cpu_utilization to zero before the data reaches the LSTM.</w:t>
      </w:r>
    </w:p>
    <w:p>
      <w:pPr>
        <w:pStyle w:val="ListParagraph"/>
        <w:numPr>
          <w:ilvl w:val="0"/>
          <w:numId w:val="2"/>
        </w:numPr>
        <w:spacing w:lineRule="auto" w:line="319" w:before="0" w:after="80"/>
        <w:jc w:val="both"/>
        <w:rPr/>
      </w:pPr>
      <w:r>
        <w:rPr>
          <w:rFonts w:eastAsia="Times New Roman" w:cs="Times New Roman"/>
          <w:sz w:val="24"/>
          <w:szCs w:val="24"/>
        </w:rPr>
        <w:t>Train the LSTM autoencoder on the clean (normal) Mininet windows and then fine-tune it with a cosine learning-rate decay; recalibrate its threshold on the validation split.</w:t>
      </w:r>
    </w:p>
    <w:p>
      <w:pPr>
        <w:pStyle w:val="ListParagraph"/>
        <w:numPr>
          <w:ilvl w:val="0"/>
          <w:numId w:val="2"/>
        </w:numPr>
        <w:spacing w:lineRule="auto" w:line="319" w:before="0" w:after="80"/>
        <w:jc w:val="both"/>
        <w:rPr/>
      </w:pPr>
      <w:r>
        <w:rPr>
          <w:rFonts w:eastAsia="Times New Roman" w:cs="Times New Roman"/>
          <w:sz w:val="24"/>
          <w:szCs w:val="24"/>
        </w:rPr>
        <w:t>Save the adapted models in a separate folder. The live pipeline loads the Mininet models first and falls back to the base synthetic models if they are missing.</w:t>
      </w:r>
    </w:p>
    <w:p>
      <w:pPr>
        <w:pStyle w:val="Normal"/>
        <w:spacing w:lineRule="auto" w:line="319" w:before="100" w:after="140"/>
        <w:jc w:val="both"/>
        <w:rPr/>
      </w:pPr>
      <w:r>
        <w:t>The adapted models are stored separately from the synthetic models. The live pipeline preferentially loads the Mininet fine-tuned bundle and falls back to the synthetic models when it is unavailable. A watcher script is included for periodic retraining as additional Mininet telemetry is collected.</w:t>
      </w:r>
    </w:p>
    <w:p>
      <w:pPr>
        <w:pStyle w:val="Heading2"/>
        <w:keepNext w:val="true"/>
        <w:spacing w:before="280" w:after="140"/>
        <w:rPr/>
      </w:pPr>
      <w:r>
        <w:rPr>
          <w:rFonts w:eastAsia="Times New Roman" w:cs="Times New Roman" w:ascii="Times New Roman" w:hAnsi="Times New Roman"/>
          <w:b/>
          <w:bCs/>
          <w:sz w:val="26"/>
          <w:szCs w:val="26"/>
        </w:rPr>
        <w:t>3.8 Tier 3: LangGraph ReAct Agent</w:t>
      </w:r>
    </w:p>
    <w:p>
      <w:pPr>
        <w:pStyle w:val="Normal"/>
        <w:spacing w:lineRule="auto" w:line="319" w:before="0" w:after="140"/>
        <w:jc w:val="both"/>
        <w:rPr/>
      </w:pPr>
      <w:r>
        <w:rPr>
          <w:rFonts w:eastAsia="Times New Roman" w:cs="Times New Roman"/>
          <w:sz w:val="24"/>
          <w:szCs w:val="24"/>
        </w:rPr>
        <w:t>The agent follows the ReAct pattern [21]. It receives an alert containing the device, the interface, the fault class suggested by Tier 1 and the Tier 2 score. It then repeats the cycle think, act, observe: it states what it wants to find out, calls a diagnostic tool, reads the result, and decides whether it has enough evidence. The loop ends with a final answer or after a fixed maximum number of steps. Because the report must follow from tool results, the agent cannot simply invent plausible details, which a single-shot prompt would do.</w:t>
      </w:r>
    </w:p>
    <w:p>
      <w:pPr>
        <w:pStyle w:val="Normal"/>
        <w:spacing w:lineRule="auto" w:line="319" w:before="0" w:after="140"/>
        <w:jc w:val="both"/>
        <w:rPr/>
      </w:pPr>
      <w:r>
        <w:t>The agent is implemented as a LangGraph state graph with agent and tool nodes. The configuration sets MAX_AGENT_STEPS to 8 graph iterations. A single model response can request more than one tool, so the saved 25-case benchmark can contain more than eight logged tool calls per investigation; its observed mean is 12.24 calls. The agent has six implemented diagnostic tools: get_metrics, inspect_topology, query_syslogs, trace_path, check_routes and get_anomaly_score.</w:t>
      </w:r>
    </w:p>
    <w:p>
      <w:pPr>
        <w:pStyle w:val="Normal"/>
        <w:keepNext w:val="true"/>
        <w:spacing w:before="200" w:after="100"/>
        <w:jc w:val="center"/>
        <w:rPr/>
      </w:pPr>
      <w:r>
        <w:rPr>
          <w:rFonts w:eastAsia="Times New Roman" w:cs="Times New Roman"/>
          <w:b/>
          <w:bCs/>
          <w:sz w:val="22"/>
          <w:szCs w:val="22"/>
        </w:rPr>
        <w:t xml:space="preserve">Table 3.4: </w:t>
      </w:r>
      <w:r>
        <w:rPr>
          <w:rFonts w:eastAsia="Times New Roman" w:cs="Times New Roman"/>
          <w:i/>
          <w:iCs/>
          <w:sz w:val="22"/>
          <w:szCs w:val="22"/>
        </w:rPr>
        <w:t>Diagnostic tools available to the agent</w:t>
      </w:r>
    </w:p>
    <w:tbl>
      <w:tblPr>
        <w:tblW w:w="9360" w:type="dxa"/>
        <w:jc w:val="center"/>
        <w:tblInd w:w="0" w:type="dxa"/>
        <w:tblLayout w:type="fixed"/>
        <w:tblCellMar>
          <w:top w:w="50" w:type="dxa"/>
          <w:start w:w="90" w:type="dxa"/>
          <w:bottom w:w="50" w:type="dxa"/>
          <w:end w:w="90" w:type="dxa"/>
        </w:tblCellMar>
      </w:tblPr>
      <w:tblGrid>
        <w:gridCol w:w="2399"/>
        <w:gridCol w:w="6961"/>
      </w:tblGrid>
      <w:tr>
        <w:trPr>
          <w:tblHeader w:val="true"/>
          <w:cantSplit/>
        </w:trPr>
        <w:tc>
          <w:tcPr>
            <w:tcW w:w="23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Tool</w:t>
            </w:r>
          </w:p>
        </w:tc>
        <w:tc>
          <w:tcPr>
            <w:tcW w:w="69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Function</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get_metrics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Returns live interface status, counters, latency, loss and CPU metrics.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get_anomaly_score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Returns the LSTM reconstruction score for an interface or all device interfaces.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query_syslogs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Searches recent syslog events by device and optional keyword.</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inspect_topology</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Returns device neighbours, link status, interfaces and bandwidth.</w:t>
            </w:r>
          </w:p>
        </w:tc>
      </w:tr>
      <w:tr>
        <w:tc>
          <w:tcPr>
            <w:tcW w:type="dxa" w:w="2399"/>
          </w:tcPr>
          <w:p>
            <w:r>
              <w:t>trace_path</w:t>
            </w:r>
          </w:p>
        </w:tc>
        <w:tc>
          <w:tcPr>
            <w:tcW w:type="dxa" w:w="6961"/>
          </w:tcPr>
          <w:p>
            <w:r>
              <w:t>Calculates a topology path and identifies unavailable hops.</w:t>
            </w:r>
          </w:p>
        </w:tc>
      </w:tr>
      <w:tr>
        <w:tc>
          <w:tcPr>
            <w:tcW w:type="dxa" w:w="2399"/>
          </w:tcPr>
          <w:p>
            <w:r>
              <w:t>check_routes</w:t>
            </w:r>
          </w:p>
        </w:tc>
        <w:tc>
          <w:tcPr>
            <w:tcW w:type="dxa" w:w="6961"/>
          </w:tcPr>
          <w:p>
            <w:r>
              <w:t>Checks reachable destinations and shortest-path routing information.</w:t>
            </w:r>
          </w:p>
        </w:tc>
      </w:tr>
    </w:tbl>
    <w:p>
      <w:pPr>
        <w:pStyle w:val="Normal"/>
        <w:spacing w:before="0" w:after="160"/>
        <w:rPr/>
      </w:pPr>
      <w:r>
        <w:rPr/>
      </w:r>
    </w:p>
    <w:p>
      <w:pPr>
        <w:pStyle w:val="Normal"/>
        <w:spacing w:lineRule="auto" w:line="319" w:before="0" w:after="140"/>
        <w:jc w:val="both"/>
        <w:rPr/>
      </w:pPr>
      <w:r>
        <w:rPr>
          <w:rFonts w:eastAsia="Times New Roman" w:cs="Times New Roman"/>
          <w:sz w:val="24"/>
          <w:szCs w:val="24"/>
        </w:rPr>
        <w:t>The final output is a structured incident report with the fault type, the impact (the observed metrics), the root cause, the evidence chain of tool calls that supports it, and numbered remediation steps. If the LLM service cannot be reached, for example without an internet connection or when the quota is exhausted, the pipeline uses pre-written fallback report templates so that the demonstration does not stop.</w:t>
      </w:r>
    </w:p>
    <w:tbl>
      <w:tblPr>
        <w:tblW w:w="9360" w:type="dxa"/>
        <w:jc w:val="center"/>
        <w:tblInd w:w="0" w:type="dxa"/>
        <w:tblLayout w:type="fixed"/>
        <w:tblCellMar>
          <w:top w:w="120" w:type="dxa"/>
          <w:start w:w="160" w:type="dxa"/>
          <w:bottom w:w="120" w:type="dxa"/>
          <w:end w:w="160" w:type="dxa"/>
        </w:tblCellMar>
      </w:tblPr>
      <w:tblGrid>
        <w:gridCol w:w="9360"/>
      </w:tblGrid>
      <w:tr>
        <w:trPr>
          <w:trHeight w:val="28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agent/react_agent.py</w:t>
              <w:br/>
              <w:t>graph = StateGraph(AgentState)</w:t>
              <w:br/>
              <w:t>graph.add_node("agent", agent_node)</w:t>
              <w:br/>
              <w:t>graph.add_node("tools", tool_execution_node)</w:t>
              <w:br/>
              <w:t>graph.set_entry_point("agent")</w:t>
              <w:br/>
              <w:t>graph.add_conditional_edges("agent", should_continue,</w:t>
              <w:br/>
              <w:t xml:space="preserve">                            {"tools": "tools", "end": END})</w:t>
              <w:br/>
              <w:t>graph.add_edge("tools", "agent")</w:t>
              <w:br/>
              <w:t>return graph.compile()</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3.5: </w:t>
      </w:r>
      <w:r>
        <w:rPr>
          <w:rFonts w:eastAsia="Times New Roman" w:cs="Times New Roman"/>
          <w:i/>
          <w:iCs/>
          <w:sz w:val="22"/>
          <w:szCs w:val="22"/>
        </w:rPr>
        <w:t>ReAct agent graph and tool registry</w:t>
      </w:r>
    </w:p>
    <w:p>
      <w:pPr>
        <w:pStyle w:val="Heading2"/>
        <w:keepNext w:val="true"/>
        <w:spacing w:before="280" w:after="140"/>
        <w:rPr/>
      </w:pPr>
      <w:r>
        <w:rPr>
          <w:rFonts w:eastAsia="Times New Roman" w:cs="Times New Roman" w:ascii="Times New Roman" w:hAnsi="Times New Roman"/>
          <w:b/>
          <w:bCs/>
          <w:sz w:val="26"/>
          <w:szCs w:val="26"/>
        </w:rPr>
        <w:t>3.9 Live Pipeline and Dashboard</w:t>
      </w:r>
    </w:p>
    <w:p>
      <w:pPr>
        <w:pStyle w:val="Normal"/>
        <w:spacing w:lineRule="auto" w:line="319" w:before="0" w:after="140"/>
        <w:jc w:val="both"/>
        <w:rPr/>
      </w:pPr>
      <w:r>
        <w:t>The Streamlit dashboard contains four views: Live Monitor, Analytics, Benchmark and Mininet Lab. It reads the same telemetry and evaluation artifacts as the pipeline and displays fault distributions, model metrics, per-fault recall, detector verdicts, agent steps and the final RCA report. The Live Monitor exchanges state with the backend through a JSON file written atomically via a temporary file and rename, which prevents the dashboard from reading partial updates.</w:t>
      </w:r>
    </w:p>
    <w:p>
      <w:pPr>
        <w:pStyle w:val="Normal"/>
        <w:spacing w:lineRule="auto" w:line="319" w:before="0" w:after="140"/>
        <w:jc w:val="both"/>
        <w:rPr/>
      </w:pPr>
      <w:r>
        <w:t>The project has two distinct demonstration paths. The Streamlit dashboard always starts demo/inject_fault.py with the --sim flag. This is replay mode: the helper atomically writes the requested fault name to demo/state.json, the pipeline selects saved labelled telemetry for that fault, prepends recent normal context and runs the models. It does not modify a Linux interface or a running Mininet topology. This makes the dashboard demonstration reproducible on machines that cannot create network namespaces.</w:t>
      </w:r>
    </w:p>
    <w:p>
      <w:pPr>
        <w:pStyle w:val="Normal"/>
      </w:pPr>
      <w:r>
        <w:t>Live Mininet collection is implemented separately in emulation/mininet_topo.py. That module is the authoritative physical fault-injection workflow: it uses net.configLinkStatus for link failure and interface flap, tc netem delay/loss for congestion and packet loss, and ip link set dev &lt;interface&gt; mtu 500 for MTU mismatch. The standalone non-simulation helper contains earlier interface names and alternative command values, including an s1-eth5 MTU command that does not match the current four-leaf topology; it is not the path called by the dashboard. Consequently, the report attributes real-emulation results only to the current Mininet collector workflow, while dashboard screenshots document replay behaviour.</w:t>
      </w:r>
    </w:p>
    <w:p>
      <w:pPr>
        <w:pStyle w:val="Normal"/>
      </w:pPr>
      <w:r>
        <w:t>The dashboard interface itself contains four implemented pages: Live Monitor, Telemetry Analytics, Benchmark and Mininet Real-Data Lab. Some dashboard cards use fixed display constants that were current when the user interface was written. Tables in this report use the structured JSON artifacts in results/ as the authoritative source for quantitative claims; screenshots are included as interface evidence rather than a second numerical source.</w:t>
      </w:r>
    </w:p>
    <w:tbl>
      <w:tblPr>
        <w:tblW w:w="8640" w:type="dxa"/>
        <w:jc w:val="center"/>
        <w:tblInd w:w="0" w:type="dxa"/>
        <w:tblLayout w:type="fixed"/>
        <w:tblCellMar>
          <w:top w:w="0" w:type="dxa"/>
          <w:start w:w="108" w:type="dxa"/>
          <w:bottom w:w="0" w:type="dxa"/>
          <w:end w:w="108" w:type="dxa"/>
        </w:tblCellMar>
      </w:tblPr>
      <w:tblGrid>
        <w:gridCol w:w="8640"/>
      </w:tblGrid>
      <w:tr>
        <w:trPr>
          <w:trHeight w:val="26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2453559"/>
                  <wp:docPr id="9" name="Picture 9"/>
                  <wp:cNvGraphicFramePr>
                    <a:graphicFrameLocks noChangeAspect="1"/>
                  </wp:cNvGraphicFramePr>
                  <a:graphic>
                    <a:graphicData uri="http://schemas.openxmlformats.org/drawingml/2006/picture">
                      <pic:pic>
                        <pic:nvPicPr>
                          <pic:cNvPr id="0" name="image (4).png"/>
                          <pic:cNvPicPr/>
                        </pic:nvPicPr>
                        <pic:blipFill>
                          <a:blip r:embed="rId20"/>
                          <a:stretch>
                            <a:fillRect/>
                          </a:stretch>
                        </pic:blipFill>
                        <pic:spPr>
                          <a:xfrm>
                            <a:off x="0" y="0"/>
                            <a:ext cx="5212080" cy="2453559"/>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3.3: </w:t>
      </w:r>
      <w:r>
        <w:rPr>
          <w:rFonts w:eastAsia="Times New Roman" w:cs="Times New Roman"/>
          <w:i/>
          <w:iCs/>
          <w:sz w:val="22"/>
          <w:szCs w:val="22"/>
        </w:rPr>
        <w:t>Live pipeline state machine (idle, fault cycle, recover)</w:t>
      </w:r>
    </w:p>
    <w:p>
      <w:pPr>
        <w:pStyle w:val="Heading2"/>
        <w:keepNext w:val="true"/>
        <w:spacing w:before="280" w:after="140"/>
        <w:rPr/>
      </w:pPr>
      <w:r>
        <w:rPr>
          <w:rFonts w:eastAsia="Times New Roman" w:cs="Times New Roman" w:ascii="Times New Roman" w:hAnsi="Times New Roman"/>
          <w:b/>
          <w:bCs/>
          <w:sz w:val="26"/>
          <w:szCs w:val="26"/>
        </w:rPr>
        <w:t>3.10 Implementation Environment</w:t>
      </w:r>
    </w:p>
    <w:p>
      <w:pPr>
        <w:pStyle w:val="Normal"/>
        <w:keepNext w:val="true"/>
        <w:spacing w:before="200" w:after="100"/>
        <w:jc w:val="center"/>
        <w:rPr/>
      </w:pPr>
      <w:r>
        <w:rPr>
          <w:rFonts w:eastAsia="Times New Roman" w:cs="Times New Roman"/>
          <w:b/>
          <w:bCs/>
          <w:sz w:val="22"/>
          <w:szCs w:val="22"/>
        </w:rPr>
        <w:t xml:space="preserve">Table 3.5: </w:t>
      </w:r>
      <w:r>
        <w:rPr>
          <w:rFonts w:eastAsia="Times New Roman" w:cs="Times New Roman"/>
          <w:i/>
          <w:iCs/>
          <w:sz w:val="22"/>
          <w:szCs w:val="22"/>
        </w:rPr>
        <w:t>Software stack</w:t>
      </w:r>
    </w:p>
    <w:tbl>
      <w:tblPr>
        <w:tblW w:w="9360" w:type="dxa"/>
        <w:jc w:val="center"/>
        <w:tblInd w:w="0" w:type="dxa"/>
        <w:tblLayout w:type="fixed"/>
        <w:tblCellMar>
          <w:top w:w="50" w:type="dxa"/>
          <w:start w:w="90" w:type="dxa"/>
          <w:bottom w:w="50" w:type="dxa"/>
          <w:end w:w="90" w:type="dxa"/>
        </w:tblCellMar>
      </w:tblPr>
      <w:tblGrid>
        <w:gridCol w:w="2600"/>
        <w:gridCol w:w="6760"/>
      </w:tblGrid>
      <w:tr>
        <w:trPr>
          <w:tblHeader w:val="true"/>
          <w:cantSplit/>
        </w:trPr>
        <w:tc>
          <w:tcPr>
            <w:tcW w:w="2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Component</w:t>
            </w:r>
          </w:p>
        </w:tc>
        <w:tc>
          <w:tcPr>
            <w:tcW w:w="67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Tools</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Language and runtime</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Python 3.x; PyTorch CPU execution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Machine learning</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scikit-learn, imbalanced-learn, PyTorch</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Agent</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LangChain, LangGraph; configurable Gemini, OpenAI or Ollama provider</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Data handling</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pandas, NumPy, PyArrow, joblib</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Emulation</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Mininet, Open vSwitch, Linux ip and tc/netem</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Dashboard</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Streamlit and Plotly</w:t>
            </w:r>
          </w:p>
        </w:tc>
      </w:tr>
    </w:tbl>
    <w:p>
      <w:pPr>
        <w:pStyle w:val="Normal"/>
        <w:spacing w:before="0" w:after="160"/>
        <w:rPr/>
      </w:pPr>
      <w:r>
        <w:rPr/>
      </w:r>
    </w:p>
    <w:p>
      <w:pPr>
        <w:pStyle w:val="Normal"/>
        <w:keepNext w:val="true"/>
        <w:spacing w:before="200" w:after="100"/>
        <w:jc w:val="center"/>
        <w:rPr/>
      </w:pPr>
      <w:r>
        <w:rPr>
          <w:rFonts w:eastAsia="Times New Roman" w:cs="Times New Roman"/>
          <w:b/>
          <w:bCs/>
          <w:sz w:val="22"/>
          <w:szCs w:val="22"/>
        </w:rPr>
        <w:t xml:space="preserve">Table 3.6: </w:t>
      </w:r>
      <w:r>
        <w:rPr>
          <w:rFonts w:eastAsia="Times New Roman" w:cs="Times New Roman"/>
          <w:i/>
          <w:iCs/>
          <w:sz w:val="22"/>
          <w:szCs w:val="22"/>
        </w:rPr>
        <w:t>Summary of the configuration of the three tiers</w:t>
      </w:r>
    </w:p>
    <w:tbl>
      <w:tblPr>
        <w:tblW w:w="9360" w:type="dxa"/>
        <w:jc w:val="center"/>
        <w:tblInd w:w="0" w:type="dxa"/>
        <w:tblLayout w:type="fixed"/>
        <w:tblCellMar>
          <w:top w:w="50" w:type="dxa"/>
          <w:start w:w="90" w:type="dxa"/>
          <w:bottom w:w="50" w:type="dxa"/>
          <w:end w:w="90" w:type="dxa"/>
        </w:tblCellMar>
      </w:tblPr>
      <w:tblGrid>
        <w:gridCol w:w="2600"/>
        <w:gridCol w:w="6760"/>
      </w:tblGrid>
      <w:tr>
        <w:trPr>
          <w:tblHeader w:val="true"/>
          <w:cantSplit/>
        </w:trPr>
        <w:tc>
          <w:tcPr>
            <w:tcW w:w="2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Item</w:t>
            </w:r>
          </w:p>
        </w:tc>
        <w:tc>
          <w:tcPr>
            <w:tcW w:w="67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Configuration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 1: Random Forest</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Generic baseline: 200 trees and balanced weights; Mininet fine-tuning: 500 trees, controlled SMOTE and validation-derived threshold.</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 2: LSTM autoencoder</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10-step interface-isolated windows; source architecture 128/64 encoder, temporal attention, 32-unit bottleneck, 64/128 decoder; weighted MSE and median smoothing.</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 3: ReAct agent</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LangGraph agent/tool graph; MAX_AGENT_STEPS=8 graph iterations; six diagnostic tools; logged tool-call count may exceed eight when a response requests multiple tools.</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Features</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21 base telemetry features plus ten Mininet-adaptation features for latency, drops, link state and zero traffic.</w:t>
            </w:r>
          </w:p>
        </w:tc>
      </w:tr>
    </w:tbl>
    <w:p>
      <w:pPr>
        <w:pStyle w:val="Normal"/>
        <w:spacing w:before="0" w:after="160"/>
        <w:rPr/>
      </w:pPr>
      <w:r>
        <w:rPr/>
      </w:r>
    </w:p>
    <w:p>
      <w:pPr>
        <w:pStyle w:val="Normal"/>
        <w:spacing w:lineRule="auto" w:line="319" w:before="0" w:after="140"/>
        <w:jc w:val="both"/>
        <w:rPr/>
      </w:pPr>
      <w:r>
        <w:t>The LSTM uses two encoder layers (128 and 64 hidden units), a 32-unit bottleneck, two decoder layers, a 10-step window, batch size 128 and up to 60 epochs. The agent has an eight-tool-call budget. Experiment-specific thresholds are calibrated from validation data and are stored with the corresponding trained model bundle.</w:t>
      </w:r>
    </w:p>
    <w:p>
      <w:pPr>
        <w:pStyle w:val="Heading2"/>
        <w:keepNext w:val="true"/>
        <w:spacing w:before="280" w:after="140"/>
        <w:rPr/>
      </w:pPr>
      <w:r>
        <w:rPr>
          <w:rFonts w:eastAsia="Times New Roman" w:cs="Times New Roman" w:ascii="Times New Roman" w:hAnsi="Times New Roman"/>
          <w:b/>
          <w:bCs/>
          <w:sz w:val="26"/>
          <w:szCs w:val="26"/>
        </w:rPr>
        <w:t>3.11 Evaluation Metrics</w:t>
      </w:r>
    </w:p>
    <w:p>
      <w:pPr>
        <w:pStyle w:val="Normal"/>
        <w:spacing w:lineRule="auto" w:line="319" w:before="0" w:after="140"/>
        <w:jc w:val="both"/>
        <w:rPr/>
      </w:pPr>
      <w:r>
        <w:rPr>
          <w:rFonts w:eastAsia="Times New Roman" w:cs="Times New Roman"/>
          <w:sz w:val="24"/>
          <w:szCs w:val="24"/>
        </w:rPr>
        <w:t>Detection is evaluated with precision, recall and the F1 score, together with the area under the ROC curve (ROC-AUC) and the area under the precision-recall curve (PR-AUC). Because faults are rare, PR-AUC and precision are more informative than accuracy.</w:t>
      </w:r>
    </w:p>
    <w:p>
      <w:pPr>
        <w:pStyle w:val="Normal"/>
        <w:tabs>
          <w:tab w:val="clear" w:pos="720"/>
          <w:tab w:val="center" w:pos="4680" w:leader="none"/>
          <w:tab w:val="right" w:pos="9360" w:leader="none"/>
        </w:tabs>
        <w:spacing w:before="80" w:after="160"/>
        <w:rPr/>
      </w:pPr>
      <w:r>
        <w:rPr>
          <w:rFonts w:eastAsia="Times New Roman" w:cs="Times New Roman"/>
          <w:i/>
          <w:iCs/>
          <w:sz w:val="24"/>
          <w:szCs w:val="24"/>
        </w:rPr>
        <w:tab/>
        <w:t>Precision = TP / (TP + FP)          Recall = TP / (TP + FN)</w:t>
      </w:r>
      <w:r>
        <w:rPr>
          <w:rFonts w:eastAsia="Times New Roman" w:cs="Times New Roman"/>
          <w:sz w:val="24"/>
          <w:szCs w:val="24"/>
        </w:rPr>
        <w:tab/>
        <w:t>(3.2)</w:t>
      </w:r>
    </w:p>
    <w:p>
      <w:pPr>
        <w:pStyle w:val="Normal"/>
        <w:tabs>
          <w:tab w:val="clear" w:pos="720"/>
          <w:tab w:val="center" w:pos="4680" w:leader="none"/>
          <w:tab w:val="right" w:pos="9360" w:leader="none"/>
        </w:tabs>
        <w:spacing w:before="80" w:after="160"/>
        <w:rPr/>
      </w:pPr>
      <w:r>
        <w:rPr>
          <w:rFonts w:eastAsia="Times New Roman" w:cs="Times New Roman"/>
          <w:i/>
          <w:iCs/>
          <w:sz w:val="24"/>
          <w:szCs w:val="24"/>
        </w:rPr>
        <w:tab/>
        <w:t>F1 = 2 · Precision · Recall / (Precision + Recall)</w:t>
      </w:r>
      <w:r>
        <w:rPr>
          <w:rFonts w:eastAsia="Times New Roman" w:cs="Times New Roman"/>
          <w:sz w:val="24"/>
          <w:szCs w:val="24"/>
        </w:rPr>
        <w:tab/>
        <w:t>(3.3)</w:t>
      </w:r>
    </w:p>
    <w:p>
      <w:pPr>
        <w:pStyle w:val="Normal"/>
        <w:spacing w:lineRule="auto" w:line="319" w:before="0" w:after="140"/>
        <w:jc w:val="both"/>
        <w:rPr/>
      </w:pPr>
      <w:r>
        <w:rPr>
          <w:rFonts w:eastAsia="Times New Roman" w:cs="Times New Roman"/>
          <w:sz w:val="24"/>
          <w:szCs w:val="24"/>
        </w:rPr>
        <w:t xml:space="preserve">The agent is evaluated by </w:t>
      </w:r>
      <w:r>
        <w:rPr>
          <w:rFonts w:eastAsia="Times New Roman" w:cs="Times New Roman"/>
          <w:i/>
          <w:iCs/>
          <w:sz w:val="24"/>
          <w:szCs w:val="24"/>
        </w:rPr>
        <w:t>RCA accuracy</w:t>
      </w:r>
      <w:r>
        <w:rPr>
          <w:rFonts w:eastAsia="Times New Roman" w:cs="Times New Roman"/>
          <w:sz w:val="24"/>
          <w:szCs w:val="24"/>
        </w:rPr>
        <w:t>, defined as the fraction of test incidents in which the fault class in its report exactly matches the ground-truth label, and by the end-to-end time from the injected fault to the finished report. The target is under 30 seconds.</w:t>
      </w:r>
      <w:r>
        <w:br w:type="page"/>
      </w:r>
    </w:p>
    <w:p>
      <w:pPr>
        <w:pStyle w:val="Normal"/>
        <w:spacing w:before="1200" w:after="120"/>
        <w:jc w:val="center"/>
        <w:rPr/>
      </w:pPr>
      <w:r>
        <w:rPr>
          <w:rFonts w:eastAsia="Times New Roman" w:cs="Times New Roman"/>
          <w:b/>
          <w:bCs/>
          <w:i/>
          <w:iCs/>
          <w:sz w:val="32"/>
          <w:szCs w:val="32"/>
        </w:rPr>
        <w:t>CHAPTER 4</w:t>
      </w:r>
    </w:p>
    <w:p>
      <w:pPr>
        <w:pStyle w:val="Heading1"/>
        <w:spacing w:before="0" w:after="480"/>
        <w:jc w:val="center"/>
        <w:rPr/>
      </w:pPr>
      <w:r>
        <w:rPr>
          <w:rFonts w:eastAsia="Times New Roman" w:cs="Times New Roman" w:ascii="Times New Roman" w:hAnsi="Times New Roman"/>
          <w:b/>
          <w:bCs/>
          <w:i/>
          <w:iCs/>
          <w:sz w:val="36"/>
          <w:szCs w:val="36"/>
        </w:rPr>
        <w:t>Results and Discussion</w:t>
      </w:r>
    </w:p>
    <w:p>
      <w:pPr>
        <w:pStyle w:val="Normal"/>
        <w:spacing w:lineRule="auto" w:line="319" w:before="0" w:after="140"/>
        <w:jc w:val="both"/>
        <w:rPr/>
      </w:pPr>
      <w:r>
        <w:t>This chapter reports the retained evaluation artifacts for the simulated baseline, the augmented Mininet validation workflow and the agent demonstrations. Screenshot boxes are deliberately retained so that final run outputs and dashboard captures can be inserted without changing the report template.</w:t>
      </w:r>
    </w:p>
    <w:p>
      <w:pPr>
        <w:pStyle w:val="Heading2"/>
        <w:keepNext w:val="true"/>
        <w:spacing w:before="280" w:after="140"/>
        <w:rPr/>
      </w:pPr>
      <w:r>
        <w:rPr>
          <w:rFonts w:eastAsia="Times New Roman" w:cs="Times New Roman" w:ascii="Times New Roman" w:hAnsi="Times New Roman"/>
          <w:b/>
          <w:bCs/>
          <w:sz w:val="26"/>
          <w:szCs w:val="26"/>
        </w:rPr>
        <w:t>4.1 Experimental Setup</w:t>
      </w:r>
    </w:p>
    <w:p>
      <w:pPr>
        <w:pStyle w:val="Normal"/>
        <w:spacing w:lineRule="auto" w:line="319" w:before="0" w:after="140"/>
        <w:jc w:val="both"/>
        <w:rPr/>
      </w:pPr>
      <w:r>
        <w:t>The experiments use the simulated telemetry corpus for baseline detection, then use the augmented Mininet corpus to evaluate a more realistic deployment setting. The Mininet augmentation retains authentic Open vSwitch counter data and substitutes only unreliable probe signals. The dashboard exposes the same benchmark and Mininet results used in this report.</w:t>
      </w:r>
    </w:p>
    <w:p>
      <w:pPr>
        <w:pStyle w:val="Normal"/>
        <w:keepNext w:val="true"/>
        <w:spacing w:before="200" w:after="100"/>
        <w:jc w:val="center"/>
        <w:rPr/>
      </w:pPr>
      <w:r>
        <w:rPr>
          <w:rFonts w:eastAsia="Times New Roman" w:cs="Times New Roman"/>
          <w:b/>
          <w:bCs/>
          <w:sz w:val="22"/>
          <w:szCs w:val="22"/>
        </w:rPr>
        <w:t xml:space="preserve">Table 4.1: </w:t>
      </w:r>
      <w:r>
        <w:rPr>
          <w:rFonts w:eastAsia="Times New Roman" w:cs="Times New Roman"/>
          <w:i/>
          <w:iCs/>
          <w:sz w:val="22"/>
          <w:szCs w:val="22"/>
        </w:rPr>
        <w:t>Datasets used in the experiments</w:t>
      </w:r>
    </w:p>
    <w:tbl>
      <w:tblPr>
        <w:tblW w:w="9360" w:type="dxa"/>
        <w:jc w:val="center"/>
        <w:tblInd w:w="0" w:type="dxa"/>
        <w:tblLayout w:type="fixed"/>
        <w:tblCellMar>
          <w:top w:w="50" w:type="dxa"/>
          <w:start w:w="90" w:type="dxa"/>
          <w:bottom w:w="50" w:type="dxa"/>
          <w:end w:w="90" w:type="dxa"/>
        </w:tblCellMar>
      </w:tblPr>
      <w:tblGrid>
        <w:gridCol w:w="2000"/>
        <w:gridCol w:w="3000"/>
        <w:gridCol w:w="1099"/>
        <w:gridCol w:w="3261"/>
      </w:tblGrid>
      <w:tr>
        <w:trPr>
          <w:tblHeader w:val="true"/>
          <w:cantSplit/>
        </w:trPr>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Dataset</w:t>
            </w:r>
          </w:p>
        </w:tc>
        <w:tc>
          <w:tcPr>
            <w:tcW w:w="3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Description</w:t>
            </w:r>
          </w:p>
        </w:tc>
        <w:tc>
          <w:tcPr>
            <w:tcW w:w="10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Rows</w:t>
            </w:r>
          </w:p>
        </w:tc>
        <w:tc>
          <w:tcPr>
            <w:tcW w:w="32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Notes</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Python simulator</w:t>
            </w:r>
          </w:p>
        </w:tc>
        <w:tc>
          <w:tcPr>
            <w:tcW w:w="3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SNMP-style spine-leaf and hierarchical WAN telemetry</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760,320</w:t>
            </w:r>
          </w:p>
        </w:tc>
        <w:tc>
          <w:tcPr>
            <w:tcW w:w="32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15-second polling; labelled fault scenarios and syslogs.</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Mininet augmented</w:t>
            </w:r>
          </w:p>
        </w:tc>
        <w:tc>
          <w:tcPr>
            <w:tcW w:w="3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OVS spine-leaf counters with repaired probe signals</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73,240</w:t>
            </w:r>
          </w:p>
        </w:tc>
        <w:tc>
          <w:tcPr>
            <w:tcW w:w="32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Held-out test split: 14,650 records; five fault classes.</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4.2 Detection Results on Simulated Data</w:t>
      </w:r>
    </w:p>
    <w:p>
      <w:pPr>
        <w:pStyle w:val="Normal"/>
        <w:spacing w:lineRule="auto" w:line="319" w:before="0" w:after="140"/>
        <w:jc w:val="both"/>
        <w:rPr/>
      </w:pPr>
      <w:r>
        <w:t>The historical simulated benchmark artifact records an LSTM autoencoder F1 score of 0.7284 and Random Forest F1 score of 0.9568. These values are retained as a baseline only. The stronger final metrics reported later in this chapter are from the current Mininet fine-tuning workflow and should not be interpreted as directly comparable to the older simulated split.</w:t>
      </w:r>
    </w:p>
    <w:p>
      <w:pPr>
        <w:pStyle w:val="Normal"/>
        <w:keepNext w:val="true"/>
        <w:spacing w:before="200" w:after="100"/>
        <w:jc w:val="center"/>
        <w:rPr/>
      </w:pPr>
      <w:r>
        <w:rPr>
          <w:rFonts w:eastAsia="Times New Roman" w:cs="Times New Roman"/>
          <w:b/>
          <w:bCs/>
          <w:sz w:val="22"/>
          <w:szCs w:val="22"/>
        </w:rPr>
        <w:t xml:space="preserve">Table 4.2: </w:t>
      </w:r>
      <w:r>
        <w:rPr>
          <w:rFonts w:eastAsia="Times New Roman" w:cs="Times New Roman"/>
          <w:i/>
          <w:iCs/>
          <w:sz w:val="22"/>
          <w:szCs w:val="22"/>
        </w:rPr>
        <w:t>Test-set metrics on the simulated data (152,064 rows, 164 anomalous rows)</w:t>
      </w:r>
    </w:p>
    <w:tbl>
      <w:tblPr>
        <w:tblW w:w="9360" w:type="dxa"/>
        <w:jc w:val="center"/>
        <w:tblInd w:w="0" w:type="dxa"/>
        <w:tblLayout w:type="fixed"/>
        <w:tblCellMar>
          <w:top w:w="50" w:type="dxa"/>
          <w:start w:w="90" w:type="dxa"/>
          <w:bottom w:w="50" w:type="dxa"/>
          <w:end w:w="90" w:type="dxa"/>
        </w:tblCellMar>
      </w:tblPr>
      <w:tblGrid>
        <w:gridCol w:w="2999"/>
        <w:gridCol w:w="3181"/>
        <w:gridCol w:w="3180"/>
      </w:tblGrid>
      <w:tr>
        <w:trPr>
          <w:tblHeader w:val="true"/>
          <w:cantSplit/>
        </w:trPr>
        <w:tc>
          <w:tcPr>
            <w:tcW w:w="29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Metric</w:t>
            </w:r>
          </w:p>
        </w:tc>
        <w:tc>
          <w:tcPr>
            <w:tcW w:w="318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Tier 1: Random Forest</w:t>
            </w:r>
          </w:p>
        </w:tc>
        <w:tc>
          <w:tcPr>
            <w:tcW w:w="318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Tier 2: LSTM autoencoder</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ROC-AUC</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0.9902</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0.9992</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PR-AUC</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0.9679</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0.8044</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Precision</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0.9787</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0.5743</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Recall</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0.9360</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0.9956</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F1 score</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0.9568</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0.7284</w:t>
            </w:r>
          </w:p>
        </w:tc>
      </w:tr>
    </w:tbl>
    <w:p>
      <w:pPr>
        <w:pStyle w:val="Normal"/>
        <w:spacing w:before="0" w:after="160"/>
        <w:rPr/>
      </w:pPr>
      <w:r>
        <w:rPr/>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1096163"/>
                  <wp:docPr id="10" name="Picture 10"/>
                  <wp:cNvGraphicFramePr>
                    <a:graphicFrameLocks noChangeAspect="1"/>
                  </wp:cNvGraphicFramePr>
                  <a:graphic>
                    <a:graphicData uri="http://schemas.openxmlformats.org/drawingml/2006/picture">
                      <pic:pic>
                        <pic:nvPicPr>
                          <pic:cNvPr id="0" name="image (1).png"/>
                          <pic:cNvPicPr/>
                        </pic:nvPicPr>
                        <pic:blipFill>
                          <a:blip r:embed="rId21"/>
                          <a:stretch>
                            <a:fillRect/>
                          </a:stretch>
                        </pic:blipFill>
                        <pic:spPr>
                          <a:xfrm>
                            <a:off x="0" y="0"/>
                            <a:ext cx="5212080" cy="1096163"/>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4.1: </w:t>
      </w:r>
      <w:r>
        <w:rPr>
          <w:rFonts w:eastAsia="Times New Roman" w:cs="Times New Roman"/>
          <w:i/>
          <w:iCs/>
          <w:sz w:val="22"/>
          <w:szCs w:val="22"/>
        </w:rPr>
        <w:t>Evaluation output for both detectors on the simulated test set</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1677680"/>
                  <wp:docPr id="11" name="Picture 11"/>
                  <wp:cNvGraphicFramePr>
                    <a:graphicFrameLocks noChangeAspect="1"/>
                  </wp:cNvGraphicFramePr>
                  <a:graphic>
                    <a:graphicData uri="http://schemas.openxmlformats.org/drawingml/2006/picture">
                      <pic:pic>
                        <pic:nvPicPr>
                          <pic:cNvPr id="0" name="image (3).png"/>
                          <pic:cNvPicPr/>
                        </pic:nvPicPr>
                        <pic:blipFill>
                          <a:blip r:embed="rId22"/>
                          <a:stretch>
                            <a:fillRect/>
                          </a:stretch>
                        </pic:blipFill>
                        <pic:spPr>
                          <a:xfrm>
                            <a:off x="0" y="0"/>
                            <a:ext cx="5212080" cy="1677680"/>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4.2: </w:t>
      </w:r>
      <w:r>
        <w:rPr>
          <w:rFonts w:eastAsia="Times New Roman" w:cs="Times New Roman"/>
          <w:i/>
          <w:iCs/>
          <w:sz w:val="22"/>
          <w:szCs w:val="22"/>
        </w:rPr>
        <w:t>Confusion matrices of the Random Forest and the LSTM autoencoder</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5178987"/>
                  <wp:docPr id="12" name="Picture 12"/>
                  <wp:cNvGraphicFramePr>
                    <a:graphicFrameLocks noChangeAspect="1"/>
                  </wp:cNvGraphicFramePr>
                  <a:graphic>
                    <a:graphicData uri="http://schemas.openxmlformats.org/drawingml/2006/picture">
                      <pic:pic>
                        <pic:nvPicPr>
                          <pic:cNvPr id="0" name="image (2).png"/>
                          <pic:cNvPicPr/>
                        </pic:nvPicPr>
                        <pic:blipFill>
                          <a:blip r:embed="rId23"/>
                          <a:stretch>
                            <a:fillRect/>
                          </a:stretch>
                        </pic:blipFill>
                        <pic:spPr>
                          <a:xfrm>
                            <a:off x="0" y="0"/>
                            <a:ext cx="5212080" cy="5178987"/>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4.3: </w:t>
      </w:r>
      <w:r>
        <w:rPr>
          <w:rFonts w:eastAsia="Times New Roman" w:cs="Times New Roman"/>
          <w:i/>
          <w:iCs/>
          <w:sz w:val="22"/>
          <w:szCs w:val="22"/>
        </w:rPr>
        <w:t>ROC and precision-recall curves of the two detectors</w:t>
      </w:r>
    </w:p>
    <w:p>
      <w:pPr>
        <w:pStyle w:val="Normal"/>
        <w:spacing w:lineRule="auto" w:line="319" w:before="0" w:after="140"/>
        <w:jc w:val="both"/>
        <w:rPr/>
      </w:pPr>
      <w:r>
        <w:t>The simulated baseline confirms that the feature pipeline can distinguish injected fault signatures. However, it is not a substitute for emulation: the augmented Mininet evaluation is the principal evidence for the final implementation because it includes real Open vSwitch counter behaviour and collection artefacts.</w:t>
      </w:r>
    </w:p>
    <w:p>
      <w:pPr>
        <w:pStyle w:val="Heading2"/>
        <w:keepNext w:val="true"/>
        <w:spacing w:before="280" w:after="140"/>
        <w:rPr/>
      </w:pPr>
      <w:r>
        <w:rPr>
          <w:rFonts w:eastAsia="Times New Roman" w:cs="Times New Roman" w:ascii="Times New Roman" w:hAnsi="Times New Roman"/>
          <w:b/>
          <w:bCs/>
          <w:sz w:val="26"/>
          <w:szCs w:val="26"/>
        </w:rPr>
        <w:t>4.3 Improvement of the LSTM Autoencoder</w:t>
      </w:r>
    </w:p>
    <w:p>
      <w:pPr>
        <w:pStyle w:val="Normal"/>
        <w:spacing w:lineRule="auto" w:line="319" w:before="0" w:after="140"/>
        <w:jc w:val="both"/>
        <w:rPr/>
      </w:pPr>
      <w:r>
        <w:t>The initial retained LSTM benchmark reached F1 0.7284. The final Mininet benchmark reports F1 0.7922 after the current temporal-attention, weighted-loss, interface-isolated window, smoothing and calibrated-threshold workflow. The increase is modest because the final evaluation uses noisier kernel telemetry rather than the earlier clean simulation, but it demonstrates that the model remains useful after domain adaptation.</w:t>
      </w:r>
    </w:p>
    <w:p>
      <w:pPr>
        <w:pStyle w:val="Normal"/>
        <w:keepNext w:val="true"/>
        <w:spacing w:before="200" w:after="100"/>
        <w:jc w:val="center"/>
        <w:rPr/>
      </w:pPr>
      <w:r>
        <w:rPr>
          <w:rFonts w:eastAsia="Times New Roman" w:cs="Times New Roman"/>
          <w:b/>
          <w:bCs/>
          <w:sz w:val="22"/>
          <w:szCs w:val="22"/>
        </w:rPr>
        <w:t xml:space="preserve">Table 4.3: </w:t>
      </w:r>
      <w:r>
        <w:rPr>
          <w:rFonts w:eastAsia="Times New Roman" w:cs="Times New Roman"/>
          <w:i/>
          <w:iCs/>
          <w:sz w:val="22"/>
          <w:szCs w:val="22"/>
        </w:rPr>
        <w:t>Effect of the refinements on the F1 score of the LSTM autoencoder</w:t>
      </w:r>
    </w:p>
    <w:tbl>
      <w:tblPr>
        <w:tblW w:w="9360" w:type="dxa"/>
        <w:jc w:val="center"/>
        <w:tblInd w:w="0" w:type="dxa"/>
        <w:tblLayout w:type="fixed"/>
        <w:tblCellMar>
          <w:top w:w="50" w:type="dxa"/>
          <w:start w:w="90" w:type="dxa"/>
          <w:bottom w:w="50" w:type="dxa"/>
          <w:end w:w="90" w:type="dxa"/>
        </w:tblCellMar>
      </w:tblPr>
      <w:tblGrid>
        <w:gridCol w:w="3700"/>
        <w:gridCol w:w="1500"/>
        <w:gridCol w:w="4160"/>
      </w:tblGrid>
      <w:tr>
        <w:trPr>
          <w:tblHeader w:val="true"/>
          <w:cantSplit/>
        </w:trPr>
        <w:tc>
          <w:tcPr>
            <w:tcW w:w="37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Configuration</w:t>
            </w:r>
          </w:p>
        </w:tc>
        <w:tc>
          <w:tcPr>
            <w:tcW w:w="1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F1 score</w:t>
            </w:r>
          </w:p>
        </w:tc>
        <w:tc>
          <w:tcPr>
            <w:tcW w:w="41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Remark</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Retained simulated baseline LSTM</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0.7284</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Recorded benchmark artifact before current refinements.</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Current temporal-attention LSTM</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0.7922</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Fine-tuned Mininet benchmark; ROC-AUC 0.9812 and PR-AUC 0.9284.</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Attention and weighted loss</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Integrated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Prioritises informative steps and fault-relevant features.</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Interface-isolated windows</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Integrated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Prevents cross-interface sequence contamination.</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Median smoothing and calibrated threshold</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Integrated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Reduces isolated false-positive score spikes.</w:t>
            </w:r>
          </w:p>
        </w:tc>
      </w:tr>
    </w:tbl>
    <w:p>
      <w:pPr>
        <w:pStyle w:val="Normal"/>
        <w:spacing w:before="0" w:after="160"/>
        <w:rPr/>
      </w:pPr>
      <w:r>
        <w:rPr/>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120640" cy="1920240"/>
                  <wp:docPr id="13" name="Picture 13"/>
                  <wp:cNvGraphicFramePr>
                    <a:graphicFrameLocks noChangeAspect="1"/>
                  </wp:cNvGraphicFramePr>
                  <a:graphic>
                    <a:graphicData uri="http://schemas.openxmlformats.org/drawingml/2006/picture">
                      <pic:pic>
                        <pic:nvPicPr>
                          <pic:cNvPr id="0" name="reconstruction_error_distribution.png"/>
                          <pic:cNvPicPr/>
                        </pic:nvPicPr>
                        <pic:blipFill>
                          <a:blip r:embed="rId24"/>
                          <a:stretch>
                            <a:fillRect/>
                          </a:stretch>
                        </pic:blipFill>
                        <pic:spPr>
                          <a:xfrm>
                            <a:off x="0" y="0"/>
                            <a:ext cx="5120640" cy="1920240"/>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4.4: </w:t>
      </w:r>
      <w:r>
        <w:rPr>
          <w:rFonts w:eastAsia="Times New Roman" w:cs="Times New Roman"/>
          <w:i/>
          <w:iCs/>
          <w:sz w:val="22"/>
          <w:szCs w:val="22"/>
        </w:rPr>
        <w:t>Training and validation loss of the LSTM autoencoder, and distribution of reconstruction errors with the threshold</w:t>
      </w:r>
    </w:p>
    <w:p>
      <w:pPr>
        <w:pStyle w:val="Heading2"/>
        <w:keepNext w:val="true"/>
        <w:spacing w:before="280" w:after="140"/>
        <w:rPr/>
      </w:pPr>
      <w:r>
        <w:rPr>
          <w:rFonts w:eastAsia="Times New Roman" w:cs="Times New Roman" w:ascii="Times New Roman" w:hAnsi="Times New Roman"/>
          <w:b/>
          <w:bCs/>
          <w:sz w:val="26"/>
          <w:szCs w:val="26"/>
        </w:rPr>
        <w:t>4.4 False-Positive Suppression by the Cascade</w:t>
      </w:r>
    </w:p>
    <w:p>
      <w:pPr>
        <w:pStyle w:val="Normal"/>
        <w:spacing w:lineRule="auto" w:line="319" w:before="0" w:after="140"/>
        <w:jc w:val="both"/>
        <w:rPr/>
      </w:pPr>
      <w:r>
        <w:t>The live dashboard exposes the operational funnel: rows ingested, Tier 1 flags, Tier 2 flags and agent investigations. The underlying triage route is confidence-aware: high-confidence Tier 1 alerts reach the agent immediately, whereas lower-confidence observations require a Tier 2 temporal anomaly before investigation. The retained dashboard state schema does not include one fixed experiment-wide aggregate funnel count, so Table 4.4 records the available operational counters.</w:t>
      </w:r>
    </w:p>
    <w:p>
      <w:pPr>
        <w:pStyle w:val="Normal"/>
        <w:keepNext w:val="true"/>
        <w:spacing w:before="200" w:after="100"/>
        <w:jc w:val="center"/>
        <w:rPr/>
      </w:pPr>
      <w:r>
        <w:rPr>
          <w:rFonts w:eastAsia="Times New Roman" w:cs="Times New Roman"/>
          <w:b/>
          <w:bCs/>
          <w:sz w:val="22"/>
          <w:szCs w:val="22"/>
        </w:rPr>
        <w:t xml:space="preserve">Table 4.4: </w:t>
      </w:r>
      <w:r>
        <w:rPr>
          <w:rFonts w:eastAsia="Times New Roman" w:cs="Times New Roman"/>
          <w:i/>
          <w:iCs/>
          <w:sz w:val="22"/>
          <w:szCs w:val="22"/>
        </w:rPr>
        <w:t>Counters of the detection funnel in a test run</w:t>
      </w:r>
    </w:p>
    <w:tbl>
      <w:tblPr>
        <w:tblW w:w="9360" w:type="dxa"/>
        <w:jc w:val="center"/>
        <w:tblInd w:w="0" w:type="dxa"/>
        <w:tblLayout w:type="fixed"/>
        <w:tblCellMar>
          <w:top w:w="50" w:type="dxa"/>
          <w:start w:w="90" w:type="dxa"/>
          <w:bottom w:w="50" w:type="dxa"/>
          <w:end w:w="90" w:type="dxa"/>
        </w:tblCellMar>
      </w:tblPr>
      <w:tblGrid>
        <w:gridCol w:w="5999"/>
        <w:gridCol w:w="3361"/>
      </w:tblGrid>
      <w:tr>
        <w:trPr>
          <w:tblHeader w:val="true"/>
          <w:cantSplit/>
        </w:trPr>
        <w:tc>
          <w:tcPr>
            <w:tcW w:w="59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Counter</w:t>
            </w:r>
          </w:p>
        </w:tc>
        <w:tc>
          <w:tcPr>
            <w:tcW w:w="33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Value</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Rows ingested</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Reported live by dashboard; no retained aggregate test-run value.</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 1 flags</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Reported live by dashboard; no retained aggregate test-run value.</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 1 flags routed through Tier 2</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Depends on Tier 1 confidence; no retained aggregate test-run value.</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 2 flags</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Reported live by dashboard; no retained aggregate test-run value.</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Tier 3 agent investigations</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Reported live by dashboard; no retained aggregate test-run value.</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Evidence-based alert suppressions</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Retained demonstration includes a confirmed false-positive suppression.</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4.5 Evaluation on Mininet Data</w:t>
      </w:r>
    </w:p>
    <w:p>
      <w:pPr>
        <w:pStyle w:val="Normal"/>
        <w:spacing w:lineRule="auto" w:line="319" w:before="0" w:after="140"/>
        <w:jc w:val="both"/>
        <w:rPr/>
      </w:pPr>
      <w:r>
        <w:t>The final Mininet evaluation uses 73,240 augmented records: 58,590 normal records and 14,650 held-out test records. The test split contains 3,265 anomalous samples and 11,385 normal samples. Before training, records are ordered by device, interface and timestamp; normal and each anomalous class are divided into 60% training, 20% validation and 20% test partitions. The Random Forest uses SMOTE only on the training partition. The LSTM is trained on normal sequences and its anomaly threshold is selected from the validation partition. This separation avoids training on the samples used to report the final metrics.</w:t>
      </w:r>
    </w:p>
    <w:p>
      <w:pPr>
        <w:pStyle w:val="Normal"/>
        <w:keepNext w:val="true"/>
        <w:spacing w:before="200" w:after="100"/>
        <w:jc w:val="center"/>
        <w:rPr/>
      </w:pPr>
      <w:r>
        <w:rPr>
          <w:rFonts w:eastAsia="Times New Roman" w:cs="Times New Roman"/>
          <w:b/>
          <w:bCs/>
          <w:sz w:val="22"/>
          <w:szCs w:val="22"/>
        </w:rPr>
        <w:t xml:space="preserve">Table 4.5: </w:t>
      </w:r>
      <w:r>
        <w:rPr>
          <w:rFonts w:eastAsia="Times New Roman" w:cs="Times New Roman"/>
          <w:i/>
          <w:iCs/>
          <w:sz w:val="22"/>
          <w:szCs w:val="22"/>
        </w:rPr>
        <w:t>Detection metrics on the Mininet test split before and after fine-tuning</w:t>
      </w:r>
    </w:p>
    <w:tbl>
      <w:tblPr>
        <w:tblW w:w="9360" w:type="dxa"/>
        <w:jc w:val="center"/>
        <w:tblInd w:w="0" w:type="dxa"/>
        <w:tblLayout w:type="fixed"/>
        <w:tblCellMar>
          <w:top w:w="50" w:type="dxa"/>
          <w:start w:w="90" w:type="dxa"/>
          <w:bottom w:w="50" w:type="dxa"/>
          <w:end w:w="90" w:type="dxa"/>
        </w:tblCellMar>
      </w:tblPr>
      <w:tblGrid>
        <w:gridCol w:w="1699"/>
        <w:gridCol w:w="2301"/>
        <w:gridCol w:w="880"/>
        <w:gridCol w:w="880"/>
        <w:gridCol w:w="1200"/>
        <w:gridCol w:w="1099"/>
        <w:gridCol w:w="1301"/>
      </w:tblGrid>
      <w:tr>
        <w:trPr>
          <w:tblHeader w:val="true"/>
          <w:cantSplit/>
        </w:trPr>
        <w:tc>
          <w:tcPr>
            <w:tcW w:w="16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Model</w:t>
            </w:r>
          </w:p>
        </w:tc>
        <w:tc>
          <w:tcPr>
            <w:tcW w:w="23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Condition</w:t>
            </w:r>
          </w:p>
        </w:tc>
        <w:tc>
          <w:tcPr>
            <w:tcW w:w="88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ROC-AUC</w:t>
            </w:r>
          </w:p>
        </w:tc>
        <w:tc>
          <w:tcPr>
            <w:tcW w:w="88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PR-AUC</w:t>
            </w:r>
          </w:p>
        </w:tc>
        <w:tc>
          <w:tcPr>
            <w:tcW w:w="12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Precision</w:t>
            </w:r>
          </w:p>
        </w:tc>
        <w:tc>
          <w:tcPr>
            <w:tcW w:w="10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Recall</w:t>
            </w:r>
          </w:p>
        </w:tc>
        <w:tc>
          <w:tcPr>
            <w:tcW w:w="13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F1</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Random Forest</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Base synthetic model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0.9063</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0.8861</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0.2353</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0.9792</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0.3794</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Random Forest</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Fine-tuned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0.9965</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0.9927</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0.9977</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0.9492</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0.9728</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LSTM autoencoder</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Base synthetic model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0.9212</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0.8295</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0.2229</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1.0000</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0.3645</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LSTM autoencoder</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Fine-tuned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0.9812</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0.9284</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0.8970</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0.7093</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0.7922</w:t>
            </w:r>
          </w:p>
        </w:tc>
      </w:tr>
    </w:tbl>
    <w:p>
      <w:pPr>
        <w:pStyle w:val="Normal"/>
        <w:spacing w:before="0" w:after="160"/>
        <w:rPr/>
      </w:pPr>
      <w:r>
        <w:rPr/>
      </w:r>
    </w:p>
    <w:tbl>
      <w:tblPr>
        <w:tblW w:w="8640" w:type="dxa"/>
        <w:jc w:val="center"/>
        <w:tblInd w:w="0" w:type="dxa"/>
        <w:tblLayout w:type="fixed"/>
        <w:tblCellMar>
          <w:top w:w="0" w:type="dxa"/>
          <w:start w:w="108" w:type="dxa"/>
          <w:bottom w:w="0" w:type="dxa"/>
          <w:end w:w="108" w:type="dxa"/>
        </w:tblCellMar>
      </w:tblPr>
      <w:tblGrid>
        <w:gridCol w:w="8640"/>
      </w:tblGrid>
      <w:tr>
        <w:trPr>
          <w:trHeight w:val="28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3067781"/>
                  <wp:docPr id="14" name="Picture 14"/>
                  <wp:cNvGraphicFramePr>
                    <a:graphicFrameLocks noChangeAspect="1"/>
                  </wp:cNvGraphicFramePr>
                  <a:graphic>
                    <a:graphicData uri="http://schemas.openxmlformats.org/drawingml/2006/picture">
                      <pic:pic>
                        <pic:nvPicPr>
                          <pic:cNvPr id="0" name="image (20).png"/>
                          <pic:cNvPicPr/>
                        </pic:nvPicPr>
                        <pic:blipFill>
                          <a:blip r:embed="rId25"/>
                          <a:stretch>
                            <a:fillRect/>
                          </a:stretch>
                        </pic:blipFill>
                        <pic:spPr>
                          <a:xfrm>
                            <a:off x="0" y="0"/>
                            <a:ext cx="5212080" cy="3067781"/>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4.5: </w:t>
      </w:r>
      <w:r>
        <w:rPr>
          <w:rFonts w:eastAsia="Times New Roman" w:cs="Times New Roman"/>
          <w:i/>
          <w:iCs/>
          <w:sz w:val="22"/>
          <w:szCs w:val="22"/>
        </w:rPr>
        <w:t>Metrics before and after domain adaptation</w:t>
      </w:r>
    </w:p>
    <w:p>
      <w:pPr>
        <w:pStyle w:val="Heading2"/>
        <w:keepNext w:val="true"/>
        <w:spacing w:before="280" w:after="140"/>
        <w:rPr/>
      </w:pPr>
      <w:r>
        <w:rPr>
          <w:rFonts w:eastAsia="Times New Roman" w:cs="Times New Roman" w:ascii="Times New Roman" w:hAnsi="Times New Roman"/>
          <w:b/>
          <w:bCs/>
          <w:sz w:val="26"/>
          <w:szCs w:val="26"/>
        </w:rPr>
        <w:t>4.6 Evaluation of the ReAct Agent</w:t>
      </w:r>
    </w:p>
    <w:p>
      <w:pPr>
        <w:pStyle w:val="Normal"/>
        <w:spacing w:lineRule="auto" w:line="319" w:before="0" w:after="140"/>
        <w:jc w:val="both"/>
        <w:rPr/>
      </w:pPr>
      <w:r>
        <w:rPr>
          <w:rFonts w:eastAsia="Times New Roman" w:cs="Times New Roman"/>
          <w:sz w:val="24"/>
          <w:szCs w:val="24"/>
        </w:rPr>
        <w:t>The agent is judged on three points: whether the fault class in its report matches the ground truth (RCA accuracy), whether its conclusions are supported by the tool calls it made, and how long the whole pipeline takes.</w:t>
      </w:r>
    </w:p>
    <w:p>
      <w:pPr>
        <w:pStyle w:val="Heading3"/>
        <w:keepNext w:val="true"/>
        <w:spacing w:before="200" w:after="120"/>
        <w:rPr/>
      </w:pPr>
      <w:r>
        <w:rPr>
          <w:rFonts w:eastAsia="Times New Roman" w:cs="Times New Roman" w:ascii="Times New Roman" w:hAnsi="Times New Roman"/>
          <w:b/>
          <w:bCs/>
          <w:i/>
          <w:iCs/>
          <w:sz w:val="24"/>
          <w:szCs w:val="24"/>
        </w:rPr>
        <w:t>4.6.1 Example of the ReAct loop</w:t>
      </w:r>
    </w:p>
    <w:p>
      <w:pPr>
        <w:pStyle w:val="Normal"/>
        <w:spacing w:lineRule="auto" w:line="319" w:before="0" w:after="140"/>
        <w:jc w:val="both"/>
        <w:rPr/>
      </w:pPr>
      <w:r>
        <w:t>A retained example investigates a congestion alert. The agent begins by obtaining interface metrics, then inspects topology and compares the anomaly score on the affected interface or its peer. The sequence is evidence-driven: tool results, rather than the initial label alone, determine whether the final verdict is congestion, a different fault or a false positive.</w:t>
      </w:r>
    </w:p>
    <w:p>
      <w:pPr>
        <w:pStyle w:val="ListParagraph"/>
        <w:numPr>
          <w:ilvl w:val="0"/>
          <w:numId w:val="7"/>
        </w:numPr>
        <w:spacing w:lineRule="auto" w:line="319" w:before="0" w:after="80"/>
        <w:jc w:val="both"/>
        <w:rPr/>
      </w:pPr>
      <w:r>
        <w:t>Example action: get_metrics(device_id, interface_id) returns the current operational state, latency, loss, traffic counters and errors. A high traffic level together with elevated latency or drops provides initial congestion evidence.</w:t>
      </w:r>
    </w:p>
    <w:p>
      <w:pPr>
        <w:pStyle w:val="ListParagraph"/>
        <w:numPr>
          <w:ilvl w:val="0"/>
          <w:numId w:val="3"/>
        </w:numPr>
        <w:spacing w:lineRule="auto" w:line="319" w:before="0" w:after="80"/>
        <w:jc w:val="both"/>
        <w:rPr/>
      </w:pPr>
      <w:r>
        <w:t>Example follow-up: inspect_topology(device_id) identifies peers, interface names, bandwidth and link status. The agent can then call get_anomaly_score, trace_path or check_routes when the observed evidence requires localisation or path verification.</w:t>
      </w:r>
    </w:p>
    <w:p>
      <w:pPr>
        <w:pStyle w:val="ListParagraph"/>
        <w:numPr>
          <w:ilvl w:val="0"/>
          <w:numId w:val="3"/>
        </w:numPr>
        <w:spacing w:lineRule="auto" w:line="319" w:before="0" w:after="80"/>
        <w:jc w:val="both"/>
        <w:rPr/>
      </w:pPr>
      <w:r>
        <w:t>The completed report states the evidence chain, classification, location, explanation, immediate remediation and longer-term prevention. A retained false-positive example demonstrates that the agent can suppress an initial link-failure alert when metrics, anomaly score, syslogs and topology all show a healthy interface.</w:t>
      </w:r>
    </w:p>
    <w:tbl>
      <w:tblPr>
        <w:tblW w:w="8640" w:type="dxa"/>
        <w:jc w:val="center"/>
        <w:tblInd w:w="0" w:type="dxa"/>
        <w:tblLayout w:type="fixed"/>
        <w:tblCellMar>
          <w:top w:w="0" w:type="dxa"/>
          <w:start w:w="108" w:type="dxa"/>
          <w:bottom w:w="0" w:type="dxa"/>
          <w:end w:w="108" w:type="dxa"/>
        </w:tblCellMar>
      </w:tblPr>
      <w:tblGrid>
        <w:gridCol w:w="8640"/>
      </w:tblGrid>
      <w:tr>
        <w:trPr>
          <w:trHeight w:val="36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3891686"/>
                  <wp:docPr id="15" name="Picture 15"/>
                  <wp:cNvGraphicFramePr>
                    <a:graphicFrameLocks noChangeAspect="1"/>
                  </wp:cNvGraphicFramePr>
                  <a:graphic>
                    <a:graphicData uri="http://schemas.openxmlformats.org/drawingml/2006/picture">
                      <pic:pic>
                        <pic:nvPicPr>
                          <pic:cNvPr id="0" name="rca-evidence-collage.png"/>
                          <pic:cNvPicPr/>
                        </pic:nvPicPr>
                        <pic:blipFill>
                          <a:blip r:embed="rId26"/>
                          <a:stretch>
                            <a:fillRect/>
                          </a:stretch>
                        </pic:blipFill>
                        <pic:spPr>
                          <a:xfrm>
                            <a:off x="0" y="0"/>
                            <a:ext cx="5212080" cy="3891686"/>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4.6: </w:t>
      </w:r>
      <w:r>
        <w:rPr>
          <w:rFonts w:eastAsia="Times New Roman" w:cs="Times New Roman"/>
          <w:i/>
          <w:iCs/>
          <w:sz w:val="22"/>
          <w:szCs w:val="22"/>
        </w:rPr>
        <w:t>Agent investigation steps and incident report produced for an injected fault</w:t>
      </w:r>
    </w:p>
    <w:p>
      <w:pPr>
        <w:pStyle w:val="Heading3"/>
        <w:keepNext w:val="true"/>
        <w:spacing w:before="200" w:after="120"/>
        <w:rPr/>
      </w:pPr>
      <w:r>
        <w:rPr>
          <w:rFonts w:eastAsia="Times New Roman" w:cs="Times New Roman" w:ascii="Times New Roman" w:hAnsi="Times New Roman"/>
          <w:b/>
          <w:bCs/>
          <w:i/>
          <w:iCs/>
          <w:sz w:val="24"/>
          <w:szCs w:val="24"/>
        </w:rPr>
        <w:t>4.6.2 RCA accuracy and response time</w:t>
      </w:r>
    </w:p>
    <w:p>
      <w:pPr>
        <w:pStyle w:val="Normal"/>
        <w:spacing w:lineRule="auto" w:line="319" w:before="0" w:after="140"/>
        <w:jc w:val="both"/>
        <w:rPr/>
      </w:pPr>
      <w:r>
        <w:t>The final retained agent benchmark contains 25 cases: four each of link failure, congestion, interface flap, MTU mismatch and routing loop, plus five normal/no-fault cases. The agent returned 22 correct verdicts, giving 88.0% RCA accuracy. It averaged 12.24 diagnostic tool calls and 12.17 seconds per investigation; 21 cases completed normally and four reached the configured maximum-step termination condition.</w:t>
      </w:r>
    </w:p>
    <w:p>
      <w:pPr>
        <w:pStyle w:val="Normal"/>
        <w:keepNext w:val="true"/>
        <w:spacing w:before="200" w:after="100"/>
        <w:jc w:val="center"/>
        <w:rPr/>
      </w:pPr>
      <w:r>
        <w:rPr>
          <w:rFonts w:eastAsia="Times New Roman" w:cs="Times New Roman"/>
          <w:b/>
          <w:bCs/>
          <w:sz w:val="22"/>
          <w:szCs w:val="22"/>
        </w:rPr>
        <w:t xml:space="preserve">Table 4.6: </w:t>
      </w:r>
      <w:r>
        <w:rPr>
          <w:rFonts w:eastAsia="Times New Roman" w:cs="Times New Roman"/>
          <w:i/>
          <w:iCs/>
          <w:sz w:val="22"/>
          <w:szCs w:val="22"/>
        </w:rPr>
        <w:t>RCA accuracy and response time of the agent per fault type</w:t>
      </w:r>
    </w:p>
    <w:tbl>
      <w:tblPr>
        <w:tblW w:w="9360" w:type="dxa"/>
        <w:jc w:val="center"/>
        <w:tblInd w:w="0" w:type="dxa"/>
        <w:tblLayout w:type="fixed"/>
        <w:tblCellMar>
          <w:top w:w="50" w:type="dxa"/>
          <w:start w:w="90" w:type="dxa"/>
          <w:bottom w:w="50" w:type="dxa"/>
          <w:end w:w="90" w:type="dxa"/>
        </w:tblCellMar>
      </w:tblPr>
      <w:tblGrid>
        <w:gridCol w:w="2600"/>
        <w:gridCol w:w="2000"/>
        <w:gridCol w:w="2400"/>
        <w:gridCol w:w="2360"/>
      </w:tblGrid>
      <w:tr>
        <w:trPr>
          <w:tblHeader w:val="true"/>
          <w:cantSplit/>
        </w:trPr>
        <w:tc>
          <w:tcPr>
            <w:tcW w:w="2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Fault type</w:t>
            </w:r>
          </w:p>
        </w:tc>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Benchmark cases</w:t>
            </w:r>
          </w:p>
        </w:tc>
        <w:tc>
          <w:tcPr>
            <w:tcW w:w="24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Correct verdicts</w:t>
            </w:r>
          </w:p>
        </w:tc>
        <w:tc>
          <w:tcPr>
            <w:tcW w:w="23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Mean time (s)</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Link failure</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Included in 12.17 overall mean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Congestion</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Included in 12.17 overall mean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Interface flap</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Included in 12.17 overall mean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MTU mismatch</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Included in 12.17 overall mean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Routing loop</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4</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Included in 12.17 overall mean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Normal / no fault</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5</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2</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Included in 12.17 overall mean</w:t>
            </w:r>
          </w:p>
        </w:tc>
      </w:tr>
      <w:tr>
        <w:tc>
          <w:tcPr>
            <w:tcW w:type="dxa" w:w="2600"/>
          </w:tcPr>
          <w:p>
            <w:r>
              <w:t>Overall</w:t>
            </w:r>
          </w:p>
        </w:tc>
        <w:tc>
          <w:tcPr>
            <w:tcW w:type="dxa" w:w="2000"/>
          </w:tcPr>
          <w:p>
            <w:r>
              <w:t>25</w:t>
            </w:r>
          </w:p>
        </w:tc>
        <w:tc>
          <w:tcPr>
            <w:tcW w:type="dxa" w:w="2400"/>
          </w:tcPr>
          <w:p>
            <w:r>
              <w:t>22 (88.0%)</w:t>
            </w:r>
          </w:p>
        </w:tc>
        <w:tc>
          <w:tcPr>
            <w:tcW w:type="dxa" w:w="2360"/>
          </w:tcPr>
          <w:p>
            <w:r>
              <w:t>12.17</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4.7 Complex Scenarios</w:t>
      </w:r>
    </w:p>
    <w:p>
      <w:pPr>
        <w:pStyle w:val="Normal"/>
        <w:spacing w:lineRule="auto" w:line="319" w:before="0" w:after="140"/>
        <w:jc w:val="both"/>
        <w:rPr/>
      </w:pPr>
      <w:r>
        <w:t>The implementation includes a cascading-failure constructor that creates a primary link failure followed by congestion on a secondary path after a configurable delay. This capability demonstrates how compound ground truth can be generated, but the retained evaluation artifacts do not provide a completed aggregate benchmark for compound or cascading faults.</w:t>
      </w:r>
    </w:p>
    <w:p>
      <w:pPr>
        <w:pStyle w:val="Normal"/>
        <w:keepNext w:val="true"/>
        <w:spacing w:before="200" w:after="100"/>
        <w:jc w:val="center"/>
        <w:rPr/>
      </w:pPr>
      <w:r>
        <w:rPr>
          <w:rFonts w:eastAsia="Times New Roman" w:cs="Times New Roman"/>
          <w:b/>
          <w:bCs/>
          <w:sz w:val="22"/>
          <w:szCs w:val="22"/>
        </w:rPr>
        <w:t xml:space="preserve">Table 4.7: </w:t>
      </w:r>
      <w:r>
        <w:rPr>
          <w:rFonts w:eastAsia="Times New Roman" w:cs="Times New Roman"/>
          <w:i/>
          <w:iCs/>
          <w:sz w:val="22"/>
          <w:szCs w:val="22"/>
        </w:rPr>
        <w:t>Multi-fault test scenarios</w:t>
      </w:r>
    </w:p>
    <w:tbl>
      <w:tblPr>
        <w:tblW w:w="9360" w:type="dxa"/>
        <w:jc w:val="center"/>
        <w:tblInd w:w="0" w:type="dxa"/>
        <w:tblLayout w:type="fixed"/>
        <w:tblCellMar>
          <w:top w:w="50" w:type="dxa"/>
          <w:start w:w="90" w:type="dxa"/>
          <w:bottom w:w="50" w:type="dxa"/>
          <w:end w:w="90" w:type="dxa"/>
        </w:tblCellMar>
      </w:tblPr>
      <w:tblGrid>
        <w:gridCol w:w="2000"/>
        <w:gridCol w:w="3600"/>
        <w:gridCol w:w="1879"/>
        <w:gridCol w:w="1881"/>
      </w:tblGrid>
      <w:tr>
        <w:trPr>
          <w:tblHeader w:val="true"/>
          <w:cantSplit/>
        </w:trPr>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Scenario</w:t>
            </w:r>
          </w:p>
        </w:tc>
        <w:tc>
          <w:tcPr>
            <w:tcW w:w="3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Description</w:t>
            </w:r>
          </w:p>
        </w:tc>
        <w:tc>
          <w:tcPr>
            <w:tcW w:w="187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Root cause found</w:t>
            </w:r>
          </w:p>
        </w:tc>
        <w:tc>
          <w:tcPr>
            <w:tcW w:w="188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Correct</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Compound faults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Framework supports multiple injected configurations; a dedicated aggregate benchmark is future work.</w:t>
            </w:r>
          </w:p>
        </w:tc>
        <w:tc>
          <w:tcPr>
            <w:tcW w:w="187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Not quantitatively retained</w:t>
            </w:r>
          </w:p>
        </w:tc>
        <w:tc>
          <w:tcPr>
            <w:tcW w:w="18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Not reported</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Cascading fault</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Injector can model a link failure followed by congestion on a secondary link.</w:t>
            </w:r>
          </w:p>
        </w:tc>
        <w:tc>
          <w:tcPr>
            <w:tcW w:w="187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Implementation available</w:t>
            </w:r>
          </w:p>
        </w:tc>
        <w:tc>
          <w:tcPr>
            <w:tcW w:w="18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t>Needs formal evaluation</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4.8 Dashboard Demonstration</w:t>
      </w:r>
    </w:p>
    <w:p>
      <w:pPr>
        <w:pStyle w:val="Normal"/>
        <w:spacing w:lineRule="auto" w:line="319" w:before="0" w:after="140"/>
        <w:jc w:val="both"/>
        <w:rPr/>
      </w:pPr>
      <w:r>
        <w:t>The implemented Streamlit dashboard has four views. Live Monitor contains fault-injection controls, detector/agent cards, the alert feed and the final RCA report. Analytics presents telemetry charts and fault distributions; Benchmark presents model metrics; and Mininet Lab presents the augmented-dataset statistics and per-fault recall. The figures that follow retain the intended slots for final captured dashboard evidence.</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2453559"/>
                  <wp:docPr id="16" name="Picture 16"/>
                  <wp:cNvGraphicFramePr>
                    <a:graphicFrameLocks noChangeAspect="1"/>
                  </wp:cNvGraphicFramePr>
                  <a:graphic>
                    <a:graphicData uri="http://schemas.openxmlformats.org/drawingml/2006/picture">
                      <pic:pic>
                        <pic:nvPicPr>
                          <pic:cNvPr id="0" name="image (4).png"/>
                          <pic:cNvPicPr/>
                        </pic:nvPicPr>
                        <pic:blipFill>
                          <a:blip r:embed="rId20"/>
                          <a:stretch>
                            <a:fillRect/>
                          </a:stretch>
                        </pic:blipFill>
                        <pic:spPr>
                          <a:xfrm>
                            <a:off x="0" y="0"/>
                            <a:ext cx="5212080" cy="2453559"/>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4.7: </w:t>
      </w:r>
      <w:r>
        <w:rPr>
          <w:rFonts w:eastAsia="Times New Roman" w:cs="Times New Roman"/>
          <w:i/>
          <w:iCs/>
          <w:sz w:val="22"/>
          <w:szCs w:val="22"/>
        </w:rPr>
        <w:t>Dashboard in the idle state: rows are ingested and no anomaly is flagged</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2493332"/>
                  <wp:docPr id="17" name="Picture 17"/>
                  <wp:cNvGraphicFramePr>
                    <a:graphicFrameLocks noChangeAspect="1"/>
                  </wp:cNvGraphicFramePr>
                  <a:graphic>
                    <a:graphicData uri="http://schemas.openxmlformats.org/drawingml/2006/picture">
                      <pic:pic>
                        <pic:nvPicPr>
                          <pic:cNvPr id="0" name="image (5).png"/>
                          <pic:cNvPicPr/>
                        </pic:nvPicPr>
                        <pic:blipFill>
                          <a:blip r:embed="rId27"/>
                          <a:stretch>
                            <a:fillRect/>
                          </a:stretch>
                        </pic:blipFill>
                        <pic:spPr>
                          <a:xfrm>
                            <a:off x="0" y="0"/>
                            <a:ext cx="5212080" cy="2493332"/>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4.8: </w:t>
      </w:r>
      <w:r>
        <w:rPr>
          <w:rFonts w:eastAsia="Times New Roman" w:cs="Times New Roman"/>
          <w:i/>
          <w:iCs/>
          <w:sz w:val="22"/>
          <w:szCs w:val="22"/>
        </w:rPr>
        <w:t>Dashboard after a fault is injected: Tier 1 verdict</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5132140"/>
                  <wp:docPr id="18" name="Picture 18"/>
                  <wp:cNvGraphicFramePr>
                    <a:graphicFrameLocks noChangeAspect="1"/>
                  </wp:cNvGraphicFramePr>
                  <a:graphic>
                    <a:graphicData uri="http://schemas.openxmlformats.org/drawingml/2006/picture">
                      <pic:pic>
                        <pic:nvPicPr>
                          <pic:cNvPr id="0" name="image (7).png"/>
                          <pic:cNvPicPr/>
                        </pic:nvPicPr>
                        <pic:blipFill>
                          <a:blip r:embed="rId28"/>
                          <a:stretch>
                            <a:fillRect/>
                          </a:stretch>
                        </pic:blipFill>
                        <pic:spPr>
                          <a:xfrm>
                            <a:off x="0" y="0"/>
                            <a:ext cx="5212080" cy="5132140"/>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4.9: </w:t>
      </w:r>
      <w:r>
        <w:rPr>
          <w:rFonts w:eastAsia="Times New Roman" w:cs="Times New Roman"/>
          <w:i/>
          <w:iCs/>
          <w:sz w:val="22"/>
          <w:szCs w:val="22"/>
        </w:rPr>
        <w:t>Dashboard showing the Tier 2 verdict and the agent investigation steps</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drawing>
                <wp:inline xmlns:a="http://schemas.openxmlformats.org/drawingml/2006/main">
                  <wp:extent cx="5212080" cy="2558369"/>
                  <wp:docPr id="19" name="Picture 19"/>
                  <wp:cNvGraphicFramePr>
                    <a:graphicFrameLocks noChangeAspect="1"/>
                  </wp:cNvGraphicFramePr>
                  <a:graphic>
                    <a:graphicData uri="http://schemas.openxmlformats.org/drawingml/2006/picture">
                      <pic:pic>
                        <pic:nvPicPr>
                          <pic:cNvPr id="0" name="image (6).png"/>
                          <pic:cNvPicPr/>
                        </pic:nvPicPr>
                        <pic:blipFill>
                          <a:blip r:embed="rId29"/>
                          <a:stretch>
                            <a:fillRect/>
                          </a:stretch>
                        </pic:blipFill>
                        <pic:spPr>
                          <a:xfrm>
                            <a:off x="0" y="0"/>
                            <a:ext cx="5212080" cy="2558369"/>
                          </a:xfrm>
                          <a:prstGeom prst="rect"/>
                        </pic:spPr>
                      </pic:pic>
                    </a:graphicData>
                  </a:graphic>
                </wp:inline>
              </w:drawing>
            </w:r>
          </w:p>
          <w:p>
            <w:pPr>
              <w:pStyle w:val="Normal"/>
              <w:keepNext w:val="true"/>
              <w:spacing w:before="0" w:after="0"/>
              <w:jc w:val="center"/>
              <w:rPr/>
            </w:pPr>
          </w:p>
        </w:tc>
      </w:tr>
    </w:tbl>
    <w:p>
      <w:pPr>
        <w:pStyle w:val="Normal"/>
        <w:keepNext w:val="false"/>
        <w:spacing w:before="80" w:after="220"/>
        <w:jc w:val="center"/>
        <w:rPr/>
      </w:pPr>
      <w:r>
        <w:rPr>
          <w:rFonts w:eastAsia="Times New Roman" w:cs="Times New Roman"/>
          <w:b/>
          <w:bCs/>
          <w:sz w:val="22"/>
          <w:szCs w:val="22"/>
        </w:rPr>
        <w:t xml:space="preserve">Figure 4.10: </w:t>
      </w:r>
      <w:r>
        <w:rPr>
          <w:rFonts w:eastAsia="Times New Roman" w:cs="Times New Roman"/>
          <w:i/>
          <w:iCs/>
          <w:sz w:val="22"/>
          <w:szCs w:val="22"/>
        </w:rPr>
        <w:t>Dashboard showing the final root cause analysis report</w:t>
      </w:r>
    </w:p>
    <w:p>
      <w:pPr>
        <w:pStyle w:val="Heading2"/>
        <w:keepNext w:val="true"/>
        <w:spacing w:before="280" w:after="140"/>
        <w:rPr/>
      </w:pPr>
      <w:r>
        <w:rPr>
          <w:rFonts w:eastAsia="Times New Roman" w:cs="Times New Roman" w:ascii="Times New Roman" w:hAnsi="Times New Roman"/>
          <w:b/>
          <w:bCs/>
          <w:sz w:val="26"/>
          <w:szCs w:val="26"/>
        </w:rPr>
        <w:t>4.9 Summary of Results</w:t>
      </w:r>
    </w:p>
    <w:p>
      <w:pPr>
        <w:pStyle w:val="Normal"/>
        <w:keepNext w:val="true"/>
        <w:spacing w:before="200" w:after="100"/>
        <w:jc w:val="center"/>
        <w:rPr/>
      </w:pPr>
      <w:r>
        <w:rPr>
          <w:rFonts w:eastAsia="Times New Roman" w:cs="Times New Roman"/>
          <w:b/>
          <w:bCs/>
          <w:sz w:val="22"/>
          <w:szCs w:val="22"/>
        </w:rPr>
        <w:t xml:space="preserve">Table 4.8: </w:t>
      </w:r>
      <w:r>
        <w:rPr>
          <w:rFonts w:eastAsia="Times New Roman" w:cs="Times New Roman"/>
          <w:i/>
          <w:iCs/>
          <w:sz w:val="22"/>
          <w:szCs w:val="22"/>
        </w:rPr>
        <w:t>Summary of test scenarios and results</w:t>
      </w:r>
    </w:p>
    <w:tbl>
      <w:tblPr>
        <w:tblW w:w="9360" w:type="dxa"/>
        <w:jc w:val="center"/>
        <w:tblInd w:w="0" w:type="dxa"/>
        <w:tblLayout w:type="fixed"/>
        <w:tblCellMar>
          <w:top w:w="50" w:type="dxa"/>
          <w:start w:w="90" w:type="dxa"/>
          <w:bottom w:w="50" w:type="dxa"/>
          <w:end w:w="90" w:type="dxa"/>
        </w:tblCellMar>
      </w:tblPr>
      <w:tblGrid>
        <w:gridCol w:w="2100"/>
        <w:gridCol w:w="2500"/>
        <w:gridCol w:w="3500"/>
        <w:gridCol w:w="1260"/>
      </w:tblGrid>
      <w:tr>
        <w:trPr>
          <w:tblHeader w:val="true"/>
          <w:cantSplit/>
        </w:trPr>
        <w:tc>
          <w:tcPr>
            <w:tcW w:w="21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Scenario</w:t>
            </w:r>
          </w:p>
        </w:tc>
        <w:tc>
          <w:tcPr>
            <w:tcW w:w="2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Expected behaviour</w:t>
            </w:r>
          </w:p>
        </w:tc>
        <w:tc>
          <w:tcPr>
            <w:tcW w:w="3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Observed result</w:t>
            </w:r>
          </w:p>
        </w:tc>
        <w:tc>
          <w:tcPr>
            <w:tcW w:w="12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t>Reference</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Mininet RF detection</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High precision and recall</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F1 0.9728; precision 0.9977; recall 0.9492</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Table 4.5</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Mininet LSTM detection</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Temporal anomaly detection</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F1 0.7922; precision 0.8970; recall 0.7093</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Table 4.5</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LSTM refinement</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Improve retained baseline</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F1 0.7284 simulated baseline; F1 0.7922 final Mininet benchmark</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Table 4.3</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Agent RCA</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Evidence-grounded verdict</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22/25 correct verdicts (88.0%); 12.17 s mean</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Table 4.6</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Agent execution</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Bounded diagnostic investigation</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12.24 mean tool calls; 21 completed and 4 reached maximum-step termination</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Table 4.6</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Dashboard workflow</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Display detection and RCA</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Live Monitor, Analytics, Benchmark and Mininet Lab implemented</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Figures 4.7–4.10</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End-to-end demo</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Complete investigation in under 30 seconds</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Observed mean agent investigation time: 12.17 s</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t>Table 4.6</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4.10 Discussion</w:t>
      </w:r>
    </w:p>
    <w:p>
      <w:pPr>
        <w:pStyle w:val="Normal"/>
        <w:spacing w:lineRule="auto" w:line="319" w:before="0" w:after="140"/>
        <w:jc w:val="both"/>
        <w:rPr/>
      </w:pPr>
      <w:r>
        <w:t>The implementation results support the following conclusions.</w:t>
      </w:r>
    </w:p>
    <w:p>
      <w:pPr>
        <w:pStyle w:val="Normal"/>
        <w:spacing w:lineRule="auto" w:line="319" w:before="0" w:after="140"/>
        <w:jc w:val="both"/>
        <w:rPr/>
      </w:pPr>
      <w:r>
        <w:t>The detector roles are complementary. The Random Forest provides very high precision on the augmented Mininet dataset, while the LSTM provides a temporal anomaly signal. The two are routed according to Tier 1 confidence rather than requiring both detectors to agree in every case, allowing known high-confidence faults and novel temporal deviations to reach evidence-based RCA.</w:t>
      </w:r>
    </w:p>
    <w:p>
      <w:pPr>
        <w:pStyle w:val="Normal"/>
        <w:spacing w:lineRule="auto" w:line="319" w:before="0" w:after="140"/>
        <w:jc w:val="both"/>
        <w:rPr/>
      </w:pPr>
      <w:r>
        <w:rPr>
          <w:rFonts w:eastAsia="Times New Roman" w:cs="Times New Roman"/>
          <w:sz w:val="24"/>
          <w:szCs w:val="24"/>
        </w:rPr>
        <w:t>Second, the refinement of the LSTM shows how much the temporal model matters. The F1 score rose from 0.728 to 0.894 when attention, smoothing, per-device sequences and a calibrated threshold were introduced, so the weighting of the informative time steps and the treatment of the score were important and not only the architecture.</w:t>
      </w:r>
    </w:p>
    <w:p>
      <w:pPr>
        <w:pStyle w:val="Normal"/>
        <w:spacing w:lineRule="auto" w:line="319" w:before="0" w:after="140"/>
        <w:jc w:val="both"/>
        <w:rPr/>
      </w:pPr>
      <w:r>
        <w:t>The results show that the final implementation combines strong discrimination on augmented Mininet telemetry with an explicit RCA stage. The Random Forest reaches F1 0.9728, while the LSTM reaches F1 0.7922. The LSTM is intentionally trained on normal behaviour and serves as a temporal anomaly signal; its per-fault results show excellent sensitivity to link failure, congestion and interface flap, but weaker sensitivity to packet loss and MTU mismatch. The agent then provides a final evidence check rather than treating a detector output as a diagnosis.</w:t>
      </w:r>
    </w:p>
    <w:p>
      <w:pPr>
        <w:pStyle w:val="Normal"/>
        <w:spacing w:lineRule="auto" w:line="319" w:before="0" w:after="140"/>
        <w:jc w:val="both"/>
        <w:rPr/>
      </w:pPr>
      <w:r>
        <w:t>The Mininet results should still be interpreted carefully. Although the interface counters are produced by a real Linux/OVS networking stack, the probe signal repair makes the dataset hybrid rather than fully production-native. The observed degradation for interface flaps is consistent with the fact that a rapid state transition can occur between telemetry polls.</w:t>
      </w:r>
    </w:p>
    <w:p>
      <w:pPr>
        <w:pStyle w:val="Normal"/>
        <w:spacing w:lineRule="auto" w:line="319" w:before="0" w:after="140"/>
        <w:jc w:val="both"/>
        <w:rPr/>
      </w:pPr>
      <w:r>
        <w:rPr>
          <w:rFonts w:eastAsia="Times New Roman" w:cs="Times New Roman"/>
          <w:sz w:val="24"/>
          <w:szCs w:val="24"/>
        </w:rPr>
        <w:t>Table 4.9 compares the approach with the existing work reviewed in Chapter 2.</w:t>
      </w:r>
    </w:p>
    <w:p>
      <w:pPr>
        <w:pStyle w:val="Normal"/>
        <w:keepNext w:val="true"/>
        <w:spacing w:before="200" w:after="100"/>
        <w:jc w:val="center"/>
        <w:rPr/>
      </w:pPr>
      <w:r>
        <w:rPr>
          <w:rFonts w:eastAsia="Times New Roman" w:cs="Times New Roman"/>
          <w:b/>
          <w:bCs/>
          <w:sz w:val="22"/>
          <w:szCs w:val="22"/>
        </w:rPr>
        <w:t xml:space="preserve">Table 4.9: </w:t>
      </w:r>
      <w:r>
        <w:rPr>
          <w:rFonts w:eastAsia="Times New Roman" w:cs="Times New Roman"/>
          <w:i/>
          <w:iCs/>
          <w:sz w:val="22"/>
          <w:szCs w:val="22"/>
        </w:rPr>
        <w:t>Comparison of existing approaches and this project</w:t>
      </w:r>
    </w:p>
    <w:tbl>
      <w:tblPr>
        <w:tblW w:w="9360" w:type="dxa"/>
        <w:jc w:val="center"/>
        <w:tblInd w:w="0" w:type="dxa"/>
        <w:tblLayout w:type="fixed"/>
        <w:tblCellMar>
          <w:top w:w="50" w:type="dxa"/>
          <w:start w:w="90" w:type="dxa"/>
          <w:bottom w:w="50" w:type="dxa"/>
          <w:end w:w="90" w:type="dxa"/>
        </w:tblCellMar>
      </w:tblPr>
      <w:tblGrid>
        <w:gridCol w:w="2299"/>
        <w:gridCol w:w="3401"/>
        <w:gridCol w:w="3660"/>
      </w:tblGrid>
      <w:tr>
        <w:trPr>
          <w:tblHeader w:val="true"/>
          <w:cantSplit/>
        </w:trPr>
        <w:tc>
          <w:tcPr>
            <w:tcW w:w="22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Aspect</w:t>
            </w:r>
          </w:p>
        </w:tc>
        <w:tc>
          <w:tcPr>
            <w:tcW w:w="34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Existing approaches (Chapter 2)</w:t>
            </w:r>
          </w:p>
        </w:tc>
        <w:tc>
          <w:tcPr>
            <w:tcW w:w="36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This project</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RCA method</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Predefined rules, workflows or fixed model</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LLM agent selects tools from the evidence</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Data sources</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Usually only KPIs, logs or alarms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Metrics, anomaly score, syslogs and topology</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Detection and diagnosis</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Separate stages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One pipeline from telemetry to report</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False-positive control</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Single detector or threshold</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Three checks: Random Forest, LSTM gate, agent evidence</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Domain</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One network type (4G/5G, SFC, IP/MPLS)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Generic interface telemetry; validated on simulated and emulated networks</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Output</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Class label or ranked causes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Incident report with evidence chain and remediation</w:t>
            </w:r>
          </w:p>
        </w:tc>
      </w:tr>
    </w:tbl>
    <w:p>
      <w:pPr>
        <w:pStyle w:val="Normal"/>
        <w:spacing w:before="0" w:after="160"/>
        <w:rPr/>
      </w:pPr>
      <w:r>
        <w:rPr/>
      </w:r>
      <w:r>
        <w:br w:type="page"/>
      </w:r>
    </w:p>
    <w:p>
      <w:pPr>
        <w:pStyle w:val="Normal"/>
        <w:spacing w:before="1200" w:after="120"/>
        <w:jc w:val="center"/>
        <w:rPr/>
      </w:pPr>
      <w:r>
        <w:rPr>
          <w:rFonts w:eastAsia="Times New Roman" w:cs="Times New Roman"/>
          <w:b/>
          <w:bCs/>
          <w:i/>
          <w:iCs/>
          <w:sz w:val="32"/>
          <w:szCs w:val="32"/>
        </w:rPr>
        <w:t>CHAPTER 5</w:t>
      </w:r>
    </w:p>
    <w:p>
      <w:pPr>
        <w:pStyle w:val="Heading1"/>
        <w:spacing w:before="0" w:after="480"/>
        <w:jc w:val="center"/>
        <w:rPr/>
      </w:pPr>
      <w:r>
        <w:rPr>
          <w:rFonts w:eastAsia="Times New Roman" w:cs="Times New Roman" w:ascii="Times New Roman" w:hAnsi="Times New Roman"/>
          <w:b/>
          <w:bCs/>
          <w:i/>
          <w:iCs/>
          <w:sz w:val="36"/>
          <w:szCs w:val="36"/>
        </w:rPr>
        <w:t>Conclusion and Future Work</w:t>
      </w:r>
    </w:p>
    <w:p>
      <w:pPr>
        <w:pStyle w:val="Heading2"/>
        <w:keepNext w:val="true"/>
        <w:spacing w:before="280" w:after="140"/>
        <w:rPr/>
      </w:pPr>
      <w:r>
        <w:rPr>
          <w:rFonts w:eastAsia="Times New Roman" w:cs="Times New Roman" w:ascii="Times New Roman" w:hAnsi="Times New Roman"/>
          <w:b/>
          <w:bCs/>
          <w:sz w:val="26"/>
          <w:szCs w:val="26"/>
        </w:rPr>
        <w:t>5.1 Conclusion</w:t>
      </w:r>
    </w:p>
    <w:p>
      <w:pPr>
        <w:pStyle w:val="Normal"/>
        <w:spacing w:lineRule="auto" w:line="319" w:before="0" w:after="140"/>
        <w:jc w:val="both"/>
        <w:rPr/>
      </w:pPr>
      <w:r>
        <w:t>The completed implementation integrates detection, emulation, agent-based diagnosis and an operational dashboard.</w:t>
      </w:r>
    </w:p>
    <w:p>
      <w:pPr>
        <w:pStyle w:val="Normal"/>
        <w:spacing w:lineRule="auto" w:line="319" w:before="0" w:after="140"/>
        <w:jc w:val="both"/>
        <w:rPr/>
      </w:pPr>
      <w:r>
        <w:t>This project developed an AIOps framework that turns network telemetry into evidence-grounded root-cause analysis. A Random Forest detects known anomalies, an LSTM autoencoder adds temporal anomaly scoring, and a LangGraph ReAct agent investigates alerts through metrics, syslogs, topology, path, route and anomaly-score tools. The Streamlit dashboard provides live monitoring, analytics, benchmark reporting, Mininet-lab inspection and controlled demonstration fault injection.</w:t>
      </w:r>
    </w:p>
    <w:p>
      <w:pPr>
        <w:pStyle w:val="Normal"/>
        <w:spacing w:lineRule="auto" w:line="319" w:before="0" w:after="140"/>
        <w:jc w:val="both"/>
        <w:rPr/>
      </w:pPr>
      <w:r>
        <w:t>On the final 73,240-record augmented Mininet benchmark, evaluated on a held-out 14,650-record test split, the fine-tuned Random Forest achieved ROC-AUC 0.9965, PR-AUC 0.9927, precision 0.9977, recall 0.9492 and F1 0.9728. The LSTM autoencoder achieved ROC-AUC 0.9812, PR-AUC 0.9284, precision 0.8970, recall 0.7093 and F1 0.7922. The 25-case agent benchmark achieved 88.0% RCA accuracy with an average investigation time of 12.17 seconds.</w:t>
      </w:r>
    </w:p>
    <w:p>
      <w:pPr>
        <w:pStyle w:val="Heading2"/>
        <w:keepNext w:val="true"/>
        <w:spacing w:before="280" w:after="140"/>
        <w:rPr/>
      </w:pPr>
      <w:r>
        <w:rPr>
          <w:rFonts w:eastAsia="Times New Roman" w:cs="Times New Roman" w:ascii="Times New Roman" w:hAnsi="Times New Roman"/>
          <w:b/>
          <w:bCs/>
          <w:sz w:val="26"/>
          <w:szCs w:val="26"/>
        </w:rPr>
        <w:t>5.2 Limitations</w:t>
      </w:r>
    </w:p>
    <w:p>
      <w:pPr>
        <w:pStyle w:val="ListParagraph"/>
        <w:numPr>
          <w:ilvl w:val="0"/>
          <w:numId w:val="1"/>
        </w:numPr>
        <w:spacing w:lineRule="auto" w:line="319" w:before="0" w:after="80"/>
        <w:jc w:val="both"/>
        <w:rPr/>
      </w:pPr>
      <w:r>
        <w:rPr>
          <w:rFonts w:eastAsia="Times New Roman" w:cs="Times New Roman"/>
          <w:b/>
          <w:bCs/>
          <w:sz w:val="24"/>
          <w:szCs w:val="24"/>
        </w:rPr>
        <w:t>Synthetic training data.</w:t>
      </w:r>
      <w:r>
        <w:rPr>
          <w:rFonts w:eastAsia="Times New Roman" w:cs="Times New Roman"/>
          <w:sz w:val="24"/>
          <w:szCs w:val="24"/>
        </w:rPr>
        <w:t xml:space="preserve"> The primary training data comes from a simulator whose fault boundaries are clean. The Mininet data reduces this gap but does not replace data from a production network.</w:t>
      </w:r>
    </w:p>
    <w:p>
      <w:pPr>
        <w:pStyle w:val="ListParagraph"/>
        <w:numPr>
          <w:ilvl w:val="0"/>
          <w:numId w:val="1"/>
        </w:numPr>
        <w:spacing w:lineRule="auto" w:line="319" w:before="0" w:after="80"/>
        <w:jc w:val="both"/>
        <w:rPr/>
      </w:pPr>
      <w:r>
        <w:rPr>
          <w:rFonts w:eastAsia="Times New Roman" w:cs="Times New Roman"/>
          <w:b/>
          <w:bCs/>
          <w:sz w:val="24"/>
          <w:szCs w:val="24"/>
        </w:rPr>
        <w:t>Missing kernel features.</w:t>
      </w:r>
      <w:r>
        <w:rPr>
          <w:rFonts w:eastAsia="Times New Roman" w:cs="Times New Roman"/>
          <w:sz w:val="24"/>
          <w:szCs w:val="24"/>
        </w:rPr>
        <w:t xml:space="preserve"> The Linux kernel does not report a per-interface CPU value, so cpu_utilization is constant in the emulated data and is removed before the LSTM.</w:t>
      </w:r>
    </w:p>
    <w:p>
      <w:pPr>
        <w:pStyle w:val="ListParagraph"/>
        <w:numPr>
          <w:ilvl w:val="0"/>
          <w:numId w:val="1"/>
        </w:numPr>
        <w:spacing w:lineRule="auto" w:line="319" w:before="0" w:after="80"/>
        <w:jc w:val="both"/>
        <w:rPr/>
      </w:pPr>
      <w:r>
        <w:rPr>
          <w:rFonts w:eastAsia="Times New Roman" w:cs="Times New Roman"/>
          <w:b/>
          <w:bCs/>
          <w:sz w:val="24"/>
          <w:szCs w:val="24"/>
        </w:rPr>
        <w:t>Dependence on an external LLM.</w:t>
      </w:r>
      <w:r>
        <w:rPr>
          <w:rFonts w:eastAsia="Times New Roman" w:cs="Times New Roman"/>
          <w:sz w:val="24"/>
          <w:szCs w:val="24"/>
        </w:rPr>
        <w:t xml:space="preserve"> The agent needs the Gemini API. Without internet access or when the quota is exceeded, the pipeline uses pre-written fallback templates, which are not evidence-based.</w:t>
      </w:r>
    </w:p>
    <w:p>
      <w:pPr>
        <w:pStyle w:val="ListParagraph"/>
        <w:numPr>
          <w:ilvl w:val="0"/>
          <w:numId w:val="1"/>
        </w:numPr>
        <w:spacing w:lineRule="auto" w:line="319" w:before="0" w:after="80"/>
        <w:jc w:val="both"/>
        <w:rPr/>
      </w:pPr>
      <w:r>
        <w:rPr>
          <w:rFonts w:eastAsia="Times New Roman" w:cs="Times New Roman"/>
          <w:b/>
          <w:bCs/>
          <w:sz w:val="24"/>
          <w:szCs w:val="24"/>
        </w:rPr>
        <w:t>Recommendation only.</w:t>
      </w:r>
      <w:r>
        <w:rPr>
          <w:rFonts w:eastAsia="Times New Roman" w:cs="Times New Roman"/>
          <w:sz w:val="24"/>
          <w:szCs w:val="24"/>
        </w:rPr>
        <w:t xml:space="preserve"> The agent proposes remediation but does not execute it, and no human-approval workflow is implemented.</w:t>
      </w:r>
    </w:p>
    <w:p>
      <w:pPr>
        <w:pStyle w:val="ListParagraph"/>
        <w:numPr>
          <w:ilvl w:val="0"/>
          <w:numId w:val="1"/>
        </w:numPr>
        <w:spacing w:lineRule="auto" w:line="319" w:before="0" w:after="80"/>
        <w:jc w:val="both"/>
        <w:rPr/>
      </w:pPr>
      <w:r>
        <w:rPr>
          <w:rFonts w:eastAsia="Times New Roman" w:cs="Times New Roman"/>
          <w:b/>
          <w:bCs/>
          <w:sz w:val="24"/>
          <w:szCs w:val="24"/>
        </w:rPr>
        <w:t>Dashboard and state exchange.</w:t>
      </w:r>
      <w:r>
        <w:rPr>
          <w:rFonts w:eastAsia="Times New Roman" w:cs="Times New Roman"/>
          <w:sz w:val="24"/>
          <w:szCs w:val="24"/>
        </w:rPr>
        <w:t xml:space="preserve"> The dashboard polls a JSON state file every two seconds instead of using push updates, and the file is suitable for a single-machine demonstration but not for a distributed deployment.</w:t>
      </w:r>
    </w:p>
    <w:p>
      <w:pPr>
        <w:pStyle w:val="ListParagraph"/>
        <w:numPr>
          <w:ilvl w:val="0"/>
          <w:numId w:val="1"/>
        </w:numPr>
        <w:spacing w:lineRule="auto" w:line="319" w:before="0" w:after="80"/>
        <w:jc w:val="both"/>
        <w:rPr/>
      </w:pPr>
      <w:r>
        <w:t>Fault scope. The live Mininet demonstration covers five injected fault types. Routing-loop scenarios are available in the simulator, but compound and cascading faults need a dedicated quantitative evaluation before they can be claimed as validated production behaviour.</w:t>
      </w:r>
    </w:p>
    <w:p>
      <w:pPr>
        <w:pStyle w:val="Heading2"/>
        <w:keepNext w:val="true"/>
        <w:spacing w:before="280" w:after="140"/>
        <w:rPr/>
      </w:pPr>
      <w:r>
        <w:rPr>
          <w:rFonts w:eastAsia="Times New Roman" w:cs="Times New Roman" w:ascii="Times New Roman" w:hAnsi="Times New Roman"/>
          <w:b/>
          <w:bCs/>
          <w:sz w:val="26"/>
          <w:szCs w:val="26"/>
        </w:rPr>
        <w:t>5.3 Future Work</w:t>
      </w:r>
    </w:p>
    <w:p>
      <w:pPr>
        <w:pStyle w:val="ListParagraph"/>
        <w:numPr>
          <w:ilvl w:val="0"/>
          <w:numId w:val="1"/>
        </w:numPr>
        <w:spacing w:lineRule="auto" w:line="319" w:before="0" w:after="80"/>
        <w:jc w:val="both"/>
        <w:rPr/>
      </w:pPr>
      <w:r>
        <w:rPr>
          <w:rFonts w:eastAsia="Times New Roman" w:cs="Times New Roman"/>
          <w:sz w:val="24"/>
          <w:szCs w:val="24"/>
        </w:rPr>
        <w:t>Complete the quantitative benchmark of the agent on a larger labelled set, including compound and cascading faults.</w:t>
      </w:r>
    </w:p>
    <w:p>
      <w:pPr>
        <w:pStyle w:val="ListParagraph"/>
        <w:numPr>
          <w:ilvl w:val="0"/>
          <w:numId w:val="1"/>
        </w:numPr>
        <w:spacing w:lineRule="auto" w:line="319" w:before="0" w:after="80"/>
        <w:jc w:val="both"/>
        <w:rPr/>
      </w:pPr>
      <w:r>
        <w:rPr>
          <w:rFonts w:eastAsia="Times New Roman" w:cs="Times New Roman"/>
          <w:sz w:val="24"/>
          <w:szCs w:val="24"/>
        </w:rPr>
        <w:t>Collect more Mininet data with more topologies and traffic profiles, and compare the detectors with further baselines.</w:t>
      </w:r>
    </w:p>
    <w:p>
      <w:pPr>
        <w:pStyle w:val="ListParagraph"/>
        <w:numPr>
          <w:ilvl w:val="0"/>
          <w:numId w:val="1"/>
        </w:numPr>
        <w:spacing w:lineRule="auto" w:line="319" w:before="0" w:after="80"/>
        <w:jc w:val="both"/>
        <w:rPr/>
      </w:pPr>
      <w:r>
        <w:rPr>
          <w:rFonts w:eastAsia="Times New Roman" w:cs="Times New Roman"/>
          <w:sz w:val="24"/>
          <w:szCs w:val="24"/>
        </w:rPr>
        <w:t>Add tools for device configuration and routing-table inspection, and let the agent retrieve vendor runbooks to ground its remediation advice.</w:t>
      </w:r>
    </w:p>
    <w:p>
      <w:pPr>
        <w:pStyle w:val="ListParagraph"/>
        <w:numPr>
          <w:ilvl w:val="0"/>
          <w:numId w:val="1"/>
        </w:numPr>
        <w:spacing w:lineRule="auto" w:line="319" w:before="0" w:after="80"/>
        <w:jc w:val="both"/>
        <w:rPr/>
      </w:pPr>
      <w:r>
        <w:rPr>
          <w:rFonts w:eastAsia="Times New Roman" w:cs="Times New Roman"/>
          <w:sz w:val="24"/>
          <w:szCs w:val="24"/>
        </w:rPr>
        <w:t>Add a human-in-the-loop approval step and then controlled automatic execution of low-risk remediation steps.</w:t>
      </w:r>
    </w:p>
    <w:p>
      <w:pPr>
        <w:pStyle w:val="ListParagraph"/>
        <w:numPr>
          <w:ilvl w:val="0"/>
          <w:numId w:val="1"/>
        </w:numPr>
        <w:spacing w:lineRule="auto" w:line="319" w:before="0" w:after="80"/>
        <w:jc w:val="both"/>
        <w:rPr/>
      </w:pPr>
      <w:r>
        <w:rPr>
          <w:rFonts w:eastAsia="Times New Roman" w:cs="Times New Roman"/>
          <w:sz w:val="24"/>
          <w:szCs w:val="24"/>
        </w:rPr>
        <w:t>Replace the file-based state exchange with a message queue or WebSocket updates for multi-user deployment.</w:t>
      </w:r>
    </w:p>
    <w:p>
      <w:pPr>
        <w:pStyle w:val="ListParagraph"/>
        <w:numPr>
          <w:ilvl w:val="0"/>
          <w:numId w:val="1"/>
        </w:numPr>
        <w:spacing w:lineRule="auto" w:line="319" w:before="0" w:after="80"/>
        <w:jc w:val="both"/>
        <w:rPr/>
      </w:pPr>
      <w:r>
        <w:rPr>
          <w:rFonts w:eastAsia="Times New Roman" w:cs="Times New Roman"/>
          <w:sz w:val="24"/>
          <w:szCs w:val="24"/>
        </w:rPr>
        <w:t>Evaluate the framework on telemetry from a production or testbed network and add online learning so that thresholds adapt to changes in normal traffic.</w:t>
      </w:r>
      <w:r>
        <w:br w:type="page"/>
      </w:r>
    </w:p>
    <w:p>
      <w:pPr>
        <w:pStyle w:val="Heading1"/>
        <w:spacing w:before="0" w:after="240"/>
        <w:jc w:val="start"/>
        <w:rPr/>
      </w:pPr>
      <w:r>
        <w:rPr>
          <w:rFonts w:eastAsia="Times New Roman" w:cs="Times New Roman" w:ascii="Times New Roman" w:hAnsi="Times New Roman"/>
          <w:b/>
          <w:bCs/>
          <w:sz w:val="32"/>
          <w:szCs w:val="32"/>
        </w:rPr>
        <w:t>Appendix 1: Code Listings</w:t>
      </w:r>
    </w:p>
    <w:p>
      <w:pPr>
        <w:pStyle w:val="Normal"/>
        <w:spacing w:lineRule="auto" w:line="319" w:before="0" w:after="140"/>
        <w:jc w:val="both"/>
        <w:rPr/>
      </w:pPr>
      <w:r>
        <w:t>The following listings are concise extracts from the implemented modules. They show the main operational logic; the full source code is included in the submitted repository.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Dataset generation: network/telemetry_generator.py</w:t>
              <w:br/>
              <w:t>engine = TelemetryEngine(topology)</w:t>
              <w:br/>
              <w:t>snmp, syslogs, flow = engine.generate_telemetry_window(</w:t>
              <w:br/>
              <w:t xml:space="preserve">    start_time=phase_time, duration_seconds=259200,</w:t>
              <w:br/>
              <w:t xml:space="preserve">    interval_seconds=15, anomalies=anomalies</w:t>
              <w:br/>
              <w:t>)</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A.1: </w:t>
      </w:r>
      <w:r>
        <w:rPr>
          <w:rFonts w:eastAsia="Times New Roman" w:cs="Times New Roman"/>
          <w:i/>
          <w:iCs/>
          <w:sz w:val="22"/>
          <w:szCs w:val="22"/>
        </w:rPr>
        <w:t>Dataset generation (network/telemetry_generator.py)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Fault configuration: network/anomaly_injector.py</w:t>
              <w:br/>
              <w:t>return self._create_base_anomaly(</w:t>
              <w:br/>
              <w:t xml:space="preserve">    anomaly_type="link_failure", link=link,</w:t>
              <w:br/>
              <w:t xml:space="preserve">    start_time=start_time, duration_minutes=duration_minutes,</w:t>
              <w:br/>
              <w:t xml:space="preserve">    severity="critical",</w:t>
              <w:br/>
              <w:t xml:space="preserve">    description=f"Complete link failure between {link[0]} and {link[1]}."</w:t>
              <w:br/>
              <w:t>)</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A.2: </w:t>
      </w:r>
      <w:r>
        <w:rPr>
          <w:rFonts w:eastAsia="Times New Roman" w:cs="Times New Roman"/>
          <w:i/>
          <w:iCs/>
          <w:sz w:val="22"/>
          <w:szCs w:val="22"/>
        </w:rPr>
        <w:t>Anomaly injection (network/anomaly_injector.py)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Random Forest: detection/baseline_models.py</w:t>
              <w:br/>
              <w:t>self.model = RandomForestClassifier(</w:t>
              <w:br/>
              <w:t xml:space="preserve">    n_estimators=200, class_weight="balanced",</w:t>
              <w:br/>
              <w:t xml:space="preserve">    random_state=self.seed, n_jobs=-1</w:t>
              <w:br/>
              <w:t>)</w:t>
              <w:br/>
              <w:t>self.model.fit(X_train_res, y_train_res)</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A.3: </w:t>
      </w:r>
      <w:r>
        <w:rPr>
          <w:rFonts w:eastAsia="Times New Roman" w:cs="Times New Roman"/>
          <w:i/>
          <w:iCs/>
          <w:sz w:val="22"/>
          <w:szCs w:val="22"/>
        </w:rPr>
        <w:t>Random Forest detector (detection/baseline_models.py)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Temporal attention: detection/lstm_autoencoder.py</w:t>
              <w:br/>
              <w:t>scores = self.attn(lstm_out)</w:t>
              <w:br/>
              <w:t>weights = torch.softmax(scores, dim=1)</w:t>
              <w:br/>
              <w:t>context = (lstm_out * weights).sum(dim=1)</w:t>
              <w:br/>
              <w:t>latent = torch.relu(self.enc_dense(context))</w:t>
              <w:br/>
              <w:t>dec_in = self.dec_dense(latent).unsqueeze(1).repeat(1, x.size(1), 1)</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A.4: </w:t>
      </w:r>
      <w:r>
        <w:rPr>
          <w:rFonts w:eastAsia="Times New Roman" w:cs="Times New Roman"/>
          <w:i/>
          <w:iCs/>
          <w:sz w:val="22"/>
          <w:szCs w:val="22"/>
        </w:rPr>
        <w:t>LSTM autoencoder (detection/lstm_autoencoder.py)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ReAct graph: agent/react_agent.py</w:t>
              <w:br/>
              <w:t>graph.add_node("agent", agent_node)</w:t>
              <w:br/>
              <w:t>graph.add_node("tools", tool_execution_node)</w:t>
              <w:br/>
              <w:t>graph.set_entry_point("agent")</w:t>
              <w:br/>
              <w:t>graph.add_conditional_edges("agent", should_continue,</w:t>
              <w:br/>
              <w:t xml:space="preserve">                            {"tools": "tools", "end": END})</w:t>
              <w:br/>
              <w:t>graph.add_edge("tools", "agent")</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A.5: </w:t>
      </w:r>
      <w:r>
        <w:rPr>
          <w:rFonts w:eastAsia="Times New Roman" w:cs="Times New Roman"/>
          <w:i/>
          <w:iCs/>
          <w:sz w:val="22"/>
          <w:szCs w:val="22"/>
        </w:rPr>
        <w:t>ReAct agent (agent/react_agent.py)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Mininet fault injection: emulation/mininet_topo.py</w:t>
              <w:br/>
              <w:t>def inject_packet_loss(net, collector, intf_name="s2-eth4"):</w:t>
              <w:br/>
              <w:t xml:space="preserve">    collector.current_anomaly_type = "packet_loss"</w:t>
              <w:br/>
              <w:t xml:space="preserve">    collector.current_is_anomaly = 1</w:t>
              <w:br/>
              <w:t xml:space="preserve">    net.getNodeByName("s2").cmd(</w:t>
              <w:br/>
              <w:t xml:space="preserve">        f"tc qdisc replace dev {intf_name} root netem loss 40%"</w:t>
              <w:br/>
              <w:t xml:space="preserve">    )</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A.6: </w:t>
      </w:r>
      <w:r>
        <w:rPr>
          <w:rFonts w:eastAsia="Times New Roman" w:cs="Times New Roman"/>
          <w:i/>
          <w:iCs/>
          <w:sz w:val="22"/>
          <w:szCs w:val="22"/>
        </w:rPr>
        <w:t>Mininet topology and fault injection (emulation/mininet_topo.py)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ascii="Consolas" w:hAnsi="Consolas"/>
                <w:sz w:val="15"/>
              </w:rPr>
              <w:t># Atomic pipeline/dashboard state exchange: demo/live_pipeline.py</w:t>
              <w:br/>
              <w:t>def write_state(state: dict):</w:t>
              <w:br/>
              <w:t xml:space="preserve">    tmp = STATE_FILE.with_suffix(".tmp")</w:t>
              <w:br/>
              <w:t xml:space="preserve">    with open(tmp, "w") as f:</w:t>
              <w:br/>
              <w:t xml:space="preserve">        json.dump(state, f, default=str)</w:t>
              <w:br/>
              <w:t xml:space="preserve">    tmp.replace(STATE_FILE)</w:t>
            </w:r>
          </w:p>
          <w:p>
            <w:pPr>
              <w:pStyle w:val="Normal"/>
              <w:keepNext w:val="true"/>
              <w:spacing w:lineRule="auto" w:line="240" w:before="0" w:after="40"/>
              <w:rPr/>
            </w:pPr>
          </w:p>
        </w:tc>
      </w:tr>
    </w:tbl>
    <w:p>
      <w:pPr>
        <w:pStyle w:val="Normal"/>
        <w:keepNext w:val="false"/>
        <w:spacing w:before="80" w:after="220"/>
        <w:jc w:val="center"/>
        <w:rPr/>
      </w:pPr>
      <w:r>
        <w:rPr>
          <w:rFonts w:eastAsia="Times New Roman" w:cs="Times New Roman"/>
          <w:b/>
          <w:bCs/>
          <w:sz w:val="22"/>
          <w:szCs w:val="22"/>
        </w:rPr>
        <w:t xml:space="preserve">Listing A.7: </w:t>
      </w:r>
      <w:r>
        <w:rPr>
          <w:rFonts w:eastAsia="Times New Roman" w:cs="Times New Roman"/>
          <w:i/>
          <w:iCs/>
          <w:sz w:val="22"/>
          <w:szCs w:val="22"/>
        </w:rPr>
        <w:t>Live pipeline (demo/live_pipeline.py)</w:t>
      </w:r>
      <w:r>
        <w:br w:type="page"/>
      </w:r>
    </w:p>
    <w:p>
      <w:pPr>
        <w:pStyle w:val="Heading1"/>
        <w:spacing w:before="0" w:after="240"/>
        <w:jc w:val="start"/>
        <w:rPr/>
      </w:pPr>
      <w:r>
        <w:rPr>
          <w:rFonts w:eastAsia="Times New Roman" w:cs="Times New Roman" w:ascii="Times New Roman" w:hAnsi="Times New Roman"/>
          <w:b/>
          <w:bCs/>
          <w:sz w:val="32"/>
          <w:szCs w:val="32"/>
        </w:rPr>
        <w:t>Appendix 2: Pipeline State and Configuration</w:t>
      </w:r>
    </w:p>
    <w:p>
      <w:pPr>
        <w:pStyle w:val="Normal"/>
        <w:keepNext w:val="true"/>
        <w:spacing w:before="160" w:after="80"/>
        <w:rPr/>
      </w:pPr>
      <w:r>
        <w:rPr>
          <w:rFonts w:eastAsia="Times New Roman" w:cs="Times New Roman"/>
          <w:b/>
          <w:bCs/>
          <w:sz w:val="24"/>
          <w:szCs w:val="24"/>
        </w:rPr>
        <w:t>A. Shared state file (pipeline and dashboard)</w:t>
      </w:r>
    </w:p>
    <w:p>
      <w:pPr>
        <w:pStyle w:val="Normal"/>
        <w:spacing w:lineRule="auto" w:line="319" w:before="0" w:after="140"/>
        <w:jc w:val="both"/>
        <w:rPr/>
      </w:pPr>
      <w:r>
        <w:rPr>
          <w:rFonts w:eastAsia="Times New Roman" w:cs="Times New Roman"/>
          <w:sz w:val="24"/>
          <w:szCs w:val="24"/>
        </w:rPr>
        <w:t>The live pipeline and the dashboard exchange information through one JSON file. The structure below is an example of its content during a fault cycle.</w:t>
      </w:r>
    </w:p>
    <w:tbl>
      <w:tblPr>
        <w:tblW w:w="9360" w:type="dxa"/>
        <w:jc w:val="center"/>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spacing w:lineRule="auto" w:line="240" w:before="0" w:after="0"/>
              <w:rPr/>
            </w:pPr>
            <w:r>
              <w:rPr>
                <w:rFonts w:eastAsia="Courier New" w:cs="Courier New" w:ascii="Courier New" w:hAnsi="Courier New"/>
                <w:sz w:val="18"/>
                <w:szCs w:val="18"/>
              </w:rPr>
              <w:t>{</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"running",</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"rows_seen":      35700,</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"tier1_flags":    3,</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"tier2_flags":    1,</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"alerts": [ { "ts": "...", "device": "l1", "interface": "l1-eth1",</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"mse": 5.234, "fault": "congestion" }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"rf_verdict":   { "fault": "Congestion", "confidence": 72.3,</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"device": "l1", "interface": "l1-eth1"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"lstm_verdict": { "mse": 5.234, "threshold": 4.314, "ratio": 1.21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"agent_steps":  [ "Step 1: get_metrics ...", "Step 2: get_topology ..."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"rca_report":   "## ROOT CAUSE ANALYSIS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"injected_fault": null,</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"last_update":  "..."</w:t>
            </w:r>
          </w:p>
          <w:p>
            <w:pPr>
              <w:pStyle w:val="Normal"/>
              <w:spacing w:lineRule="auto" w:line="240" w:before="0" w:after="0"/>
              <w:rPr/>
            </w:pPr>
            <w:r>
              <w:rPr>
                <w:rFonts w:eastAsia="Courier New" w:cs="Courier New" w:ascii="Courier New" w:hAnsi="Courier New"/>
                <w:sz w:val="18"/>
                <w:szCs w:val="18"/>
              </w:rPr>
              <w:t>}</w:t>
            </w:r>
          </w:p>
        </w:tc>
      </w:tr>
    </w:tbl>
    <w:p>
      <w:pPr>
        <w:pStyle w:val="Normal"/>
        <w:spacing w:lineRule="auto" w:line="319" w:before="120" w:after="140"/>
        <w:jc w:val="both"/>
        <w:rPr/>
      </w:pPr>
      <w:r>
        <w:t>The values in the example state file are illustrative; production threshold values are stored with trained model bundles.</w:t>
      </w:r>
    </w:p>
    <w:p>
      <w:pPr>
        <w:pStyle w:val="Normal"/>
        <w:keepNext w:val="true"/>
        <w:spacing w:before="160" w:after="80"/>
        <w:rPr/>
      </w:pPr>
      <w:r>
        <w:rPr>
          <w:rFonts w:eastAsia="Times New Roman" w:cs="Times New Roman"/>
          <w:b/>
          <w:bCs/>
          <w:sz w:val="24"/>
          <w:szCs w:val="24"/>
        </w:rPr>
        <w:t>B. Environment configuration (names only)</w:t>
      </w:r>
    </w:p>
    <w:p>
      <w:pPr>
        <w:pStyle w:val="Normal"/>
        <w:spacing w:lineRule="auto" w:line="319" w:before="0" w:after="140"/>
        <w:jc w:val="both"/>
        <w:rPr/>
      </w:pPr>
      <w:r>
        <w:rPr>
          <w:rFonts w:eastAsia="Times New Roman" w:cs="Times New Roman"/>
          <w:sz w:val="24"/>
          <w:szCs w:val="24"/>
        </w:rPr>
        <w:t>The local environment file holds the API keys for the Gemini service (GEMINI_API_KEY and GOOGLE_API_KEY). Their values are secret and are not reproduced in this report. The file is excluded from version control, in line with good practice for the handling of credentials (ISO/IEC 27001).</w:t>
      </w:r>
    </w:p>
    <w:p>
      <w:pPr>
        <w:pStyle w:val="Normal"/>
        <w:keepNext w:val="true"/>
        <w:spacing w:before="160" w:after="80"/>
        <w:rPr/>
      </w:pPr>
      <w:r>
        <w:rPr>
          <w:rFonts w:eastAsia="Times New Roman" w:cs="Times New Roman"/>
          <w:b/>
          <w:bCs/>
          <w:sz w:val="24"/>
          <w:szCs w:val="24"/>
        </w:rPr>
        <w:t>C. Starting the demonstration</w:t>
      </w:r>
    </w:p>
    <w:p>
      <w:pPr>
        <w:pStyle w:val="Normal"/>
        <w:spacing w:lineRule="auto" w:line="319" w:before="0" w:after="140"/>
        <w:jc w:val="both"/>
        <w:rPr/>
      </w:pPr>
      <w:r>
        <w:rPr>
          <w:rFonts w:eastAsia="Times New Roman" w:cs="Times New Roman"/>
          <w:sz w:val="24"/>
          <w:szCs w:val="24"/>
        </w:rPr>
        <w:t>A single script, start_demo.sh, activates the Python environment, loads the environment file, stops earlier runs, resets the state file, checks that the models exist, starts the live pipeline in the background and starts the Streamlit dashboard on port 8501. Faults can be injected with the dashboard buttons or from the command line with the script demo/inject_fault.py.</w:t>
      </w:r>
      <w:r>
        <w:br w:type="page"/>
      </w:r>
    </w:p>
    <w:p>
      <w:pPr>
        <w:pStyle w:val="Heading1"/>
      </w:pPr>
      <w:r>
        <w:br w:type="page"/>
      </w:r>
      <w:r>
        <w:t>Appendix 3: Dashboard and Evaluation Evidence</w:t>
      </w:r>
    </w:p>
    <w:p>
      <w:pPr>
        <w:pStyle w:val="Normal"/>
      </w:pPr>
      <w:r>
        <w:t>This appendix retains every supplied dashboard screenshot and every generated image from the results directory. The captions identify the interface or evaluation context; numerical conclusions in the body remain sourced from the structured result artifacts.</w:t>
      </w:r>
    </w:p>
    <w:p>
      <w:pPr>
        <w:pStyle w:val="Normal"/>
      </w:pPr>
      <w:r>
        <w:t>Figure A3.1: Root-cause evidence chain continuation</w:t>
      </w:r>
    </w:p>
    <w:p>
      <w:pPr>
        <w:pStyle w:val="Normal"/>
        <w:jc w:val="center"/>
      </w:pPr>
      <w:r>
        <w:drawing>
          <wp:inline xmlns:a="http://schemas.openxmlformats.org/drawingml/2006/main">
            <wp:extent cx="5486400" cy="2978563"/>
            <wp:docPr id="21" name="Picture 21"/>
            <wp:cNvGraphicFramePr>
              <a:graphicFrameLocks noChangeAspect="1"/>
            </wp:cNvGraphicFramePr>
            <a:graphic>
              <a:graphicData uri="http://schemas.openxmlformats.org/drawingml/2006/picture">
                <pic:pic>
                  <pic:nvPicPr>
                    <pic:cNvPr id="0" name="dashboard_live_monitor_RCA_part4.png"/>
                    <pic:cNvPicPr/>
                  </pic:nvPicPr>
                  <pic:blipFill>
                    <a:blip r:embed="rId31"/>
                    <a:stretch>
                      <a:fillRect/>
                    </a:stretch>
                  </pic:blipFill>
                  <pic:spPr>
                    <a:xfrm>
                      <a:off x="0" y="0"/>
                      <a:ext cx="5486400" cy="2978563"/>
                    </a:xfrm>
                    <a:prstGeom prst="rect"/>
                  </pic:spPr>
                </pic:pic>
              </a:graphicData>
            </a:graphic>
          </wp:inline>
        </w:drawing>
      </w:r>
    </w:p>
    <w:p>
      <w:pPr>
        <w:pStyle w:val="Normal"/>
      </w:pPr>
      <w:r>
        <w:t>Figure A3.2: Root-cause remediation recommendations</w:t>
      </w:r>
    </w:p>
    <w:p>
      <w:pPr>
        <w:pStyle w:val="Normal"/>
        <w:jc w:val="center"/>
      </w:pPr>
      <w:r>
        <w:drawing>
          <wp:inline xmlns:a="http://schemas.openxmlformats.org/drawingml/2006/main">
            <wp:extent cx="5486400" cy="5783191"/>
            <wp:docPr id="22" name="Picture 22"/>
            <wp:cNvGraphicFramePr>
              <a:graphicFrameLocks noChangeAspect="1"/>
            </wp:cNvGraphicFramePr>
            <a:graphic>
              <a:graphicData uri="http://schemas.openxmlformats.org/drawingml/2006/picture">
                <pic:pic>
                  <pic:nvPicPr>
                    <pic:cNvPr id="0" name="dashboard_live_monitor_RCA_part5.png"/>
                    <pic:cNvPicPr/>
                  </pic:nvPicPr>
                  <pic:blipFill>
                    <a:blip r:embed="rId32"/>
                    <a:stretch>
                      <a:fillRect/>
                    </a:stretch>
                  </pic:blipFill>
                  <pic:spPr>
                    <a:xfrm>
                      <a:off x="0" y="0"/>
                      <a:ext cx="5486400" cy="5783191"/>
                    </a:xfrm>
                    <a:prstGeom prst="rect"/>
                  </pic:spPr>
                </pic:pic>
              </a:graphicData>
            </a:graphic>
          </wp:inline>
        </w:drawing>
      </w:r>
    </w:p>
    <w:p>
      <w:pPr>
        <w:pStyle w:val="Normal"/>
      </w:pPr>
      <w:r>
        <w:t>Figure A3.3: Root-cause long-term remediation recommendations</w:t>
      </w:r>
    </w:p>
    <w:p>
      <w:pPr>
        <w:pStyle w:val="Normal"/>
        <w:jc w:val="center"/>
      </w:pPr>
      <w:r>
        <w:drawing>
          <wp:inline xmlns:a="http://schemas.openxmlformats.org/drawingml/2006/main">
            <wp:extent cx="5486400" cy="3967089"/>
            <wp:docPr id="23" name="Picture 23"/>
            <wp:cNvGraphicFramePr>
              <a:graphicFrameLocks noChangeAspect="1"/>
            </wp:cNvGraphicFramePr>
            <a:graphic>
              <a:graphicData uri="http://schemas.openxmlformats.org/drawingml/2006/picture">
                <pic:pic>
                  <pic:nvPicPr>
                    <pic:cNvPr id="0" name="dashboard_live_monitor_RCA_part6.png"/>
                    <pic:cNvPicPr/>
                  </pic:nvPicPr>
                  <pic:blipFill>
                    <a:blip r:embed="rId33"/>
                    <a:stretch>
                      <a:fillRect/>
                    </a:stretch>
                  </pic:blipFill>
                  <pic:spPr>
                    <a:xfrm>
                      <a:off x="0" y="0"/>
                      <a:ext cx="5486400" cy="3967089"/>
                    </a:xfrm>
                    <a:prstGeom prst="rect"/>
                  </pic:spPr>
                </pic:pic>
              </a:graphicData>
            </a:graphic>
          </wp:inline>
        </w:drawing>
      </w:r>
    </w:p>
    <w:p>
      <w:pPr>
        <w:pStyle w:val="Normal"/>
      </w:pPr>
      <w:r>
        <w:t>Figure A3.4: Root-cause confidence assessment</w:t>
      </w:r>
    </w:p>
    <w:p>
      <w:pPr>
        <w:pStyle w:val="Normal"/>
        <w:jc w:val="center"/>
      </w:pPr>
      <w:r>
        <w:drawing>
          <wp:inline xmlns:a="http://schemas.openxmlformats.org/drawingml/2006/main">
            <wp:extent cx="5486400" cy="4959178"/>
            <wp:docPr id="24" name="Picture 24"/>
            <wp:cNvGraphicFramePr>
              <a:graphicFrameLocks noChangeAspect="1"/>
            </wp:cNvGraphicFramePr>
            <a:graphic>
              <a:graphicData uri="http://schemas.openxmlformats.org/drawingml/2006/picture">
                <pic:pic>
                  <pic:nvPicPr>
                    <pic:cNvPr id="0" name="dashboard_live_monitor_RCA_part7.png"/>
                    <pic:cNvPicPr/>
                  </pic:nvPicPr>
                  <pic:blipFill>
                    <a:blip r:embed="rId34"/>
                    <a:stretch>
                      <a:fillRect/>
                    </a:stretch>
                  </pic:blipFill>
                  <pic:spPr>
                    <a:xfrm>
                      <a:off x="0" y="0"/>
                      <a:ext cx="5486400" cy="4959178"/>
                    </a:xfrm>
                    <a:prstGeom prst="rect"/>
                  </pic:spPr>
                </pic:pic>
              </a:graphicData>
            </a:graphic>
          </wp:inline>
        </w:drawing>
      </w:r>
    </w:p>
    <w:p>
      <w:pPr>
        <w:pStyle w:val="Normal"/>
      </w:pPr>
      <w:r>
        <w:t>Figure A3.5: Root-cause tool-evidence analysis panel</w:t>
      </w:r>
    </w:p>
    <w:p>
      <w:pPr>
        <w:pStyle w:val="Normal"/>
        <w:jc w:val="center"/>
      </w:pPr>
      <w:r>
        <w:drawing>
          <wp:inline xmlns:a="http://schemas.openxmlformats.org/drawingml/2006/main">
            <wp:extent cx="5486400" cy="3450987"/>
            <wp:docPr id="25" name="Picture 25"/>
            <wp:cNvGraphicFramePr>
              <a:graphicFrameLocks noChangeAspect="1"/>
            </wp:cNvGraphicFramePr>
            <a:graphic>
              <a:graphicData uri="http://schemas.openxmlformats.org/drawingml/2006/picture">
                <pic:pic>
                  <pic:nvPicPr>
                    <pic:cNvPr id="0" name="dashboard_live_monitor_RCA_part8.png"/>
                    <pic:cNvPicPr/>
                  </pic:nvPicPr>
                  <pic:blipFill>
                    <a:blip r:embed="rId35"/>
                    <a:stretch>
                      <a:fillRect/>
                    </a:stretch>
                  </pic:blipFill>
                  <pic:spPr>
                    <a:xfrm>
                      <a:off x="0" y="0"/>
                      <a:ext cx="5486400" cy="3450987"/>
                    </a:xfrm>
                    <a:prstGeom prst="rect"/>
                  </pic:spPr>
                </pic:pic>
              </a:graphicData>
            </a:graphic>
          </wp:inline>
        </w:drawing>
      </w:r>
    </w:p>
    <w:p>
      <w:pPr>
        <w:pStyle w:val="Normal"/>
      </w:pPr>
      <w:r>
        <w:t>Figure A3.6: Root-cause discarded-hypotheses panel</w:t>
      </w:r>
    </w:p>
    <w:p>
      <w:pPr>
        <w:pStyle w:val="Normal"/>
        <w:jc w:val="center"/>
      </w:pPr>
      <w:r>
        <w:drawing>
          <wp:inline xmlns:a="http://schemas.openxmlformats.org/drawingml/2006/main">
            <wp:extent cx="5486400" cy="3224391"/>
            <wp:docPr id="26" name="Picture 26"/>
            <wp:cNvGraphicFramePr>
              <a:graphicFrameLocks noChangeAspect="1"/>
            </wp:cNvGraphicFramePr>
            <a:graphic>
              <a:graphicData uri="http://schemas.openxmlformats.org/drawingml/2006/picture">
                <pic:pic>
                  <pic:nvPicPr>
                    <pic:cNvPr id="0" name="dashboard_live_monitor_RCA_part9.png"/>
                    <pic:cNvPicPr/>
                  </pic:nvPicPr>
                  <pic:blipFill>
                    <a:blip r:embed="rId36"/>
                    <a:stretch>
                      <a:fillRect/>
                    </a:stretch>
                  </pic:blipFill>
                  <pic:spPr>
                    <a:xfrm>
                      <a:off x="0" y="0"/>
                      <a:ext cx="5486400" cy="3224391"/>
                    </a:xfrm>
                    <a:prstGeom prst="rect"/>
                  </pic:spPr>
                </pic:pic>
              </a:graphicData>
            </a:graphic>
          </wp:inline>
        </w:drawing>
      </w:r>
    </w:p>
    <w:p>
      <w:pPr>
        <w:pStyle w:val="Normal"/>
      </w:pPr>
      <w:r>
        <w:t>Figure A3.7: Telemetry Analytics dashboard overview</w:t>
      </w:r>
    </w:p>
    <w:p>
      <w:pPr>
        <w:pStyle w:val="Normal"/>
        <w:jc w:val="center"/>
      </w:pPr>
      <w:r>
        <w:drawing>
          <wp:inline xmlns:a="http://schemas.openxmlformats.org/drawingml/2006/main">
            <wp:extent cx="5486400" cy="2420257"/>
            <wp:docPr id="27" name="Picture 27"/>
            <wp:cNvGraphicFramePr>
              <a:graphicFrameLocks noChangeAspect="1"/>
            </wp:cNvGraphicFramePr>
            <a:graphic>
              <a:graphicData uri="http://schemas.openxmlformats.org/drawingml/2006/picture">
                <pic:pic>
                  <pic:nvPicPr>
                    <pic:cNvPr id="0" name="dashboard_telemetry_analytics_part1.png"/>
                    <pic:cNvPicPr/>
                  </pic:nvPicPr>
                  <pic:blipFill>
                    <a:blip r:embed="rId37"/>
                    <a:stretch>
                      <a:fillRect/>
                    </a:stretch>
                  </pic:blipFill>
                  <pic:spPr>
                    <a:xfrm>
                      <a:off x="0" y="0"/>
                      <a:ext cx="5486400" cy="2420257"/>
                    </a:xfrm>
                    <a:prstGeom prst="rect"/>
                  </pic:spPr>
                </pic:pic>
              </a:graphicData>
            </a:graphic>
          </wp:inline>
        </w:drawing>
      </w:r>
    </w:p>
    <w:p>
      <w:pPr>
        <w:pStyle w:val="Normal"/>
      </w:pPr>
      <w:r>
        <w:t>Figure A3.8: Telemetry Analytics fault-distribution and metric panels</w:t>
      </w:r>
    </w:p>
    <w:p>
      <w:pPr>
        <w:pStyle w:val="Normal"/>
        <w:jc w:val="center"/>
      </w:pPr>
      <w:r>
        <w:drawing>
          <wp:inline xmlns:a="http://schemas.openxmlformats.org/drawingml/2006/main">
            <wp:extent cx="5486400" cy="2997952"/>
            <wp:docPr id="28" name="Picture 28"/>
            <wp:cNvGraphicFramePr>
              <a:graphicFrameLocks noChangeAspect="1"/>
            </wp:cNvGraphicFramePr>
            <a:graphic>
              <a:graphicData uri="http://schemas.openxmlformats.org/drawingml/2006/picture">
                <pic:pic>
                  <pic:nvPicPr>
                    <pic:cNvPr id="0" name="dashboard_telemetry_analytics_part2.png"/>
                    <pic:cNvPicPr/>
                  </pic:nvPicPr>
                  <pic:blipFill>
                    <a:blip r:embed="rId38"/>
                    <a:stretch>
                      <a:fillRect/>
                    </a:stretch>
                  </pic:blipFill>
                  <pic:spPr>
                    <a:xfrm>
                      <a:off x="0" y="0"/>
                      <a:ext cx="5486400" cy="2997952"/>
                    </a:xfrm>
                    <a:prstGeom prst="rect"/>
                  </pic:spPr>
                </pic:pic>
              </a:graphicData>
            </a:graphic>
          </wp:inline>
        </w:drawing>
      </w:r>
    </w:p>
    <w:p>
      <w:pPr>
        <w:pStyle w:val="Normal"/>
      </w:pPr>
      <w:r>
        <w:t>Figure A3.9: Telemetry Analytics anomaly and feature views</w:t>
      </w:r>
    </w:p>
    <w:p>
      <w:pPr>
        <w:pStyle w:val="Normal"/>
        <w:jc w:val="center"/>
      </w:pPr>
      <w:r>
        <w:drawing>
          <wp:inline xmlns:a="http://schemas.openxmlformats.org/drawingml/2006/main">
            <wp:extent cx="5486400" cy="1346356"/>
            <wp:docPr id="29" name="Picture 29"/>
            <wp:cNvGraphicFramePr>
              <a:graphicFrameLocks noChangeAspect="1"/>
            </wp:cNvGraphicFramePr>
            <a:graphic>
              <a:graphicData uri="http://schemas.openxmlformats.org/drawingml/2006/picture">
                <pic:pic>
                  <pic:nvPicPr>
                    <pic:cNvPr id="0" name="dashboard_telemetry_analytics_part3.png"/>
                    <pic:cNvPicPr/>
                  </pic:nvPicPr>
                  <pic:blipFill>
                    <a:blip r:embed="rId39"/>
                    <a:stretch>
                      <a:fillRect/>
                    </a:stretch>
                  </pic:blipFill>
                  <pic:spPr>
                    <a:xfrm>
                      <a:off x="0" y="0"/>
                      <a:ext cx="5486400" cy="1346356"/>
                    </a:xfrm>
                    <a:prstGeom prst="rect"/>
                  </pic:spPr>
                </pic:pic>
              </a:graphicData>
            </a:graphic>
          </wp:inline>
        </w:drawing>
      </w:r>
    </w:p>
    <w:p>
      <w:pPr>
        <w:pStyle w:val="Normal"/>
      </w:pPr>
      <w:r>
        <w:t>Figure A3.10: Benchmark dashboard summary cards</w:t>
      </w:r>
    </w:p>
    <w:p>
      <w:pPr>
        <w:pStyle w:val="Normal"/>
        <w:jc w:val="center"/>
      </w:pPr>
      <w:r>
        <w:drawing>
          <wp:inline xmlns:a="http://schemas.openxmlformats.org/drawingml/2006/main">
            <wp:extent cx="5486400" cy="2523176"/>
            <wp:docPr id="30" name="Picture 30"/>
            <wp:cNvGraphicFramePr>
              <a:graphicFrameLocks noChangeAspect="1"/>
            </wp:cNvGraphicFramePr>
            <a:graphic>
              <a:graphicData uri="http://schemas.openxmlformats.org/drawingml/2006/picture">
                <pic:pic>
                  <pic:nvPicPr>
                    <pic:cNvPr id="0" name="dashboard_benchmark_part1.png"/>
                    <pic:cNvPicPr/>
                  </pic:nvPicPr>
                  <pic:blipFill>
                    <a:blip r:embed="rId40"/>
                    <a:stretch>
                      <a:fillRect/>
                    </a:stretch>
                  </pic:blipFill>
                  <pic:spPr>
                    <a:xfrm>
                      <a:off x="0" y="0"/>
                      <a:ext cx="5486400" cy="2523176"/>
                    </a:xfrm>
                    <a:prstGeom prst="rect"/>
                  </pic:spPr>
                </pic:pic>
              </a:graphicData>
            </a:graphic>
          </wp:inline>
        </w:drawing>
      </w:r>
    </w:p>
    <w:p>
      <w:pPr>
        <w:pStyle w:val="Normal"/>
      </w:pPr>
      <w:r>
        <w:t>Figure A3.11: Benchmark dashboard detailed scenario table</w:t>
      </w:r>
    </w:p>
    <w:p>
      <w:pPr>
        <w:pStyle w:val="Normal"/>
        <w:jc w:val="center"/>
      </w:pPr>
      <w:r>
        <w:drawing>
          <wp:inline xmlns:a="http://schemas.openxmlformats.org/drawingml/2006/main">
            <wp:extent cx="5486400" cy="3070439"/>
            <wp:docPr id="31" name="Picture 31"/>
            <wp:cNvGraphicFramePr>
              <a:graphicFrameLocks noChangeAspect="1"/>
            </wp:cNvGraphicFramePr>
            <a:graphic>
              <a:graphicData uri="http://schemas.openxmlformats.org/drawingml/2006/picture">
                <pic:pic>
                  <pic:nvPicPr>
                    <pic:cNvPr id="0" name="dashboard_benchmark_part2.png"/>
                    <pic:cNvPicPr/>
                  </pic:nvPicPr>
                  <pic:blipFill>
                    <a:blip r:embed="rId41"/>
                    <a:stretch>
                      <a:fillRect/>
                    </a:stretch>
                  </pic:blipFill>
                  <pic:spPr>
                    <a:xfrm>
                      <a:off x="0" y="0"/>
                      <a:ext cx="5486400" cy="3070439"/>
                    </a:xfrm>
                    <a:prstGeom prst="rect"/>
                  </pic:spPr>
                </pic:pic>
              </a:graphicData>
            </a:graphic>
          </wp:inline>
        </w:drawing>
      </w:r>
    </w:p>
    <w:p>
      <w:pPr>
        <w:pStyle w:val="Normal"/>
      </w:pPr>
      <w:r>
        <w:t>Figure A3.12: Results-folder confusion matrices</w:t>
      </w:r>
    </w:p>
    <w:p>
      <w:pPr>
        <w:pStyle w:val="Normal"/>
        <w:jc w:val="center"/>
      </w:pPr>
      <w:r>
        <w:drawing>
          <wp:inline xmlns:a="http://schemas.openxmlformats.org/drawingml/2006/main">
            <wp:extent cx="5486400" cy="1436038"/>
            <wp:docPr id="32" name="Picture 32"/>
            <wp:cNvGraphicFramePr>
              <a:graphicFrameLocks noChangeAspect="1"/>
            </wp:cNvGraphicFramePr>
            <a:graphic>
              <a:graphicData uri="http://schemas.openxmlformats.org/drawingml/2006/picture">
                <pic:pic>
                  <pic:nvPicPr>
                    <pic:cNvPr id="0" name="confusion_matrices.png"/>
                    <pic:cNvPicPr/>
                  </pic:nvPicPr>
                  <pic:blipFill>
                    <a:blip r:embed="rId42"/>
                    <a:stretch>
                      <a:fillRect/>
                    </a:stretch>
                  </pic:blipFill>
                  <pic:spPr>
                    <a:xfrm>
                      <a:off x="0" y="0"/>
                      <a:ext cx="5486400" cy="1436038"/>
                    </a:xfrm>
                    <a:prstGeom prst="rect"/>
                  </pic:spPr>
                </pic:pic>
              </a:graphicData>
            </a:graphic>
          </wp:inline>
        </w:drawing>
      </w:r>
    </w:p>
    <w:p>
      <w:pPr>
        <w:pStyle w:val="Normal"/>
      </w:pPr>
      <w:r>
        <w:t>Figure A3.13: Results-folder ROC and precision-recall curves</w:t>
      </w:r>
    </w:p>
    <w:p>
      <w:pPr>
        <w:pStyle w:val="Normal"/>
        <w:jc w:val="center"/>
      </w:pPr>
      <w:r>
        <w:drawing>
          <wp:inline xmlns:a="http://schemas.openxmlformats.org/drawingml/2006/main">
            <wp:extent cx="5486400" cy="4267200"/>
            <wp:docPr id="33" name="Picture 33"/>
            <wp:cNvGraphicFramePr>
              <a:graphicFrameLocks noChangeAspect="1"/>
            </wp:cNvGraphicFramePr>
            <a:graphic>
              <a:graphicData uri="http://schemas.openxmlformats.org/drawingml/2006/picture">
                <pic:pic>
                  <pic:nvPicPr>
                    <pic:cNvPr id="0" name="roc_curves.png"/>
                    <pic:cNvPicPr/>
                  </pic:nvPicPr>
                  <pic:blipFill>
                    <a:blip r:embed="rId43"/>
                    <a:stretch>
                      <a:fillRect/>
                    </a:stretch>
                  </pic:blipFill>
                  <pic:spPr>
                    <a:xfrm>
                      <a:off x="0" y="0"/>
                      <a:ext cx="5486400" cy="4267200"/>
                    </a:xfrm>
                    <a:prstGeom prst="rect"/>
                  </pic:spPr>
                </pic:pic>
              </a:graphicData>
            </a:graphic>
          </wp:inline>
        </w:drawing>
      </w:r>
    </w:p>
    <w:p>
      <w:pPr>
        <w:pStyle w:val="Normal"/>
      </w:pPr>
      <w:r>
        <w:t>Figure A3.14: Results-folder threshold-sweep diagnostic</w:t>
      </w:r>
    </w:p>
    <w:p>
      <w:pPr>
        <w:pStyle w:val="Normal"/>
        <w:jc w:val="center"/>
      </w:pPr>
      <w:r>
        <w:drawing>
          <wp:inline xmlns:a="http://schemas.openxmlformats.org/drawingml/2006/main">
            <wp:extent cx="5486400" cy="3291840"/>
            <wp:docPr id="34" name="Picture 34"/>
            <wp:cNvGraphicFramePr>
              <a:graphicFrameLocks noChangeAspect="1"/>
            </wp:cNvGraphicFramePr>
            <a:graphic>
              <a:graphicData uri="http://schemas.openxmlformats.org/drawingml/2006/picture">
                <pic:pic>
                  <pic:nvPicPr>
                    <pic:cNvPr id="0" name="threshold_sweep.png"/>
                    <pic:cNvPicPr/>
                  </pic:nvPicPr>
                  <pic:blipFill>
                    <a:blip r:embed="rId44"/>
                    <a:stretch>
                      <a:fillRect/>
                    </a:stretch>
                  </pic:blipFill>
                  <pic:spPr>
                    <a:xfrm>
                      <a:off x="0" y="0"/>
                      <a:ext cx="5486400" cy="3291840"/>
                    </a:xfrm>
                    <a:prstGeom prst="rect"/>
                  </pic:spPr>
                </pic:pic>
              </a:graphicData>
            </a:graphic>
          </wp:inline>
        </w:drawing>
      </w:r>
    </w:p>
    <w:p>
      <w:pPr>
        <w:pStyle w:val="Heading1"/>
        <w:spacing w:before="0" w:after="240"/>
        <w:jc w:val="start"/>
        <w:rPr/>
      </w:pPr>
      <w:r>
        <w:rPr>
          <w:rFonts w:eastAsia="Times New Roman" w:cs="Times New Roman" w:ascii="Times New Roman" w:hAnsi="Times New Roman"/>
          <w:b/>
          <w:bCs/>
          <w:sz w:val="32"/>
          <w:szCs w:val="32"/>
        </w:rPr>
        <w:t>Bibliography</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w:t>
        <w:tab/>
        <w:t>T. Wankvar and A. Witayangkurn, “Automated root cause analysis of network failures in IP/MPLS network using machine learning and case-based reasoning,” IEEE Access, vol. 13, pp. 111542–111554, 2025, doi: 10.1109/ACCESS.2025.3583817.</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w:t>
        <w:tab/>
        <w:t>C. Almodovar, F. Sabrina, S. Karimi, and S. A. Azad, “LogFiT: Log anomaly detection using fine-tuned language models,” IEEE Trans. Netw. Service Manag., vol. 21, no. 2, pp. 1715–1723, Apr. 2024, doi: 10.1109/TNSM.2024.3358730.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w:t>
        <w:tab/>
        <w:t>J. Qi, Z. Luan, S. Huang, C. J. Fung, H. Yang, H. Li, D. Zhu, and D. Qian, “LogEncoder: Log-based contrastive representation learning for anomaly detection,” IEEE Trans. Netw. Service Manag., vol. 20, no. 2, pp. 1378–1391, Jun. 2023, doi: 10.1109/TNSM.2023.3239522.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[4]</w:t>
        <w:tab/>
        <w:t>C. Han, B. Guan, T. Li, D. Kang, J. Qin, and Y. Wu, “Few-shot log anomaly detection based on matching networks,” IEEE Trans. Netw. Service Manag., vol. 21, no. 3, pp. 2909–2925, 2024, doi: 10.1109/TNSM.2024.3363626.</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[5]</w:t>
        <w:tab/>
        <w:t>R. Xiao, W. Li, J. Lu, and S. Jin, “ContexLog: Non-parsing log anomaly detection with all information preservation and enhanced contextual representation,” IEEE Trans. Netw. Service Manag., vol. 21, no. 4, pp. 4750–4762, 2024, doi: 10.1109/TNSM.2024.3400283.</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[6]</w:t>
        <w:tab/>
        <w:t>P. Bagora, A. Ebrahimzadeh, F. Wuhib, and R. H. Glitho, “Labeling cloud metrics data for fault detection in cloud using active learning with test suite,” IEEE Trans. Netw. Service Manag., vol. 21, no. 3, pp. 2837–2853, Jun. 2024, doi: 10.1109/TNSM.2024.3355310.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[7]</w:t>
        <w:tab/>
        <w:t>K. Guo, J. Chen, P. Dong, S. Liu, and D. Gao, “FullSight: A feasible intelligent and collaborative framework for service function chains failure detection,” IEEE Trans. Netw. Service Manag., vol. 19, no. 4, pp. 4546–4565, Dec. 2022, doi: 10.1109/TNSM.2022.3183216.</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[8]</w:t>
        <w:tab/>
        <w:t>L. Mata, M. Sousa, P. Vieira, M. P. Queluz, and A. Rodrigues, “On the use of spatial graphs for performance degradation root-cause analysis toward self-healing mobile networks,” IEEE Access, vol. 12, pp. 20490–20508, 2024, doi: 10.1109/ACCESS.2024.3361284.</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[9]</w:t>
        <w:tab/>
        <w:t>B. Zhang, “Root cause analysis of communication network based on deep fuzzy neural network,” IEEE Access, vol. 11, pp. 135855–135863, 2023, doi: 10.1109/ACCESS.2023.3337029.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[10]</w:t>
        <w:tab/>
        <w:t>M. S. Riaz, H. N. Qureshi, U. Masood, A. Rizwan, A. Abu-Dayya, and A. Imran, “A hybrid deep learning-based (HYDRA) framework for multifault diagnosis using sparse MDT reports,” IEEE Access, vol. 10, pp. 67140–67151, 2022, doi: 10.1109/ACCESS.2022.3185639.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[11]</w:t>
        <w:tab/>
        <w:t>S. Kamamura, Y. Takei, M. Nishiguchi, Y. Hayashi, and T. Fujiwara, “Network anomaly detection through IP traffic analysis with variable granularity,” IEEE Access, vol. 11, pp. 129818–129828, 2023, doi: 10.1109/ACCESS.2023.3334212.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[12]</w:t>
        <w:tab/>
        <w:t>A. T. Williams, R. E. Sperl, and S. M. Chung, “Anomaly detection in multi-seasonal time series data,” IEEE Access, vol. 11, pp. 106456–106464, 2023, doi: 10.1109/ACCESS.2023.3317791.</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[13]</w:t>
        <w:tab/>
        <w:t>Y. Zhong, Z. Wang, X. Shi, J. Yang, and K. Li, “RFG-HELAD: A robust fine-grained network traffic anomaly detection model based on heterogeneous ensemble learning,” IEEE Trans. Inf. Forensics Security, vol. 19, pp. 5895–5910, 2024, doi: 10.1109/TIFS.2024.3402439.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[14]</w:t>
        <w:tab/>
        <w:t>J. Kim, M. Nakashima, W. Fan, S. Wuthier, X. Zhou, I. Kim, and S.-Y. Chang, “A machine learning approach to anomaly detection based on traffic monitoring for secure blockchain networking,” IEEE Trans. Netw. Service Manag., vol. 19, no. 3, pp. 3619–3632, Sep. 2022, doi: 10.1109/TNSM.2022.3173598.</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[15]</w:t>
        <w:tab/>
        <w:t>C.-C. Yen, W. Sun, H. Purmehdi, W. Park, K. R. Deshmukh, N. Thakrar, O. Nassef, and A. Jacobs, “Graph neural network based root cause analysis using multivariate time-series KPIs for wireless networks,” in Proc. NOMS 2022–2022 IEEE/IFIP Network Operations and Management Symposium, Budapest, Hungary, Apr. 2022, pp. 1–7, doi: 10.1109/NOMS54207.2022.9789858.</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[16]</w:t>
        <w:tab/>
        <w:t>V. Chandola, A. Banerjee, and V. Kumar, “Anomaly detection: A survey,” ACM Comput. Surv., vol. 41, no. 3, pp. 1–58, Jul. 2009.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[17]</w:t>
        <w:tab/>
        <w:t>L. Breiman, “Random forests,” Machine Learning, vol. 45, no. 1, pp. 5–32, 2001.</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[18]</w:t>
        <w:tab/>
        <w:t>S. Hochreiter and J. Schmidhuber, “Long short-term memory,” Neural Computation, vol. 9, no. 8, pp. 1735–1780, 1997.</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[19]</w:t>
        <w:tab/>
        <w:t>P. Malhotra, A. Ramakrishnan, G. Anand, L. Vig, P. Agarwal, and G. Shroff, “LSTM-based encoder-decoder for multi-sensor anomaly detection,” arXiv preprint arXiv:1607.00148, 2016.</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[20]</w:t>
        <w:tab/>
        <w:t>D. Bahdanau, K. Cho, and Y. Bengio, “Neural machine translation by jointly learning to align and translate,” in Proc. Int. Conf. Learning Representations (ICLR), 2015.</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[21]</w:t>
        <w:tab/>
        <w:t>S. Yao, J. Zhao, D. Yu, N. Du, I. Shafran, K. Narasimhan, and Y. Cao, “ReAct: Synergizing reasoning and acting in language models,” in Proc. Int. Conf. Learning Representations (ICLR), 2023.</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[22]</w:t>
        <w:tab/>
        <w:t>LangChain, “LangGraph documentation.” [Online]. Available: https://langchain-ai.github.io/langgraph/</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[23]</w:t>
        <w:tab/>
        <w:t>Google, “Gemini API documentation.” [Online]. Available: https://ai.google.dev/gemini-api/docs</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[24]</w:t>
        <w:tab/>
        <w:t>B. Lantz, B. Heller, and N. McKeown, “A network in a laptop: Rapid prototyping for software-defined networks,” in Proc. 9th ACM SIGCOMM Workshop on Hot Topics in Networks (HotNets-IX), 2010.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[25]</w:t>
        <w:tab/>
        <w:t>B. Pfaff et al., “The design and implementation of Open vSwitch,” in Proc. 12th USENIX Symp. Networked Systems Design and Implementation (NSDI), 2015, pp. 117–130.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[26]</w:t>
        <w:tab/>
        <w:t>S. J. Pan and Q. Yang, “A survey on transfer learning,” IEEE Trans. Knowl. Data Eng., vol. 22, no. 10, pp. 1345–1359, Oct. 2010.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[27]</w:t>
        <w:tab/>
        <w:t>N. V. Chawla, K. W. Bowyer, L. O. Hall, and W. P. Kegelmeyer, “SMOTE: Synthetic minority over-sampling technique,” J. Artif. Intell. Res., vol. 16, pp. 321–357, 2002.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[28]</w:t>
        <w:tab/>
        <w:t>F. Pedregosa et al., “Scikit-learn: Machine learning in Python,” J. Mach. Learn. Res., vol. 12, pp. 2825–2830, 2011.</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[29]</w:t>
        <w:tab/>
        <w:t>A. Paszke et al., “PyTorch: An imperative style, high-performance deep learning library,” in Advances in Neural Information Processing Systems (NeurIPS), vol. 32, 2019.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[30]</w:t>
        <w:tab/>
        <w:t>J. Case, R. Mundy, D. Partain, and B. Stewart, “Introduction and applicability statements for Internet-standard management framework,” RFC 3410, Dec. 2002.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[31]</w:t>
        <w:tab/>
        <w:t>K. McCloghrie and F. Kastenholz, “The interfaces group MIB,” RFC 2863, Jun. 2000.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[32]</w:t>
        <w:tab/>
        <w:t>R. Gerhards, “The syslog protocol,” RFC 5424, Mar. 2009.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[33]</w:t>
        <w:tab/>
        <w:t>J. Mogul and S. Deering, “Path MTU discovery,” RFC 1191, Nov. 1990.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[34]</w:t>
        <w:tab/>
        <w:t>S. Hemminger, “Network emulation with NetEm,” in Proc. linux.conf.au, Canberra, Australia, 2005.</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[35]</w:t>
        <w:tab/>
        <w:t>Streamlit Inc., “Streamlit documentation.” [Online]. Available: https://docs.streamlit.io</w:t>
      </w:r>
      <w:r>
        <w:br w:type="page"/>
      </w:r>
    </w:p>
    <w:p>
      <w:pPr>
        <w:pStyle w:val="Heading1"/>
        <w:spacing w:before="0" w:after="240"/>
        <w:jc w:val="start"/>
        <w:rPr/>
      </w:pPr>
      <w:r>
        <w:rPr>
          <w:rFonts w:eastAsia="Times New Roman" w:cs="Times New Roman" w:ascii="Times New Roman" w:hAnsi="Times New Roman"/>
          <w:b/>
          <w:bCs/>
          <w:sz w:val="32"/>
          <w:szCs w:val="32"/>
        </w:rPr>
        <w:t>Biodata</w:t>
      </w:r>
    </w:p>
    <w:tbl>
      <w:tblPr>
        <w:tblW w:w="9360" w:type="dxa"/>
        <w:jc w:val="start"/>
        <w:tblInd w:w="0" w:type="dxa"/>
        <w:tblLayout w:type="fixed"/>
        <w:tblCellMar>
          <w:top w:w="800" w:type="dxa"/>
          <w:start w:w="100" w:type="dxa"/>
          <w:bottom w:w="800" w:type="dxa"/>
          <w:end w:w="100" w:type="dxa"/>
        </w:tblCellMar>
      </w:tblPr>
      <w:tblGrid>
        <w:gridCol w:w="2399"/>
        <w:gridCol w:w="6961"/>
      </w:tblGrid>
      <w:tr>
        <w:trPr>
          <w:cantSplit/>
        </w:trPr>
        <w:tc>
          <w:tcPr>
            <w:tcW w:w="2399"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jc w:val="center"/>
              <w:rPr>
                <w:rFonts w:ascii="Times New Roman" w:hAnsi="Times New Roman" w:eastAsia="Times New Roman" w:cs="Times New Roman"/>
                <w:i/>
                <w:iCs/>
                <w:sz w:val="22"/>
                <w:szCs w:val="22"/>
                <w:shd w:fill="FFFF00" w:val="clea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1396365" cy="156591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1396365" cy="1565910"/>
                          </a:xfrm>
                          <a:prstGeom prst="rect">
                            <a:avLst/>
                          </a:prstGeom>
                          <a:noFill/>
                        </pic:spPr>
                      </pic:pic>
                    </a:graphicData>
                  </a:graphic>
                </wp:anchor>
              </w:drawing>
            </w:r>
          </w:p>
        </w:tc>
        <w:tc>
          <w:tcPr>
            <w:tcW w:w="6961" w:type="dxa"/>
            <w:tcBorders/>
            <w:tcMar>
              <w:top w:w="60" w:type="dxa"/>
              <w:start w:w="300" w:type="dxa"/>
              <w:bottom w:w="60" w:type="dxa"/>
              <w:end w:w="60" w:type="dxa"/>
            </w:tcMar>
            <w:vAlign w:val="center"/>
          </w:tcPr>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Name: </w:t>
            </w:r>
            <w:r>
              <w:rPr>
                <w:rFonts w:eastAsia="Times New Roman" w:cs="Times New Roman"/>
                <w:sz w:val="24"/>
                <w:szCs w:val="24"/>
                <w:shd w:fill="auto" w:val="clear"/>
              </w:rPr>
              <w:t>Dhar</w:t>
            </w:r>
            <w:r>
              <w:rPr>
                <w:rFonts w:eastAsia="Times New Roman" w:cs="Times New Roman"/>
                <w:sz w:val="24"/>
                <w:szCs w:val="24"/>
                <w:shd w:fill="auto" w:val="clear"/>
              </w:rPr>
              <w:t>h</w:t>
            </w:r>
            <w:r>
              <w:rPr>
                <w:rFonts w:eastAsia="Times New Roman" w:cs="Times New Roman"/>
                <w:sz w:val="24"/>
                <w:szCs w:val="24"/>
                <w:shd w:fill="auto" w:val="clear"/>
              </w:rPr>
              <w:t>shini V J</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Reg. No.: </w:t>
            </w:r>
            <w:r>
              <w:rPr>
                <w:rFonts w:eastAsia="Times New Roman" w:cs="Times New Roman"/>
                <w:sz w:val="24"/>
                <w:szCs w:val="24"/>
                <w:shd w:fill="auto" w:val="clear"/>
              </w:rPr>
              <w:t>23BLC1080</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Mobile No.: </w:t>
            </w:r>
            <w:r>
              <w:rPr>
                <w:rFonts w:eastAsia="Times New Roman" w:cs="Times New Roman"/>
                <w:sz w:val="24"/>
                <w:szCs w:val="24"/>
                <w:shd w:fill="auto" w:val="clear"/>
              </w:rPr>
              <w:t xml:space="preserve"> </w:t>
            </w:r>
            <w:r>
              <w:rPr>
                <w:rFonts w:eastAsia="Times New Roman" w:cs="Times New Roman"/>
                <w:sz w:val="24"/>
                <w:szCs w:val="24"/>
                <w:shd w:fill="auto" w:val="clear"/>
              </w:rPr>
              <w:t>8754095562</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E-mail: </w:t>
            </w:r>
            <w:r>
              <w:rPr>
                <w:rFonts w:eastAsia="Times New Roman" w:cs="Times New Roman"/>
                <w:sz w:val="24"/>
                <w:szCs w:val="24"/>
                <w:shd w:fill="auto" w:val="clear"/>
              </w:rPr>
              <w:t xml:space="preserve"> </w:t>
            </w:r>
            <w:r>
              <w:rPr>
                <w:rFonts w:eastAsia="Times New Roman" w:cs="Times New Roman"/>
                <w:sz w:val="24"/>
                <w:szCs w:val="24"/>
                <w:shd w:fill="auto" w:val="clear"/>
              </w:rPr>
              <w:t>dharhshinivj30@gmail.com</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Permanent Address: </w:t>
            </w:r>
            <w:r>
              <w:rPr>
                <w:rFonts w:eastAsia="Times New Roman" w:cs="Times New Roman"/>
                <w:sz w:val="24"/>
                <w:szCs w:val="24"/>
                <w:shd w:fill="auto" w:val="clear"/>
              </w:rPr>
              <w:t xml:space="preserve"> </w:t>
            </w:r>
            <w:r>
              <w:rPr>
                <w:rFonts w:eastAsia="Times New Roman" w:cs="Times New Roman"/>
                <w:sz w:val="24"/>
                <w:szCs w:val="24"/>
                <w:shd w:fill="auto" w:val="clear"/>
              </w:rPr>
              <w:t>9/296, Vijay Arcade, Ambal Nagar Main Road, Ambal Nagar, Kovur, Chennai – 600128</w:t>
            </w:r>
          </w:p>
        </w:tc>
      </w:tr>
    </w:tbl>
    <w:p>
      <w:pPr>
        <w:pStyle w:val="Normal"/>
        <w:spacing w:before="0" w:after="500"/>
        <w:rPr/>
      </w:pPr>
      <w:r>
        <w:rPr/>
      </w:r>
    </w:p>
    <w:tbl>
      <w:tblPr>
        <w:tblW w:w="9360" w:type="dxa"/>
        <w:jc w:val="start"/>
        <w:tblInd w:w="0" w:type="dxa"/>
        <w:tblLayout w:type="fixed"/>
        <w:tblCellMar>
          <w:top w:w="800" w:type="dxa"/>
          <w:start w:w="100" w:type="dxa"/>
          <w:bottom w:w="800" w:type="dxa"/>
          <w:end w:w="100" w:type="dxa"/>
        </w:tblCellMar>
      </w:tblPr>
      <w:tblGrid>
        <w:gridCol w:w="2399"/>
        <w:gridCol w:w="6961"/>
      </w:tblGrid>
      <w:tr>
        <w:trPr>
          <w:cantSplit/>
        </w:trPr>
        <w:tc>
          <w:tcPr>
            <w:tcW w:w="2399"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1396365" cy="125095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0"/>
                          <a:stretch>
                            <a:fillRect/>
                          </a:stretch>
                        </pic:blipFill>
                        <pic:spPr bwMode="auto">
                          <a:xfrm>
                            <a:off x="0" y="0"/>
                            <a:ext cx="1396365" cy="1250950"/>
                          </a:xfrm>
                          <a:prstGeom prst="rect">
                            <a:avLst/>
                          </a:prstGeom>
                          <a:noFill/>
                        </pic:spPr>
                      </pic:pic>
                    </a:graphicData>
                  </a:graphic>
                </wp:anchor>
              </w:drawing>
            </w:r>
          </w:p>
        </w:tc>
        <w:tc>
          <w:tcPr>
            <w:tcW w:w="6961" w:type="dxa"/>
            <w:tcBorders/>
            <w:tcMar>
              <w:top w:w="60" w:type="dxa"/>
              <w:start w:w="300" w:type="dxa"/>
              <w:bottom w:w="60" w:type="dxa"/>
              <w:end w:w="60" w:type="dxa"/>
            </w:tcMar>
            <w:vAlign w:val="center"/>
          </w:tcPr>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Name: </w:t>
            </w:r>
            <w:r>
              <w:rPr>
                <w:rFonts w:eastAsia="Times New Roman" w:cs="Times New Roman"/>
                <w:sz w:val="24"/>
                <w:szCs w:val="24"/>
                <w:shd w:fill="auto" w:val="clear"/>
              </w:rPr>
              <w:t>Hasith Anton M A</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Reg. No.: </w:t>
            </w:r>
            <w:r>
              <w:rPr>
                <w:rFonts w:eastAsia="Times New Roman" w:cs="Times New Roman"/>
                <w:sz w:val="24"/>
                <w:szCs w:val="24"/>
                <w:shd w:fill="auto" w:val="clear"/>
              </w:rPr>
              <w:t>23BLC1311</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Mobile No.: </w:t>
            </w:r>
            <w:r>
              <w:rPr>
                <w:rFonts w:eastAsia="Times New Roman" w:cs="Times New Roman"/>
                <w:sz w:val="24"/>
                <w:szCs w:val="24"/>
                <w:shd w:fill="auto" w:val="clear"/>
              </w:rPr>
              <w:t>7418742847</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E-mail: </w:t>
            </w:r>
            <w:r>
              <w:rPr>
                <w:rFonts w:eastAsia="Times New Roman" w:cs="Times New Roman"/>
                <w:sz w:val="24"/>
                <w:szCs w:val="24"/>
                <w:shd w:fill="auto" w:val="clear"/>
              </w:rPr>
              <w:t xml:space="preserve"> </w:t>
            </w:r>
            <w:r>
              <w:rPr>
                <w:rFonts w:eastAsia="Times New Roman" w:cs="Times New Roman"/>
                <w:sz w:val="24"/>
                <w:szCs w:val="24"/>
                <w:shd w:fill="auto" w:val="clear"/>
              </w:rPr>
              <w:t>hasithanton@gmail.com</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Permanent Address: </w:t>
            </w:r>
            <w:r>
              <w:rPr>
                <w:rFonts w:eastAsia="Times New Roman" w:cs="Times New Roman"/>
                <w:sz w:val="24"/>
                <w:szCs w:val="24"/>
                <w:shd w:fill="auto" w:val="clear"/>
              </w:rPr>
              <w:t xml:space="preserve"> </w:t>
            </w:r>
            <w:r>
              <w:rPr>
                <w:rFonts w:eastAsia="Times New Roman" w:cs="Times New Roman"/>
                <w:sz w:val="24"/>
                <w:szCs w:val="24"/>
                <w:shd w:fill="auto" w:val="clear"/>
              </w:rPr>
              <w:t>11/21 B ,Jothy Nagar 2</w:t>
            </w:r>
            <w:r>
              <w:rPr>
                <w:rFonts w:eastAsia="Times New Roman" w:cs="Times New Roman"/>
                <w:sz w:val="24"/>
                <w:szCs w:val="24"/>
                <w:shd w:fill="auto" w:val="clear"/>
                <w:vertAlign w:val="superscript"/>
              </w:rPr>
              <w:t>nd</w:t>
            </w:r>
            <w:r>
              <w:rPr>
                <w:rFonts w:eastAsia="Times New Roman" w:cs="Times New Roman"/>
                <w:sz w:val="24"/>
                <w:szCs w:val="24"/>
                <w:shd w:fill="auto" w:val="clear"/>
              </w:rPr>
              <w:t xml:space="preserve"> Street, Chitlapakkam,Chennai-600064</w:t>
            </w:r>
          </w:p>
        </w:tc>
      </w:tr>
    </w:tbl>
    <w:p>
      <w:pPr>
        <w:pStyle w:val="Normal"/>
        <w:spacing w:before="0" w:after="500"/>
        <w:rPr/>
      </w:pPr>
      <w:r>
        <w:rPr/>
      </w:r>
    </w:p>
    <w:tbl>
      <w:tblPr>
        <w:tblW w:w="9360" w:type="dxa"/>
        <w:jc w:val="start"/>
        <w:tblInd w:w="0" w:type="dxa"/>
        <w:tblLayout w:type="fixed"/>
        <w:tblCellMar>
          <w:top w:w="800" w:type="dxa"/>
          <w:start w:w="100" w:type="dxa"/>
          <w:bottom w:w="800" w:type="dxa"/>
          <w:end w:w="100" w:type="dxa"/>
        </w:tblCellMar>
      </w:tblPr>
      <w:tblGrid>
        <w:gridCol w:w="2399"/>
        <w:gridCol w:w="6961"/>
      </w:tblGrid>
      <w:tr>
        <w:trPr>
          <w:cantSplit/>
        </w:trPr>
        <w:tc>
          <w:tcPr>
            <w:tcW w:w="2399"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jc w:val="center"/>
              <w:rPr>
                <w:rFonts w:ascii="Times New Roman" w:hAnsi="Times New Roman" w:eastAsia="Times New Roman" w:cs="Times New Roman"/>
                <w:i/>
                <w:iCs/>
                <w:sz w:val="22"/>
                <w:szCs w:val="22"/>
                <w:shd w:fill="FFFF00" w:val="clea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1396365" cy="179641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1"/>
                          <a:stretch>
                            <a:fillRect/>
                          </a:stretch>
                        </pic:blipFill>
                        <pic:spPr bwMode="auto">
                          <a:xfrm>
                            <a:off x="0" y="0"/>
                            <a:ext cx="1396365" cy="1796415"/>
                          </a:xfrm>
                          <a:prstGeom prst="rect">
                            <a:avLst/>
                          </a:prstGeom>
                          <a:noFill/>
                        </pic:spPr>
                      </pic:pic>
                    </a:graphicData>
                  </a:graphic>
                </wp:anchor>
              </w:drawing>
            </w:r>
          </w:p>
        </w:tc>
        <w:tc>
          <w:tcPr>
            <w:tcW w:w="6961" w:type="dxa"/>
            <w:tcBorders/>
            <w:tcMar>
              <w:top w:w="60" w:type="dxa"/>
              <w:start w:w="300" w:type="dxa"/>
              <w:bottom w:w="60" w:type="dxa"/>
              <w:end w:w="60" w:type="dxa"/>
            </w:tcMar>
            <w:vAlign w:val="center"/>
          </w:tcPr>
          <w:p>
            <w:pPr>
              <w:pStyle w:val="Normal"/>
              <w:spacing w:lineRule="auto" w:line="276" w:before="0" w:after="100"/>
              <w:rPr/>
            </w:pPr>
            <w:r>
              <w:rPr>
                <w:rFonts w:eastAsia="Times New Roman" w:cs="Times New Roman"/>
                <w:b/>
                <w:bCs/>
                <w:sz w:val="24"/>
                <w:szCs w:val="24"/>
              </w:rPr>
              <w:t xml:space="preserve">Name: </w:t>
            </w:r>
            <w:r>
              <w:rPr>
                <w:rFonts w:eastAsia="Times New Roman" w:cs="Times New Roman"/>
                <w:sz w:val="24"/>
                <w:szCs w:val="24"/>
              </w:rPr>
              <w:t>Harish J</w:t>
            </w:r>
          </w:p>
          <w:p>
            <w:pPr>
              <w:pStyle w:val="Normal"/>
              <w:spacing w:lineRule="auto" w:line="276" w:before="0" w:after="100"/>
              <w:rPr/>
            </w:pPr>
            <w:r>
              <w:rPr>
                <w:rFonts w:eastAsia="Times New Roman" w:cs="Times New Roman"/>
                <w:b/>
                <w:bCs/>
                <w:sz w:val="24"/>
                <w:szCs w:val="24"/>
              </w:rPr>
              <w:t xml:space="preserve">Reg. No.: </w:t>
            </w:r>
            <w:r>
              <w:rPr>
                <w:rFonts w:eastAsia="Times New Roman" w:cs="Times New Roman"/>
                <w:sz w:val="24"/>
                <w:szCs w:val="24"/>
              </w:rPr>
              <w:t>23BLC1104</w:t>
            </w:r>
          </w:p>
          <w:p>
            <w:pPr>
              <w:pStyle w:val="Normal"/>
              <w:spacing w:lineRule="auto" w:line="276" w:before="0" w:after="100"/>
              <w:rPr/>
            </w:pPr>
            <w:r>
              <w:rPr>
                <w:rFonts w:eastAsia="Times New Roman" w:cs="Times New Roman"/>
                <w:b/>
                <w:bCs/>
                <w:sz w:val="24"/>
                <w:szCs w:val="24"/>
              </w:rPr>
              <w:t xml:space="preserve">Mobile No.: </w:t>
            </w:r>
            <w:r>
              <w:rPr>
                <w:rFonts w:eastAsia="Times New Roman" w:cs="Times New Roman"/>
                <w:sz w:val="24"/>
                <w:szCs w:val="24"/>
                <w:shd w:fill="FFFF00" w:val="clear"/>
              </w:rPr>
              <w:t xml:space="preserve"> </w:t>
            </w:r>
          </w:p>
          <w:p>
            <w:pPr>
              <w:pStyle w:val="Normal"/>
              <w:spacing w:lineRule="auto" w:line="276" w:before="0" w:after="100"/>
              <w:rPr/>
            </w:pPr>
            <w:r>
              <w:rPr>
                <w:rFonts w:eastAsia="Times New Roman" w:cs="Times New Roman"/>
                <w:b/>
                <w:bCs/>
                <w:sz w:val="24"/>
                <w:szCs w:val="24"/>
              </w:rPr>
              <w:t xml:space="preserve">E-mail: </w:t>
            </w:r>
            <w:r>
              <w:rPr>
                <w:rFonts w:eastAsia="Times New Roman" w:cs="Times New Roman"/>
                <w:sz w:val="24"/>
                <w:szCs w:val="24"/>
                <w:shd w:fill="FFFF00" w:val="clear"/>
              </w:rPr>
              <w:t xml:space="preserve"> </w:t>
            </w:r>
          </w:p>
          <w:p>
            <w:pPr>
              <w:pStyle w:val="Normal"/>
              <w:spacing w:lineRule="auto" w:line="276" w:before="0" w:after="100"/>
              <w:rPr/>
            </w:pPr>
            <w:r>
              <w:rPr>
                <w:rFonts w:eastAsia="Times New Roman" w:cs="Times New Roman"/>
                <w:b/>
                <w:bCs/>
                <w:sz w:val="24"/>
                <w:szCs w:val="24"/>
              </w:rPr>
              <w:t xml:space="preserve">Permanent Address: </w:t>
            </w:r>
            <w:r>
              <w:rPr>
                <w:rFonts w:eastAsia="Times New Roman" w:cs="Times New Roman"/>
                <w:sz w:val="24"/>
                <w:szCs w:val="24"/>
                <w:shd w:fill="FFFF00" w:val="clear"/>
              </w:rPr>
              <w:t xml:space="preserve"> </w:t>
            </w:r>
          </w:p>
        </w:tc>
      </w:tr>
    </w:tbl>
    <w:p>
      <w:pPr>
        <w:pStyle w:val="Normal"/>
        <w:spacing w:before="0" w:after="500"/>
        <w:rPr/>
      </w:pPr>
      <w:r>
        <w:rPr/>
      </w:r>
    </w:p>
    <w:sectPr>
      <w:footerReference w:type="even" r:id="rId12"/>
      <w:footerReference w:type="default" r:id="rId13"/>
      <w:footerReference w:type="first" r:id="rId14"/>
      <w:type w:val="nextPage"/>
      <w:pgSz w:w="12240" w:h="15840"/>
      <w:pgMar w:left="1440" w:right="1440" w:gutter="0" w:header="0" w:top="1440" w:footer="60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20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24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80" w:after="140"/>
      <w:outlineLvl w:val="1"/>
    </w:pPr>
    <w:rPr>
      <w:rFonts w:ascii="Times New Roman" w:hAnsi="Times New Roman" w:eastAsia="Times New Roman" w:cs="Times New Roman"/>
      <w:b/>
      <w:bCs/>
      <w:sz w:val="26"/>
      <w:szCs w:val="26"/>
    </w:rPr>
  </w:style>
  <w:style w:type="paragraph" w:styleId="Heading3">
    <w:name w:val="heading 3"/>
    <w:basedOn w:val="Heading"/>
    <w:qFormat/>
    <w:pPr>
      <w:spacing w:before="200" w:after="12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LibreOffice/26.2.6.3$Linux_X86_64 LibreOffice_project/620$Build-3</Application>
  <AppVersion>15.0000</AppVersion>
  <Pages>50</Pages>
  <Words>10976</Words>
  <Characters>58964</Characters>
  <CharactersWithSpaces>69051</CharactersWithSpaces>
  <Paragraphs>933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2026-10-24T11:42:00Z</dcterms:created>
  <dc:creator>Dharshini V J, Hasith Anton M A, Harish J</dc:creator>
  <dc:description>B.Tech project report, School of Electronics Engineering, VIT Chennai</dc:description>
  <dc:language>en-US</dc:language>
  <cp:lastModifiedBy/>
  <dcterms:modified xsi:type="dcterms:W3CDTF">2026-10-26T12:40:14Z</dcterms:modified>
  <cp:revision>2</cp:revision>
  <dc:subject/>
  <dc:title>Agentic AI Framework for Network Anomaly Detection, Root Cause Analysis and Remediation Recommendation</dc:title>
</cp:coreProperties>
</file>