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PROPOSAL</w:t>
      </w:r>
    </w:p>
    <w:p>
      <w:pPr>
        <w:jc w:val="center"/>
      </w:pPr>
      <w:r>
        <w:rPr>
          <w:i/>
          <w:sz w:val="24"/>
        </w:rPr>
        <w:t>Production-Grade Multi-Tenant AI Customer Service Platform for Banks &amp; Fintechs — Synthetic Data Demonstration Environment</w:t>
      </w:r>
    </w:p>
    <w:p>
      <w:pPr>
        <w:jc w:val="center"/>
      </w:pPr>
      <w:r>
        <w:rPr>
          <w:b/>
        </w:rPr>
        <w:t>FULL PROJECT PROPOSAL</w:t>
        <w:br/>
        <w:br/>
      </w:r>
      <w:r>
        <w:t>Version 2.0</w:t>
        <w:br/>
        <w:t>September 2026</w:t>
        <w:br/>
        <w:br/>
      </w:r>
      <w:r>
        <w:t>Prepared for: Banking / Financial Services AI SaaS Initiative</w:t>
      </w:r>
    </w:p>
    <w:p>
      <w:r>
        <w:br w:type="page"/>
      </w:r>
    </w:p>
    <w:p>
      <w:pPr>
        <w:pStyle w:val="Heading1"/>
      </w:pPr>
      <w:r>
        <w:t>1. Executive Summary</w:t>
      </w:r>
    </w:p>
    <w:p>
      <w:r>
        <w:t>This proposal presents a production-grade, multi-tenant SaaS platform that provides AI-powered customer service for banks and fintech institutions. The platform combines large language models (LLMs), retrieval-augmented generation (RAG), LangChain, LangGraph, controlled tool calling, banking-system integrations, identity-aware authorization, guardrails, human escalation, observability, evaluation, UAT and cloud-native deployment.</w:t>
      </w:r>
    </w:p>
    <w:p>
      <w:r>
        <w:t>The key design principle is that the LLM is an intelligent reasoning component, not a privileged banking system. It cannot directly access core banking databases. Customer-specific information and financial actions are exposed through authenticated, policy-controlled tools and APIs.</w:t>
      </w:r>
    </w:p>
    <w:p>
      <w:pPr>
        <w:pStyle w:val="Heading1"/>
      </w:pPr>
      <w:r>
        <w:t>2. Problem Statement</w:t>
      </w:r>
    </w:p>
    <w:p>
      <w:pPr>
        <w:pStyle w:val="ListBullet"/>
      </w:pPr>
      <w:r>
        <w:t>Banking customer-service teams handle large volumes of repetitive questions across products, cards, payments, loans, fees and policies.</w:t>
      </w:r>
    </w:p>
    <w:p>
      <w:pPr>
        <w:pStyle w:val="ListBullet"/>
      </w:pPr>
      <w:r>
        <w:t>Traditional chatbots are often limited to scripted flows and cannot reliably handle complex multi-turn conversations.</w:t>
      </w:r>
    </w:p>
    <w:p>
      <w:pPr>
        <w:pStyle w:val="ListBullet"/>
      </w:pPr>
      <w:r>
        <w:t>Generic LLM chatbots can hallucinate policies, expose sensitive information or attempt unsafe actions if they are not constrained.</w:t>
      </w:r>
    </w:p>
    <w:p>
      <w:pPr>
        <w:pStyle w:val="ListBullet"/>
      </w:pPr>
      <w:r>
        <w:t>Banking organizations require tenant isolation, strong authentication and authorization, traceability, auditability, human escalation and controlled deployment.</w:t>
      </w:r>
    </w:p>
    <w:p>
      <w:pPr>
        <w:pStyle w:val="ListBullet"/>
      </w:pPr>
      <w:r>
        <w:t>Bank-specific policies change frequently, requiring a versioned knowledge-management and RAG pipeline.</w:t>
      </w:r>
    </w:p>
    <w:p>
      <w:pPr>
        <w:pStyle w:val="Heading1"/>
      </w:pPr>
      <w:r>
        <w:t>3. Proposed Solution</w:t>
      </w:r>
    </w:p>
    <w:p>
      <w:r>
        <w:t>The proposed platform provides a configurable AI agent for each financial institution. It supports informational RAG conversations, authenticated customer-specific queries, controlled banking operations, complaint handling and escalation to human agents.</w:t>
      </w:r>
    </w:p>
    <w:p>
      <w:pPr>
        <w:pStyle w:val="Heading1"/>
      </w:pPr>
      <w:r>
        <w:t>4. Objectives</w:t>
      </w:r>
    </w:p>
    <w:p>
      <w:pPr>
        <w:pStyle w:val="ListBullet"/>
      </w:pPr>
      <w:r>
        <w:t>Provide accurate, grounded and source-traceable customer-service responses.</w:t>
      </w:r>
    </w:p>
    <w:p>
      <w:pPr>
        <w:pStyle w:val="ListBullet"/>
      </w:pPr>
      <w:r>
        <w:t>Reduce repetitive workload for customer-service staff.</w:t>
      </w:r>
    </w:p>
    <w:p>
      <w:pPr>
        <w:pStyle w:val="ListBullet"/>
      </w:pPr>
      <w:r>
        <w:t>Support authenticated customer-specific banking queries.</w:t>
      </w:r>
    </w:p>
    <w:p>
      <w:pPr>
        <w:pStyle w:val="ListBullet"/>
      </w:pPr>
      <w:r>
        <w:t>Execute approved actions through secure tool/API gateways.</w:t>
      </w:r>
    </w:p>
    <w:p>
      <w:pPr>
        <w:pStyle w:val="ListBullet"/>
      </w:pPr>
      <w:r>
        <w:t>Provide configurable multi-tenant SaaS capabilities for multiple banks.</w:t>
      </w:r>
    </w:p>
    <w:p>
      <w:pPr>
        <w:pStyle w:val="ListBullet"/>
      </w:pPr>
      <w:r>
        <w:t>Protect PII and financial information.</w:t>
      </w:r>
    </w:p>
    <w:p>
      <w:pPr>
        <w:pStyle w:val="ListBullet"/>
      </w:pPr>
      <w:r>
        <w:t>Detect and resist prompt injection and unsafe agent behavior.</w:t>
      </w:r>
    </w:p>
    <w:p>
      <w:pPr>
        <w:pStyle w:val="ListBullet"/>
      </w:pPr>
      <w:r>
        <w:t>Provide human-in-the-loop workflows for complaints and high-risk actions.</w:t>
      </w:r>
    </w:p>
    <w:p>
      <w:pPr>
        <w:pStyle w:val="ListBullet"/>
      </w:pPr>
      <w:r>
        <w:t>Measure RAG quality, agent quality, safety, latency and cost.</w:t>
      </w:r>
    </w:p>
    <w:p>
      <w:pPr>
        <w:pStyle w:val="ListBullet"/>
      </w:pPr>
      <w:r>
        <w:t>Deliver a controlled development, staging, UAT and production lifecycle.</w:t>
      </w:r>
    </w:p>
    <w:p>
      <w:pPr>
        <w:pStyle w:val="Heading1"/>
      </w:pPr>
      <w:r>
        <w:t>5. Scope</w:t>
      </w:r>
    </w:p>
    <w:p>
      <w:pPr>
        <w:pStyle w:val="Heading2"/>
      </w:pPr>
      <w:r>
        <w:t>5.1 In Scope</w:t>
      </w:r>
    </w:p>
    <w:p>
      <w:pPr>
        <w:pStyle w:val="ListBullet"/>
      </w:pPr>
      <w:r>
        <w:t>Web and mobile chat interfaces; additional channels such as WhatsApp and voice can be added in later phases.</w:t>
      </w:r>
    </w:p>
    <w:p>
      <w:pPr>
        <w:pStyle w:val="ListBullet"/>
      </w:pPr>
      <w:r>
        <w:t>Multi-tenant bank administration.</w:t>
      </w:r>
    </w:p>
    <w:p>
      <w:pPr>
        <w:pStyle w:val="ListBullet"/>
      </w:pPr>
      <w:r>
        <w:t>Document ingestion, parsing, chunking, metadata, embeddings, vector search, hybrid retrieval and reranking.</w:t>
      </w:r>
    </w:p>
    <w:p>
      <w:pPr>
        <w:pStyle w:val="ListBullet"/>
      </w:pPr>
      <w:r>
        <w:t>LangChain-based LLM integration and LangGraph agent orchestration.</w:t>
      </w:r>
    </w:p>
    <w:p>
      <w:pPr>
        <w:pStyle w:val="ListBullet"/>
      </w:pPr>
      <w:r>
        <w:t>Model gateway supporting multiple LLM providers.</w:t>
      </w:r>
    </w:p>
    <w:p>
      <w:pPr>
        <w:pStyle w:val="ListBullet"/>
      </w:pPr>
      <w:r>
        <w:t>Customer authentication, RBAC/ABAC and step-up authentication for sensitive actions.</w:t>
      </w:r>
    </w:p>
    <w:p>
      <w:pPr>
        <w:pStyle w:val="ListBullet"/>
      </w:pPr>
      <w:r>
        <w:t>Controlled tools for balances, transactions, cards, loans, payments, disputes, tickets and escalation.</w:t>
      </w:r>
    </w:p>
    <w:p>
      <w:pPr>
        <w:pStyle w:val="ListBullet"/>
      </w:pPr>
      <w:r>
        <w:t>PII detection/masking, guardrails, prompt-injection defenses and output validation.</w:t>
      </w:r>
    </w:p>
    <w:p>
      <w:pPr>
        <w:pStyle w:val="ListBullet"/>
      </w:pPr>
      <w:r>
        <w:t>Conversation memory and summaries.</w:t>
      </w:r>
    </w:p>
    <w:p>
      <w:pPr>
        <w:pStyle w:val="ListBullet"/>
      </w:pPr>
      <w:r>
        <w:t>Human-agent escalation and case management.</w:t>
      </w:r>
    </w:p>
    <w:p>
      <w:pPr>
        <w:pStyle w:val="ListBullet"/>
      </w:pPr>
      <w:r>
        <w:t>Audit logging, monitoring, tracing and cost analytics.</w:t>
      </w:r>
    </w:p>
    <w:p>
      <w:pPr>
        <w:pStyle w:val="ListBullet"/>
      </w:pPr>
      <w:r>
        <w:t>Evaluation datasets, automated regression tests, security tests, load tests and UAT.</w:t>
      </w:r>
    </w:p>
    <w:p>
      <w:pPr>
        <w:pStyle w:val="ListBullet"/>
      </w:pPr>
      <w:r>
        <w:t>Docker, Kubernetes/EKS, CI/CD, infrastructure as code and controlled production rollout.</w:t>
      </w:r>
    </w:p>
    <w:p>
      <w:pPr>
        <w:pStyle w:val="Heading2"/>
      </w:pPr>
      <w:r>
        <w:t>5.2 Out of Scope for Initial Release</w:t>
      </w:r>
    </w:p>
    <w:p>
      <w:pPr>
        <w:pStyle w:val="ListBullet"/>
      </w:pPr>
      <w:r>
        <w:t>Autonomous unrestricted money transfers.</w:t>
      </w:r>
    </w:p>
    <w:p>
      <w:pPr>
        <w:pStyle w:val="ListBullet"/>
      </w:pPr>
      <w:r>
        <w:t>Direct LLM access to core banking databases.</w:t>
      </w:r>
    </w:p>
    <w:p>
      <w:pPr>
        <w:pStyle w:val="ListBullet"/>
      </w:pPr>
      <w:r>
        <w:t>Fully autonomous high-risk financial decisions.</w:t>
      </w:r>
    </w:p>
    <w:p>
      <w:pPr>
        <w:pStyle w:val="ListBullet"/>
      </w:pPr>
      <w:r>
        <w:t>Production connection to real bank systems before security and UAT approval.</w:t>
      </w:r>
    </w:p>
    <w:p>
      <w:pPr>
        <w:pStyle w:val="ListBullet"/>
      </w:pPr>
      <w:r>
        <w:t>Full voice/contact-center implementation in the first release.</w:t>
      </w:r>
    </w:p>
    <w:p>
      <w:pPr>
        <w:pStyle w:val="Heading1"/>
      </w:pPr>
      <w:r>
        <w:t>6. Target Users</w:t>
      </w:r>
    </w:p>
    <w:tbl>
      <w:tblPr>
        <w:tblStyle w:val="TableGrid"/>
        <w:tblW w:type="auto" w:w="0"/>
        <w:tblLook w:firstColumn="1" w:firstRow="1" w:lastColumn="0" w:lastRow="0" w:noHBand="0" w:noVBand="1" w:val="04A0"/>
      </w:tblPr>
      <w:tblGrid>
        <w:gridCol w:w="4968"/>
        <w:gridCol w:w="4968"/>
      </w:tblGrid>
      <w:tr>
        <w:tc>
          <w:tcPr>
            <w:tcW w:type="dxa" w:w="4968"/>
          </w:tcPr>
          <w:p>
            <w:r>
              <w:t>User</w:t>
            </w:r>
          </w:p>
        </w:tc>
        <w:tc>
          <w:tcPr>
            <w:tcW w:type="dxa" w:w="4968"/>
          </w:tcPr>
          <w:p>
            <w:r>
              <w:t>Responsibilities</w:t>
            </w:r>
          </w:p>
        </w:tc>
      </w:tr>
      <w:tr>
        <w:tc>
          <w:tcPr>
            <w:tcW w:type="dxa" w:w="4968"/>
          </w:tcPr>
          <w:p>
            <w:r>
              <w:t>Bank customer</w:t>
            </w:r>
          </w:p>
        </w:tc>
        <w:tc>
          <w:tcPr>
            <w:tcW w:type="dxa" w:w="4968"/>
          </w:tcPr>
          <w:p>
            <w:r>
              <w:t>Ask questions, obtain account information, request supported services and raise complaints.</w:t>
            </w:r>
          </w:p>
        </w:tc>
      </w:tr>
      <w:tr>
        <w:tc>
          <w:tcPr>
            <w:tcW w:type="dxa" w:w="4968"/>
          </w:tcPr>
          <w:p>
            <w:r>
              <w:t>Customer-service agent</w:t>
            </w:r>
          </w:p>
        </w:tc>
        <w:tc>
          <w:tcPr>
            <w:tcW w:type="dxa" w:w="4968"/>
          </w:tcPr>
          <w:p>
            <w:r>
              <w:t>Review escalations, take over conversations and resolve cases.</w:t>
            </w:r>
          </w:p>
        </w:tc>
      </w:tr>
      <w:tr>
        <w:tc>
          <w:tcPr>
            <w:tcW w:type="dxa" w:w="4968"/>
          </w:tcPr>
          <w:p>
            <w:r>
              <w:t>Bank administrator</w:t>
            </w:r>
          </w:p>
        </w:tc>
        <w:tc>
          <w:tcPr>
            <w:tcW w:type="dxa" w:w="4968"/>
          </w:tcPr>
          <w:p>
            <w:r>
              <w:t>Manage knowledge, policies, tools, users, configuration and analytics.</w:t>
            </w:r>
          </w:p>
        </w:tc>
      </w:tr>
      <w:tr>
        <w:tc>
          <w:tcPr>
            <w:tcW w:type="dxa" w:w="4968"/>
          </w:tcPr>
          <w:p>
            <w:r>
              <w:t>Platform administrator</w:t>
            </w:r>
          </w:p>
        </w:tc>
        <w:tc>
          <w:tcPr>
            <w:tcW w:type="dxa" w:w="4968"/>
          </w:tcPr>
          <w:p>
            <w:r>
              <w:t>Manage tenants, models, plans, infrastructure, global policies and platform health.</w:t>
            </w:r>
          </w:p>
        </w:tc>
      </w:tr>
      <w:tr>
        <w:tc>
          <w:tcPr>
            <w:tcW w:type="dxa" w:w="4968"/>
          </w:tcPr>
          <w:p>
            <w:r>
              <w:t>Compliance/security team</w:t>
            </w:r>
          </w:p>
        </w:tc>
        <w:tc>
          <w:tcPr>
            <w:tcW w:type="dxa" w:w="4968"/>
          </w:tcPr>
          <w:p>
            <w:r>
              <w:t>Review audit events, policies, security findings and approvals.</w:t>
            </w:r>
          </w:p>
        </w:tc>
      </w:tr>
      <w:tr>
        <w:tc>
          <w:tcPr>
            <w:tcW w:type="dxa" w:w="4968"/>
          </w:tcPr>
          <w:p>
            <w:r>
              <w:t>Engineering/ML team</w:t>
            </w:r>
          </w:p>
        </w:tc>
        <w:tc>
          <w:tcPr>
            <w:tcW w:type="dxa" w:w="4968"/>
          </w:tcPr>
          <w:p>
            <w:r>
              <w:t>Maintain agents, RAG pipelines, models, evaluations and deployments.</w:t>
            </w:r>
          </w:p>
        </w:tc>
      </w:tr>
    </w:tbl>
    <w:p>
      <w:pPr>
        <w:pStyle w:val="Heading1"/>
      </w:pPr>
      <w:r>
        <w:t>7. End-to-End System Scenario</w:t>
      </w:r>
    </w:p>
    <w:p>
      <w:r>
        <w:t>Example: a customer reports an unrecognized credit-card transaction. The request enters through the customer channel, passes WAF/API validation and authentication, and is routed to the LangGraph agent. The agent classifies the intent as a card-transaction dispute and determines that authenticated customer data is required. A secure tool gateway validates identity and authorization before retrieving transaction information from a bank API. The RAG subsystem retrieves the current dispute policy using tenant and document-version filters. The agent explains the dispute process and, after required authentication/approval, calls the dispute-creation tool. The bank API returns a case reference. The final response is validated for policy, PII and safety. The complete decision, retrieval, tool and audit trail is stored.</w:t>
      </w:r>
    </w:p>
    <w:p>
      <w:pPr>
        <w:pStyle w:val="Heading1"/>
      </w:pPr>
      <w:r>
        <w:t>8. System Architecture</w:t>
      </w:r>
    </w:p>
    <w:p>
      <w:r>
        <w:t>Customer Channels → CDN/WAF → API Gateway/BFF → Authentication → Conversation Service → LangGraph Agent Orchestrator → RAG Agent / Tool Agent / Human Escalation → Knowledge Platform / Tool Gateway / Human Agent Platform → Bank Integration Layer → Core Banking, CRM, Card, Loan and Payment Systems.</w:t>
      </w:r>
    </w:p>
    <w:p>
      <w:r>
        <w:t>Cross-cutting controls include IAM, RBAC/ABAC, encryption, secrets management, PII controls, prompt-injection defenses, guardrails, audit logging, observability, evaluation and cost controls.</w:t>
      </w:r>
    </w:p>
    <w:p>
      <w:pPr>
        <w:pStyle w:val="Heading1"/>
      </w:pPr>
      <w:r>
        <w:t>9. AI and LLM Strategy</w:t>
      </w:r>
    </w:p>
    <w:tbl>
      <w:tblPr>
        <w:tblStyle w:val="TableGrid"/>
        <w:tblW w:type="auto" w:w="0"/>
        <w:tblLook w:firstColumn="1" w:firstRow="1" w:lastColumn="0" w:lastRow="0" w:noHBand="0" w:noVBand="1" w:val="04A0"/>
      </w:tblPr>
      <w:tblGrid>
        <w:gridCol w:w="3312"/>
        <w:gridCol w:w="3312"/>
        <w:gridCol w:w="3312"/>
      </w:tblGrid>
      <w:tr>
        <w:tc>
          <w:tcPr>
            <w:tcW w:type="dxa" w:w="3312"/>
          </w:tcPr>
          <w:p>
            <w:r>
              <w:t>Layer</w:t>
            </w:r>
          </w:p>
        </w:tc>
        <w:tc>
          <w:tcPr>
            <w:tcW w:type="dxa" w:w="3312"/>
          </w:tcPr>
          <w:p>
            <w:r>
              <w:t>Purpose</w:t>
            </w:r>
          </w:p>
        </w:tc>
        <w:tc>
          <w:tcPr>
            <w:tcW w:type="dxa" w:w="3312"/>
          </w:tcPr>
          <w:p>
            <w:r>
              <w:t>Recommended approach</w:t>
            </w:r>
          </w:p>
        </w:tc>
      </w:tr>
      <w:tr>
        <w:tc>
          <w:tcPr>
            <w:tcW w:type="dxa" w:w="3312"/>
          </w:tcPr>
          <w:p>
            <w:r>
              <w:t>Fast model</w:t>
            </w:r>
          </w:p>
        </w:tc>
        <w:tc>
          <w:tcPr>
            <w:tcW w:type="dxa" w:w="3312"/>
          </w:tcPr>
          <w:p>
            <w:r>
              <w:t>Intent classification, language detection, routing, simple FAQ</w:t>
            </w:r>
          </w:p>
        </w:tc>
        <w:tc>
          <w:tcPr>
            <w:tcW w:type="dxa" w:w="3312"/>
          </w:tcPr>
          <w:p>
            <w:r>
              <w:t>Low-cost/high-throughput model such as Gemini Flash-Lite-class model; benchmark alternatives.</w:t>
            </w:r>
          </w:p>
        </w:tc>
      </w:tr>
      <w:tr>
        <w:tc>
          <w:tcPr>
            <w:tcW w:type="dxa" w:w="3312"/>
          </w:tcPr>
          <w:p>
            <w:r>
              <w:t>Primary model</w:t>
            </w:r>
          </w:p>
        </w:tc>
        <w:tc>
          <w:tcPr>
            <w:tcW w:type="dxa" w:w="3312"/>
          </w:tcPr>
          <w:p>
            <w:r>
              <w:t>Normal customer-service RAG and tool calling</w:t>
            </w:r>
          </w:p>
        </w:tc>
        <w:tc>
          <w:tcPr>
            <w:tcW w:type="dxa" w:w="3312"/>
          </w:tcPr>
          <w:p>
            <w:r>
              <w:t>Benchmark current GPT-5.x, Claude Sonnet-class and Gemini Flash-class production models.</w:t>
            </w:r>
          </w:p>
        </w:tc>
      </w:tr>
      <w:tr>
        <w:tc>
          <w:tcPr>
            <w:tcW w:type="dxa" w:w="3312"/>
          </w:tcPr>
          <w:p>
            <w:r>
              <w:t>Advanced model</w:t>
            </w:r>
          </w:p>
        </w:tc>
        <w:tc>
          <w:tcPr>
            <w:tcW w:type="dxa" w:w="3312"/>
          </w:tcPr>
          <w:p>
            <w:r>
              <w:t>Complex reasoning, difficult complaints and policy interpretation</w:t>
            </w:r>
          </w:p>
        </w:tc>
        <w:tc>
          <w:tcPr>
            <w:tcW w:type="dxa" w:w="3312"/>
          </w:tcPr>
          <w:p>
            <w:r>
              <w:t>Benchmark frontier reasoning models such as Claude Opus-class, GPT frontier reasoning and Gemini high-end models.</w:t>
            </w:r>
          </w:p>
        </w:tc>
      </w:tr>
      <w:tr>
        <w:tc>
          <w:tcPr>
            <w:tcW w:type="dxa" w:w="3312"/>
          </w:tcPr>
          <w:p>
            <w:r>
              <w:t>Embeddings</w:t>
            </w:r>
          </w:p>
        </w:tc>
        <w:tc>
          <w:tcPr>
            <w:tcW w:type="dxa" w:w="3312"/>
          </w:tcPr>
          <w:p>
            <w:r>
              <w:t>Semantic retrieval</w:t>
            </w:r>
          </w:p>
        </w:tc>
        <w:tc>
          <w:tcPr>
            <w:tcW w:type="dxa" w:w="3312"/>
          </w:tcPr>
          <w:p>
            <w:r>
              <w:t>Use an enterprise embedding model; benchmark Gemini Embedding-class and alternatives.</w:t>
            </w:r>
          </w:p>
        </w:tc>
      </w:tr>
      <w:tr>
        <w:tc>
          <w:tcPr>
            <w:tcW w:type="dxa" w:w="3312"/>
          </w:tcPr>
          <w:p>
            <w:r>
              <w:t>Reranker</w:t>
            </w:r>
          </w:p>
        </w:tc>
        <w:tc>
          <w:tcPr>
            <w:tcW w:type="dxa" w:w="3312"/>
          </w:tcPr>
          <w:p>
            <w:r>
              <w:t>Improve top-k retrieval quality</w:t>
            </w:r>
          </w:p>
        </w:tc>
        <w:tc>
          <w:tcPr>
            <w:tcW w:type="dxa" w:w="3312"/>
          </w:tcPr>
          <w:p>
            <w:r>
              <w:t>Cohere/Voyage/cross-encoder class reranker; select by offline evaluation.</w:t>
            </w:r>
          </w:p>
        </w:tc>
      </w:tr>
    </w:tbl>
    <w:p>
      <w:r>
        <w:t>The platform should use a model gateway so the product is not locked to one provider. Model selection should be based on accuracy, tool-call reliability, latency, context capacity, privacy requirements, regional availability and cost.</w:t>
      </w:r>
    </w:p>
    <w:p>
      <w:pPr>
        <w:pStyle w:val="Heading1"/>
      </w:pPr>
      <w:r>
        <w:t>10. RAG Architecture</w:t>
      </w:r>
    </w:p>
    <w:p>
      <w:pPr>
        <w:pStyle w:val="ListNumber"/>
      </w:pPr>
      <w:r>
        <w:t>Bank administrator uploads a document.</w:t>
      </w:r>
    </w:p>
    <w:p>
      <w:pPr>
        <w:pStyle w:val="ListNumber"/>
      </w:pPr>
      <w:r>
        <w:t>File is virus-scanned and validated.</w:t>
      </w:r>
    </w:p>
    <w:p>
      <w:pPr>
        <w:pStyle w:val="ListNumber"/>
      </w:pPr>
      <w:r>
        <w:t>Parser extracts structured content.</w:t>
      </w:r>
    </w:p>
    <w:p>
      <w:pPr>
        <w:pStyle w:val="ListNumber"/>
      </w:pPr>
      <w:r>
        <w:t>Content is cleaned and classified.</w:t>
      </w:r>
    </w:p>
    <w:p>
      <w:pPr>
        <w:pStyle w:val="ListNumber"/>
      </w:pPr>
      <w:r>
        <w:t>Metadata such as tenant, product, version, effective dates and access level is attached.</w:t>
      </w:r>
    </w:p>
    <w:p>
      <w:pPr>
        <w:pStyle w:val="ListNumber"/>
      </w:pPr>
      <w:r>
        <w:t>Content is intelligently chunked.</w:t>
      </w:r>
    </w:p>
    <w:p>
      <w:pPr>
        <w:pStyle w:val="ListNumber"/>
      </w:pPr>
      <w:r>
        <w:t>Embeddings are generated.</w:t>
      </w:r>
    </w:p>
    <w:p>
      <w:pPr>
        <w:pStyle w:val="ListNumber"/>
      </w:pPr>
      <w:r>
        <w:t>Chunks are stored in a vector database and keyword index.</w:t>
      </w:r>
    </w:p>
    <w:p>
      <w:pPr>
        <w:pStyle w:val="ListNumber"/>
      </w:pPr>
      <w:r>
        <w:t>Draft content is reviewed and approved.</w:t>
      </w:r>
    </w:p>
    <w:p>
      <w:pPr>
        <w:pStyle w:val="ListNumber"/>
      </w:pPr>
      <w:r>
        <w:t>Published versions become retrievable.</w:t>
      </w:r>
    </w:p>
    <w:p>
      <w:pPr>
        <w:pStyle w:val="ListNumber"/>
      </w:pPr>
      <w:r>
        <w:t>At query time, tenant and access filters are applied.</w:t>
      </w:r>
    </w:p>
    <w:p>
      <w:pPr>
        <w:pStyle w:val="ListNumber"/>
      </w:pPr>
      <w:r>
        <w:t>Hybrid semantic + keyword retrieval runs.</w:t>
      </w:r>
    </w:p>
    <w:p>
      <w:pPr>
        <w:pStyle w:val="ListNumber"/>
      </w:pPr>
      <w:r>
        <w:t>Results are reranked.</w:t>
      </w:r>
    </w:p>
    <w:p>
      <w:pPr>
        <w:pStyle w:val="ListNumber"/>
      </w:pPr>
      <w:r>
        <w:t>Top evidence is passed to the LLM.</w:t>
      </w:r>
    </w:p>
    <w:p>
      <w:pPr>
        <w:pStyle w:val="ListNumber"/>
      </w:pPr>
      <w:r>
        <w:t>Response is generated with source/citation metadata and safety validation.</w:t>
      </w:r>
    </w:p>
    <w:p>
      <w:pPr>
        <w:pStyle w:val="Heading1"/>
      </w:pPr>
      <w:r>
        <w:t>11. Agent Architecture</w:t>
      </w:r>
    </w:p>
    <w:p>
      <w:r>
        <w:t>LangChain provides the LLM, retriever, prompt and tool abstractions. LangGraph manages the deterministic agent workflow and state transitions. The recommended graph is: START → Security Check → Intent Router → RAG Query / Tool Query / Complaint → Retrieval or Authorization → Tool Gateway where required → Safety Validator → Response Guard → END.</w:t>
      </w:r>
    </w:p>
    <w:p>
      <w:pPr>
        <w:pStyle w:val="Heading1"/>
      </w:pPr>
      <w:r>
        <w:t>12. Banking Tool Layer</w:t>
      </w:r>
    </w:p>
    <w:p>
      <w:pPr>
        <w:pStyle w:val="ListBullet"/>
      </w:pPr>
      <w:r>
        <w:t>get_customer_profile()</w:t>
      </w:r>
    </w:p>
    <w:p>
      <w:pPr>
        <w:pStyle w:val="ListBullet"/>
      </w:pPr>
      <w:r>
        <w:t>get_account_summary()</w:t>
      </w:r>
    </w:p>
    <w:p>
      <w:pPr>
        <w:pStyle w:val="ListBullet"/>
      </w:pPr>
      <w:r>
        <w:t>get_account_balance()</w:t>
      </w:r>
    </w:p>
    <w:p>
      <w:pPr>
        <w:pStyle w:val="ListBullet"/>
      </w:pPr>
      <w:r>
        <w:t>get_transactions()</w:t>
      </w:r>
    </w:p>
    <w:p>
      <w:pPr>
        <w:pStyle w:val="ListBullet"/>
      </w:pPr>
      <w:r>
        <w:t>get_card_status()</w:t>
      </w:r>
    </w:p>
    <w:p>
      <w:pPr>
        <w:pStyle w:val="ListBullet"/>
      </w:pPr>
      <w:r>
        <w:t>block_card()</w:t>
      </w:r>
    </w:p>
    <w:p>
      <w:pPr>
        <w:pStyle w:val="ListBullet"/>
      </w:pPr>
      <w:r>
        <w:t>replace_card()</w:t>
      </w:r>
    </w:p>
    <w:p>
      <w:pPr>
        <w:pStyle w:val="ListBullet"/>
      </w:pPr>
      <w:r>
        <w:t>get_card_transactions()</w:t>
      </w:r>
    </w:p>
    <w:p>
      <w:pPr>
        <w:pStyle w:val="ListBullet"/>
      </w:pPr>
      <w:r>
        <w:t>get_loan_status()</w:t>
      </w:r>
    </w:p>
    <w:p>
      <w:pPr>
        <w:pStyle w:val="ListBullet"/>
      </w:pPr>
      <w:r>
        <w:t>get_loan_balance()</w:t>
      </w:r>
    </w:p>
    <w:p>
      <w:pPr>
        <w:pStyle w:val="ListBullet"/>
      </w:pPr>
      <w:r>
        <w:t>get_payment_status()</w:t>
      </w:r>
    </w:p>
    <w:p>
      <w:pPr>
        <w:pStyle w:val="ListBullet"/>
      </w:pPr>
      <w:r>
        <w:t>create_payment_dispute()</w:t>
      </w:r>
    </w:p>
    <w:p>
      <w:pPr>
        <w:pStyle w:val="ListBullet"/>
      </w:pPr>
      <w:r>
        <w:t>create_support_ticket()</w:t>
      </w:r>
    </w:p>
    <w:p>
      <w:pPr>
        <w:pStyle w:val="ListBullet"/>
      </w:pPr>
      <w:r>
        <w:t>get_ticket_status()</w:t>
      </w:r>
    </w:p>
    <w:p>
      <w:pPr>
        <w:pStyle w:val="ListBullet"/>
      </w:pPr>
      <w:r>
        <w:t>escalate_to_human()</w:t>
      </w:r>
    </w:p>
    <w:p>
      <w:r>
        <w:t>Every tool must enforce server-side authorization. Tool requests should carry tenant, authenticated customer identity, session, purpose, risk classification and correlation ID. High-risk actions require step-up authentication or human approval.</w:t>
      </w:r>
    </w:p>
    <w:p>
      <w:pPr>
        <w:pStyle w:val="Heading1"/>
      </w:pPr>
      <w:r>
        <w:t>13. Security and Responsible AI</w:t>
      </w:r>
    </w:p>
    <w:p>
      <w:pPr>
        <w:pStyle w:val="ListBullet"/>
      </w:pPr>
      <w:r>
        <w:t>Never allow direct LLM-to-database access.</w:t>
      </w:r>
    </w:p>
    <w:p>
      <w:pPr>
        <w:pStyle w:val="ListBullet"/>
      </w:pPr>
      <w:r>
        <w:t>Use least privilege for tools and service identities.</w:t>
      </w:r>
    </w:p>
    <w:p>
      <w:pPr>
        <w:pStyle w:val="ListBullet"/>
      </w:pPr>
      <w:r>
        <w:t>Use tenant isolation at application and data layers.</w:t>
      </w:r>
    </w:p>
    <w:p>
      <w:pPr>
        <w:pStyle w:val="ListBullet"/>
      </w:pPr>
      <w:r>
        <w:t>Encrypt data in transit and at rest.</w:t>
      </w:r>
    </w:p>
    <w:p>
      <w:pPr>
        <w:pStyle w:val="ListBullet"/>
      </w:pPr>
      <w:r>
        <w:t>Use a secrets manager rather than hard-coded credentials.</w:t>
      </w:r>
    </w:p>
    <w:p>
      <w:pPr>
        <w:pStyle w:val="ListBullet"/>
      </w:pPr>
      <w:r>
        <w:t>Detect and redact sensitive PII before model calls where appropriate.</w:t>
      </w:r>
    </w:p>
    <w:p>
      <w:pPr>
        <w:pStyle w:val="ListBullet"/>
      </w:pPr>
      <w:r>
        <w:t>Treat retrieved documents as untrusted data, not instructions.</w:t>
      </w:r>
    </w:p>
    <w:p>
      <w:pPr>
        <w:pStyle w:val="ListBullet"/>
      </w:pPr>
      <w:r>
        <w:t>Apply prompt-injection detection and output validation.</w:t>
      </w:r>
    </w:p>
    <w:p>
      <w:pPr>
        <w:pStyle w:val="ListBullet"/>
      </w:pPr>
      <w:r>
        <w:t>Maintain immutable or strongly protected audit trails.</w:t>
      </w:r>
    </w:p>
    <w:p>
      <w:pPr>
        <w:pStyle w:val="ListBullet"/>
      </w:pPr>
      <w:r>
        <w:t>Use human approval for high-risk financial actions.</w:t>
      </w:r>
    </w:p>
    <w:p>
      <w:pPr>
        <w:pStyle w:val="ListBullet"/>
      </w:pPr>
      <w:r>
        <w:t>Maintain model, prompt, retrieval and document versions.</w:t>
      </w:r>
    </w:p>
    <w:p>
      <w:pPr>
        <w:pStyle w:val="ListBullet"/>
      </w:pPr>
      <w:r>
        <w:t>Provide retention and deletion policies aligned with bank requirements.</w:t>
      </w:r>
    </w:p>
    <w:p>
      <w:pPr>
        <w:pStyle w:val="Heading1"/>
      </w:pPr>
      <w:r>
        <w:t>14. SaaS Multi-Tenancy</w:t>
      </w:r>
    </w:p>
    <w:p>
      <w:r>
        <w:t>Each tenant receives isolated configuration, knowledge namespaces, conversations, customers, tools, API credentials, analytics and audit data. Tenant identifiers must be enforced in every request path and database query. Enterprise customers can be offered dedicated environments when required.</w:t>
      </w:r>
    </w:p>
    <w:p>
      <w:pPr>
        <w:pStyle w:val="Heading1"/>
      </w:pPr>
      <w:r>
        <w:t>15. Data Architecture</w:t>
      </w:r>
    </w:p>
    <w:tbl>
      <w:tblPr>
        <w:tblStyle w:val="TableGrid"/>
        <w:tblW w:type="auto" w:w="0"/>
        <w:tblLook w:firstColumn="1" w:firstRow="1" w:lastColumn="0" w:lastRow="0" w:noHBand="0" w:noVBand="1" w:val="04A0"/>
      </w:tblPr>
      <w:tblGrid>
        <w:gridCol w:w="4968"/>
        <w:gridCol w:w="4968"/>
      </w:tblGrid>
      <w:tr>
        <w:tc>
          <w:tcPr>
            <w:tcW w:type="dxa" w:w="4968"/>
          </w:tcPr>
          <w:p>
            <w:r>
              <w:t>Data store</w:t>
            </w:r>
          </w:p>
        </w:tc>
        <w:tc>
          <w:tcPr>
            <w:tcW w:type="dxa" w:w="4968"/>
          </w:tcPr>
          <w:p>
            <w:r>
              <w:t>Purpose</w:t>
            </w:r>
          </w:p>
        </w:tc>
      </w:tr>
      <w:tr>
        <w:tc>
          <w:tcPr>
            <w:tcW w:type="dxa" w:w="4968"/>
          </w:tcPr>
          <w:p>
            <w:r>
              <w:t>PostgreSQL</w:t>
            </w:r>
          </w:p>
        </w:tc>
        <w:tc>
          <w:tcPr>
            <w:tcW w:type="dxa" w:w="4968"/>
          </w:tcPr>
          <w:p>
            <w:r>
              <w:t>Tenants, users, conversations, messages, cases, configuration and transactional application data.</w:t>
            </w:r>
          </w:p>
        </w:tc>
      </w:tr>
      <w:tr>
        <w:tc>
          <w:tcPr>
            <w:tcW w:type="dxa" w:w="4968"/>
          </w:tcPr>
          <w:p>
            <w:r>
              <w:t>pgvector</w:t>
            </w:r>
          </w:p>
        </w:tc>
        <w:tc>
          <w:tcPr>
            <w:tcW w:type="dxa" w:w="4968"/>
          </w:tcPr>
          <w:p>
            <w:r>
              <w:t>Initial vector storage for embeddings and metadata.</w:t>
            </w:r>
          </w:p>
        </w:tc>
      </w:tr>
      <w:tr>
        <w:tc>
          <w:tcPr>
            <w:tcW w:type="dxa" w:w="4968"/>
          </w:tcPr>
          <w:p>
            <w:r>
              <w:t>OpenSearch</w:t>
            </w:r>
          </w:p>
        </w:tc>
        <w:tc>
          <w:tcPr>
            <w:tcW w:type="dxa" w:w="4968"/>
          </w:tcPr>
          <w:p>
            <w:r>
              <w:t>Optional production-scale hybrid/semantic search layer.</w:t>
            </w:r>
          </w:p>
        </w:tc>
      </w:tr>
      <w:tr>
        <w:tc>
          <w:tcPr>
            <w:tcW w:type="dxa" w:w="4968"/>
          </w:tcPr>
          <w:p>
            <w:r>
              <w:t>Redis</w:t>
            </w:r>
          </w:p>
        </w:tc>
        <w:tc>
          <w:tcPr>
            <w:tcW w:type="dxa" w:w="4968"/>
          </w:tcPr>
          <w:p>
            <w:r>
              <w:t>Session/cache/rate-limit support.</w:t>
            </w:r>
          </w:p>
        </w:tc>
      </w:tr>
      <w:tr>
        <w:tc>
          <w:tcPr>
            <w:tcW w:type="dxa" w:w="4968"/>
          </w:tcPr>
          <w:p>
            <w:r>
              <w:t>S3/object storage</w:t>
            </w:r>
          </w:p>
        </w:tc>
        <w:tc>
          <w:tcPr>
            <w:tcW w:type="dxa" w:w="4968"/>
          </w:tcPr>
          <w:p>
            <w:r>
              <w:t>Original documents, processed artifacts and evaluation datasets.</w:t>
            </w:r>
          </w:p>
        </w:tc>
      </w:tr>
      <w:tr>
        <w:tc>
          <w:tcPr>
            <w:tcW w:type="dxa" w:w="4968"/>
          </w:tcPr>
          <w:p>
            <w:r>
              <w:t>Queue/Kafka/SQS</w:t>
            </w:r>
          </w:p>
        </w:tc>
        <w:tc>
          <w:tcPr>
            <w:tcW w:type="dxa" w:w="4968"/>
          </w:tcPr>
          <w:p>
            <w:r>
              <w:t>Asynchronous ingestion, notifications and long-running jobs.</w:t>
            </w:r>
          </w:p>
        </w:tc>
      </w:tr>
      <w:tr>
        <w:tc>
          <w:tcPr>
            <w:tcW w:type="dxa" w:w="4968"/>
          </w:tcPr>
          <w:p>
            <w:r>
              <w:t>Audit store</w:t>
            </w:r>
          </w:p>
        </w:tc>
        <w:tc>
          <w:tcPr>
            <w:tcW w:type="dxa" w:w="4968"/>
          </w:tcPr>
          <w:p>
            <w:r>
              <w:t>Security, tool, model and administrative audit events.</w:t>
            </w:r>
          </w:p>
        </w:tc>
      </w:tr>
    </w:tbl>
    <w:p>
      <w:pPr>
        <w:pStyle w:val="Heading1"/>
      </w:pPr>
      <w:r>
        <w:t>16. Admin Portal</w:t>
      </w:r>
    </w:p>
    <w:p>
      <w:pPr>
        <w:pStyle w:val="ListBullet"/>
      </w:pPr>
      <w:r>
        <w:t>Tenant management and configuration.</w:t>
      </w:r>
    </w:p>
    <w:p>
      <w:pPr>
        <w:pStyle w:val="ListBullet"/>
      </w:pPr>
      <w:r>
        <w:t>Knowledge-base document upload and approval workflow.</w:t>
      </w:r>
    </w:p>
    <w:p>
      <w:pPr>
        <w:pStyle w:val="ListBullet"/>
      </w:pPr>
      <w:r>
        <w:t>Prompt and agent configuration.</w:t>
      </w:r>
    </w:p>
    <w:p>
      <w:pPr>
        <w:pStyle w:val="ListBullet"/>
      </w:pPr>
      <w:r>
        <w:t>Model selection and routing policies.</w:t>
      </w:r>
    </w:p>
    <w:p>
      <w:pPr>
        <w:pStyle w:val="ListBullet"/>
      </w:pPr>
      <w:r>
        <w:t>Tool and integration configuration.</w:t>
      </w:r>
    </w:p>
    <w:p>
      <w:pPr>
        <w:pStyle w:val="ListBullet"/>
      </w:pPr>
      <w:r>
        <w:t>User/role management.</w:t>
      </w:r>
    </w:p>
    <w:p>
      <w:pPr>
        <w:pStyle w:val="ListBullet"/>
      </w:pPr>
      <w:r>
        <w:t>Conversation analytics.</w:t>
      </w:r>
    </w:p>
    <w:p>
      <w:pPr>
        <w:pStyle w:val="ListBullet"/>
      </w:pPr>
      <w:r>
        <w:t>Escalation dashboard.</w:t>
      </w:r>
    </w:p>
    <w:p>
      <w:pPr>
        <w:pStyle w:val="ListBullet"/>
      </w:pPr>
      <w:r>
        <w:t>Usage, latency and cost analytics.</w:t>
      </w:r>
    </w:p>
    <w:p>
      <w:pPr>
        <w:pStyle w:val="ListBullet"/>
      </w:pPr>
      <w:r>
        <w:t>Audit and security dashboards.</w:t>
      </w:r>
    </w:p>
    <w:p>
      <w:pPr>
        <w:pStyle w:val="Heading1"/>
      </w:pPr>
      <w:r>
        <w:t>17. Evaluation Strategy</w:t>
      </w:r>
    </w:p>
    <w:tbl>
      <w:tblPr>
        <w:tblStyle w:val="TableGrid"/>
        <w:tblW w:type="auto" w:w="0"/>
        <w:tblLook w:firstColumn="1" w:firstRow="1" w:lastColumn="0" w:lastRow="0" w:noHBand="0" w:noVBand="1" w:val="04A0"/>
      </w:tblPr>
      <w:tblGrid>
        <w:gridCol w:w="4968"/>
        <w:gridCol w:w="4968"/>
      </w:tblGrid>
      <w:tr>
        <w:tc>
          <w:tcPr>
            <w:tcW w:type="dxa" w:w="4968"/>
          </w:tcPr>
          <w:p>
            <w:r>
              <w:t>Area</w:t>
            </w:r>
          </w:p>
        </w:tc>
        <w:tc>
          <w:tcPr>
            <w:tcW w:type="dxa" w:w="4968"/>
          </w:tcPr>
          <w:p>
            <w:r>
              <w:t>Metrics</w:t>
            </w:r>
          </w:p>
        </w:tc>
      </w:tr>
      <w:tr>
        <w:tc>
          <w:tcPr>
            <w:tcW w:type="dxa" w:w="4968"/>
          </w:tcPr>
          <w:p>
            <w:r>
              <w:t>Retrieval</w:t>
            </w:r>
          </w:p>
        </w:tc>
        <w:tc>
          <w:tcPr>
            <w:tcW w:type="dxa" w:w="4968"/>
          </w:tcPr>
          <w:p>
            <w:r>
              <w:t>Recall@K, Precision@K, MRR, NDCG, context relevance.</w:t>
            </w:r>
          </w:p>
        </w:tc>
      </w:tr>
      <w:tr>
        <w:tc>
          <w:tcPr>
            <w:tcW w:type="dxa" w:w="4968"/>
          </w:tcPr>
          <w:p>
            <w:r>
              <w:t>Generation</w:t>
            </w:r>
          </w:p>
        </w:tc>
        <w:tc>
          <w:tcPr>
            <w:tcW w:type="dxa" w:w="4968"/>
          </w:tcPr>
          <w:p>
            <w:r>
              <w:t>Faithfulness/groundedness, answer relevance, citation accuracy.</w:t>
            </w:r>
          </w:p>
        </w:tc>
      </w:tr>
      <w:tr>
        <w:tc>
          <w:tcPr>
            <w:tcW w:type="dxa" w:w="4968"/>
          </w:tcPr>
          <w:p>
            <w:r>
              <w:t>Agent</w:t>
            </w:r>
          </w:p>
        </w:tc>
        <w:tc>
          <w:tcPr>
            <w:tcW w:type="dxa" w:w="4968"/>
          </w:tcPr>
          <w:p>
            <w:r>
              <w:t>Intent accuracy, tool-selection accuracy, argument accuracy, task completion, escalation accuracy.</w:t>
            </w:r>
          </w:p>
        </w:tc>
      </w:tr>
      <w:tr>
        <w:tc>
          <w:tcPr>
            <w:tcW w:type="dxa" w:w="4968"/>
          </w:tcPr>
          <w:p>
            <w:r>
              <w:t>Safety</w:t>
            </w:r>
          </w:p>
        </w:tc>
        <w:tc>
          <w:tcPr>
            <w:tcW w:type="dxa" w:w="4968"/>
          </w:tcPr>
          <w:p>
            <w:r>
              <w:t>Prompt-injection resistance, PII leakage, unauthorized access, privilege escalation.</w:t>
            </w:r>
          </w:p>
        </w:tc>
      </w:tr>
      <w:tr>
        <w:tc>
          <w:tcPr>
            <w:tcW w:type="dxa" w:w="4968"/>
          </w:tcPr>
          <w:p>
            <w:r>
              <w:t>Performance</w:t>
            </w:r>
          </w:p>
        </w:tc>
        <w:tc>
          <w:tcPr>
            <w:tcW w:type="dxa" w:w="4968"/>
          </w:tcPr>
          <w:p>
            <w:r>
              <w:t>P50/P95/P99 latency, throughput, error rate.</w:t>
            </w:r>
          </w:p>
        </w:tc>
      </w:tr>
      <w:tr>
        <w:tc>
          <w:tcPr>
            <w:tcW w:type="dxa" w:w="4968"/>
          </w:tcPr>
          <w:p>
            <w:r>
              <w:t>Economics</w:t>
            </w:r>
          </w:p>
        </w:tc>
        <w:tc>
          <w:tcPr>
            <w:tcW w:type="dxa" w:w="4968"/>
          </w:tcPr>
          <w:p>
            <w:r>
              <w:t>Tokens, model calls, cost per conversation, cost per successful task.</w:t>
            </w:r>
          </w:p>
        </w:tc>
      </w:tr>
    </w:tbl>
    <w:p>
      <w:pPr>
        <w:pStyle w:val="Heading1"/>
      </w:pPr>
      <w:r>
        <w:t>18. UAT Strategy</w:t>
      </w:r>
    </w:p>
    <w:p>
      <w:r>
        <w:t>UAT must use a production-like but isolated environment. Bank representatives from customer service, business, IT, security and compliance execute approved test cases. UAT covers FAQs, customer-specific reads, tool actions, complaints, fraud scenarios, prompt injection, unauthorized data access, document versioning, escalation, latency and operational workflows.</w:t>
      </w:r>
    </w:p>
    <w:p>
      <w:pPr>
        <w:pStyle w:val="Heading1"/>
      </w:pPr>
      <w:r>
        <w:t>19. Deployment and DevOps</w:t>
      </w:r>
    </w:p>
    <w:p>
      <w:r>
        <w:t>Recommended lifecycle: Developer → Git pull request → lint/unit tests → dependency and security scanning → Docker build → RAG/agent regression evaluation → DEV → integration tests → STAGING → load/security tests → UAT → business/security approval → production canary → monitoring → full rollout.</w:t>
      </w:r>
    </w:p>
    <w:p>
      <w:r>
        <w:t>Production should use containerized workloads, Kubernetes/EKS or equivalent, managed PostgreSQL, object storage, centralized secrets, WAF, autoscaling, observability and infrastructure as code. Canary or blue/green releases should support rollback.</w:t>
      </w:r>
    </w:p>
    <w:p>
      <w:pPr>
        <w:pStyle w:val="Heading1"/>
      </w:pPr>
      <w:r>
        <w:t>20. Implementation Roadmap</w:t>
      </w:r>
    </w:p>
    <w:tbl>
      <w:tblPr>
        <w:tblStyle w:val="TableGrid"/>
        <w:tblW w:type="auto" w:w="0"/>
        <w:tblLook w:firstColumn="1" w:firstRow="1" w:lastColumn="0" w:lastRow="0" w:noHBand="0" w:noVBand="1" w:val="04A0"/>
      </w:tblPr>
      <w:tblGrid>
        <w:gridCol w:w="4968"/>
        <w:gridCol w:w="4968"/>
      </w:tblGrid>
      <w:tr>
        <w:tc>
          <w:tcPr>
            <w:tcW w:type="dxa" w:w="4968"/>
          </w:tcPr>
          <w:p>
            <w:r>
              <w:t>Phase</w:t>
            </w:r>
          </w:p>
        </w:tc>
        <w:tc>
          <w:tcPr>
            <w:tcW w:type="dxa" w:w="4968"/>
          </w:tcPr>
          <w:p>
            <w:r>
              <w:t>Deliverables</w:t>
            </w:r>
          </w:p>
        </w:tc>
      </w:tr>
      <w:tr>
        <w:tc>
          <w:tcPr>
            <w:tcW w:type="dxa" w:w="4968"/>
          </w:tcPr>
          <w:p>
            <w:r>
              <w:t>1. Foundation</w:t>
            </w:r>
          </w:p>
        </w:tc>
        <w:tc>
          <w:tcPr>
            <w:tcW w:type="dxa" w:w="4968"/>
          </w:tcPr>
          <w:p>
            <w:r>
              <w:t>FastAPI, PostgreSQL, Docker, authentication skeleton, basic chat.</w:t>
            </w:r>
          </w:p>
        </w:tc>
      </w:tr>
      <w:tr>
        <w:tc>
          <w:tcPr>
            <w:tcW w:type="dxa" w:w="4968"/>
          </w:tcPr>
          <w:p>
            <w:r>
              <w:t>2. RAG</w:t>
            </w:r>
          </w:p>
        </w:tc>
        <w:tc>
          <w:tcPr>
            <w:tcW w:type="dxa" w:w="4968"/>
          </w:tcPr>
          <w:p>
            <w:r>
              <w:t>Document ingestion, chunking, embeddings, pgvector, hybrid retrieval, reranking, citations.</w:t>
            </w:r>
          </w:p>
        </w:tc>
      </w:tr>
      <w:tr>
        <w:tc>
          <w:tcPr>
            <w:tcW w:type="dxa" w:w="4968"/>
          </w:tcPr>
          <w:p>
            <w:r>
              <w:t>3. Agent</w:t>
            </w:r>
          </w:p>
        </w:tc>
        <w:tc>
          <w:tcPr>
            <w:tcW w:type="dxa" w:w="4968"/>
          </w:tcPr>
          <w:p>
            <w:r>
              <w:t>LangChain, LangGraph, routing, memory, structured outputs.</w:t>
            </w:r>
          </w:p>
        </w:tc>
      </w:tr>
      <w:tr>
        <w:tc>
          <w:tcPr>
            <w:tcW w:type="dxa" w:w="4968"/>
          </w:tcPr>
          <w:p>
            <w:r>
              <w:t>4. Banking tools</w:t>
            </w:r>
          </w:p>
        </w:tc>
        <w:tc>
          <w:tcPr>
            <w:tcW w:type="dxa" w:w="4968"/>
          </w:tcPr>
          <w:p>
            <w:r>
              <w:t>Mock bank APIs, tool gateway, authorization and action policies.</w:t>
            </w:r>
          </w:p>
        </w:tc>
      </w:tr>
      <w:tr>
        <w:tc>
          <w:tcPr>
            <w:tcW w:type="dxa" w:w="4968"/>
          </w:tcPr>
          <w:p>
            <w:r>
              <w:t>5. Security</w:t>
            </w:r>
          </w:p>
        </w:tc>
        <w:tc>
          <w:tcPr>
            <w:tcW w:type="dxa" w:w="4968"/>
          </w:tcPr>
          <w:p>
            <w:r>
              <w:t>RBAC/ABAC, MFA, PII, guardrails, audit and security testing.</w:t>
            </w:r>
          </w:p>
        </w:tc>
      </w:tr>
      <w:tr>
        <w:tc>
          <w:tcPr>
            <w:tcW w:type="dxa" w:w="4968"/>
          </w:tcPr>
          <w:p>
            <w:r>
              <w:t>6. SaaS</w:t>
            </w:r>
          </w:p>
        </w:tc>
        <w:tc>
          <w:tcPr>
            <w:tcW w:type="dxa" w:w="4968"/>
          </w:tcPr>
          <w:p>
            <w:r>
              <w:t>Tenant management, bank admin portal, knowledge management and analytics.</w:t>
            </w:r>
          </w:p>
        </w:tc>
      </w:tr>
      <w:tr>
        <w:tc>
          <w:tcPr>
            <w:tcW w:type="dxa" w:w="4968"/>
          </w:tcPr>
          <w:p>
            <w:r>
              <w:t>7. Evaluation</w:t>
            </w:r>
          </w:p>
        </w:tc>
        <w:tc>
          <w:tcPr>
            <w:tcW w:type="dxa" w:w="4968"/>
          </w:tcPr>
          <w:p>
            <w:r>
              <w:t>RAG/agent/security datasets, regression, load and quality gates.</w:t>
            </w:r>
          </w:p>
        </w:tc>
      </w:tr>
      <w:tr>
        <w:tc>
          <w:tcPr>
            <w:tcW w:type="dxa" w:w="4968"/>
          </w:tcPr>
          <w:p>
            <w:r>
              <w:t>8. UAT</w:t>
            </w:r>
          </w:p>
        </w:tc>
        <w:tc>
          <w:tcPr>
            <w:tcW w:type="dxa" w:w="4968"/>
          </w:tcPr>
          <w:p>
            <w:r>
              <w:t>Bank test users, test execution, defects, approvals and sign-off.</w:t>
            </w:r>
          </w:p>
        </w:tc>
      </w:tr>
      <w:tr>
        <w:tc>
          <w:tcPr>
            <w:tcW w:type="dxa" w:w="4968"/>
          </w:tcPr>
          <w:p>
            <w:r>
              <w:t>9. Production</w:t>
            </w:r>
          </w:p>
        </w:tc>
        <w:tc>
          <w:tcPr>
            <w:tcW w:type="dxa" w:w="4968"/>
          </w:tcPr>
          <w:p>
            <w:r>
              <w:t>Cloud deployment, CI/CD, canary, monitoring, backup/DR and operational runbooks.</w:t>
            </w:r>
          </w:p>
        </w:tc>
      </w:tr>
    </w:tbl>
    <w:p>
      <w:pPr>
        <w:pStyle w:val="Heading1"/>
      </w:pPr>
      <w:r>
        <w:t>21. Key Risks and Mitigations</w:t>
      </w:r>
    </w:p>
    <w:tbl>
      <w:tblPr>
        <w:tblStyle w:val="TableGrid"/>
        <w:tblW w:type="auto" w:w="0"/>
        <w:tblLook w:firstColumn="1" w:firstRow="1" w:lastColumn="0" w:lastRow="0" w:noHBand="0" w:noVBand="1" w:val="04A0"/>
      </w:tblPr>
      <w:tblGrid>
        <w:gridCol w:w="4968"/>
        <w:gridCol w:w="4968"/>
      </w:tblGrid>
      <w:tr>
        <w:tc>
          <w:tcPr>
            <w:tcW w:type="dxa" w:w="4968"/>
          </w:tcPr>
          <w:p>
            <w:r>
              <w:t>Risk</w:t>
            </w:r>
          </w:p>
        </w:tc>
        <w:tc>
          <w:tcPr>
            <w:tcW w:type="dxa" w:w="4968"/>
          </w:tcPr>
          <w:p>
            <w:r>
              <w:t>Mitigation</w:t>
            </w:r>
          </w:p>
        </w:tc>
      </w:tr>
      <w:tr>
        <w:tc>
          <w:tcPr>
            <w:tcW w:type="dxa" w:w="4968"/>
          </w:tcPr>
          <w:p>
            <w:r>
              <w:t>Hallucination</w:t>
            </w:r>
          </w:p>
        </w:tc>
        <w:tc>
          <w:tcPr>
            <w:tcW w:type="dxa" w:w="4968"/>
          </w:tcPr>
          <w:p>
            <w:r>
              <w:t>Grounded RAG, citations, answer validation and abstention.</w:t>
            </w:r>
          </w:p>
        </w:tc>
      </w:tr>
      <w:tr>
        <w:tc>
          <w:tcPr>
            <w:tcW w:type="dxa" w:w="4968"/>
          </w:tcPr>
          <w:p>
            <w:r>
              <w:t>Prompt injection</w:t>
            </w:r>
          </w:p>
        </w:tc>
        <w:tc>
          <w:tcPr>
            <w:tcW w:type="dxa" w:w="4968"/>
          </w:tcPr>
          <w:p>
            <w:r>
              <w:t>Input/output controls, untrusted-context treatment, least privilege.</w:t>
            </w:r>
          </w:p>
        </w:tc>
      </w:tr>
      <w:tr>
        <w:tc>
          <w:tcPr>
            <w:tcW w:type="dxa" w:w="4968"/>
          </w:tcPr>
          <w:p>
            <w:r>
              <w:t>Data leakage</w:t>
            </w:r>
          </w:p>
        </w:tc>
        <w:tc>
          <w:tcPr>
            <w:tcW w:type="dxa" w:w="4968"/>
          </w:tcPr>
          <w:p>
            <w:r>
              <w:t>Tenant isolation, authorization, PII controls and testing.</w:t>
            </w:r>
          </w:p>
        </w:tc>
      </w:tr>
      <w:tr>
        <w:tc>
          <w:tcPr>
            <w:tcW w:type="dxa" w:w="4968"/>
          </w:tcPr>
          <w:p>
            <w:r>
              <w:t>Unsafe tool use</w:t>
            </w:r>
          </w:p>
        </w:tc>
        <w:tc>
          <w:tcPr>
            <w:tcW w:type="dxa" w:w="4968"/>
          </w:tcPr>
          <w:p>
            <w:r>
              <w:t>Tool gateway, risk tiers, step-up authentication and human approval.</w:t>
            </w:r>
          </w:p>
        </w:tc>
      </w:tr>
      <w:tr>
        <w:tc>
          <w:tcPr>
            <w:tcW w:type="dxa" w:w="4968"/>
          </w:tcPr>
          <w:p>
            <w:r>
              <w:t>Outdated policy</w:t>
            </w:r>
          </w:p>
        </w:tc>
        <w:tc>
          <w:tcPr>
            <w:tcW w:type="dxa" w:w="4968"/>
          </w:tcPr>
          <w:p>
            <w:r>
              <w:t>Versioned documents, effective dates and approval workflow.</w:t>
            </w:r>
          </w:p>
        </w:tc>
      </w:tr>
      <w:tr>
        <w:tc>
          <w:tcPr>
            <w:tcW w:type="dxa" w:w="4968"/>
          </w:tcPr>
          <w:p>
            <w:r>
              <w:t>Model outage</w:t>
            </w:r>
          </w:p>
        </w:tc>
        <w:tc>
          <w:tcPr>
            <w:tcW w:type="dxa" w:w="4968"/>
          </w:tcPr>
          <w:p>
            <w:r>
              <w:t>Model gateway, fallback models and graceful degradation.</w:t>
            </w:r>
          </w:p>
        </w:tc>
      </w:tr>
      <w:tr>
        <w:tc>
          <w:tcPr>
            <w:tcW w:type="dxa" w:w="4968"/>
          </w:tcPr>
          <w:p>
            <w:r>
              <w:t>Cost growth</w:t>
            </w:r>
          </w:p>
        </w:tc>
        <w:tc>
          <w:tcPr>
            <w:tcW w:type="dxa" w:w="4968"/>
          </w:tcPr>
          <w:p>
            <w:r>
              <w:t>Routing, caching, token limits and tenant quotas.</w:t>
            </w:r>
          </w:p>
        </w:tc>
      </w:tr>
      <w:tr>
        <w:tc>
          <w:tcPr>
            <w:tcW w:type="dxa" w:w="4968"/>
          </w:tcPr>
          <w:p>
            <w:r>
              <w:t>Vendor lock-in</w:t>
            </w:r>
          </w:p>
        </w:tc>
        <w:tc>
          <w:tcPr>
            <w:tcW w:type="dxa" w:w="4968"/>
          </w:tcPr>
          <w:p>
            <w:r>
              <w:t>Provider abstraction/model gateway.</w:t>
            </w:r>
          </w:p>
        </w:tc>
      </w:tr>
      <w:tr>
        <w:tc>
          <w:tcPr>
            <w:tcW w:type="dxa" w:w="4968"/>
          </w:tcPr>
          <w:p>
            <w:r>
              <w:t>Integration failure</w:t>
            </w:r>
          </w:p>
        </w:tc>
        <w:tc>
          <w:tcPr>
            <w:tcW w:type="dxa" w:w="4968"/>
          </w:tcPr>
          <w:p>
            <w:r>
              <w:t>API adapters, queues, retries, idempotency and circuit breakers.</w:t>
            </w:r>
          </w:p>
        </w:tc>
      </w:tr>
    </w:tbl>
    <w:p>
      <w:pPr>
        <w:pStyle w:val="Heading1"/>
      </w:pPr>
      <w:r>
        <w:t>22. Expected Outcomes</w:t>
      </w:r>
    </w:p>
    <w:p>
      <w:pPr>
        <w:pStyle w:val="ListBullet"/>
      </w:pPr>
      <w:r>
        <w:t>Faster responses to common customer-service requests.</w:t>
      </w:r>
    </w:p>
    <w:p>
      <w:pPr>
        <w:pStyle w:val="ListBullet"/>
      </w:pPr>
      <w:r>
        <w:t>Reduced repetitive workload for human agents.</w:t>
      </w:r>
    </w:p>
    <w:p>
      <w:pPr>
        <w:pStyle w:val="ListBullet"/>
      </w:pPr>
      <w:r>
        <w:t>Improved consistency and traceability of policy answers.</w:t>
      </w:r>
    </w:p>
    <w:p>
      <w:pPr>
        <w:pStyle w:val="ListBullet"/>
      </w:pPr>
      <w:r>
        <w:t>Controlled automation of selected banking-service operations.</w:t>
      </w:r>
    </w:p>
    <w:p>
      <w:pPr>
        <w:pStyle w:val="ListBullet"/>
      </w:pPr>
      <w:r>
        <w:t>Scalable SaaS foundation for multiple financial institutions.</w:t>
      </w:r>
    </w:p>
    <w:p>
      <w:pPr>
        <w:pStyle w:val="ListBullet"/>
      </w:pPr>
      <w:r>
        <w:t>Measurable AI quality and safety rather than subjective chatbot evaluation.</w:t>
      </w:r>
    </w:p>
    <w:p>
      <w:pPr>
        <w:pStyle w:val="Heading1"/>
      </w:pPr>
      <w:r>
        <w:t>23. Acceptance Criteria</w:t>
      </w:r>
    </w:p>
    <w:p>
      <w:pPr>
        <w:pStyle w:val="ListBullet"/>
      </w:pPr>
      <w:r>
        <w:t>All critical UAT scenarios pass.</w:t>
      </w:r>
    </w:p>
    <w:p>
      <w:pPr>
        <w:pStyle w:val="ListBullet"/>
      </w:pPr>
      <w:r>
        <w:t>Zero known critical tenant-isolation vulnerabilities.</w:t>
      </w:r>
    </w:p>
    <w:p>
      <w:pPr>
        <w:pStyle w:val="ListBullet"/>
      </w:pPr>
      <w:r>
        <w:t>No unauthorized customer-data access through agent tools.</w:t>
      </w:r>
    </w:p>
    <w:p>
      <w:pPr>
        <w:pStyle w:val="ListBullet"/>
      </w:pPr>
      <w:r>
        <w:t>High-risk actions require configured authentication/approval.</w:t>
      </w:r>
    </w:p>
    <w:p>
      <w:pPr>
        <w:pStyle w:val="ListBullet"/>
      </w:pPr>
      <w:r>
        <w:t>RAG benchmark meets agreed retrieval and groundedness thresholds.</w:t>
      </w:r>
    </w:p>
    <w:p>
      <w:pPr>
        <w:pStyle w:val="ListBullet"/>
      </w:pPr>
      <w:r>
        <w:t>Audit trail exists for model decisions, retrieval and tool execution.</w:t>
      </w:r>
    </w:p>
    <w:p>
      <w:pPr>
        <w:pStyle w:val="ListBullet"/>
      </w:pPr>
      <w:r>
        <w:t>Production deployment supports rollback.</w:t>
      </w:r>
    </w:p>
    <w:p>
      <w:pPr>
        <w:pStyle w:val="ListBullet"/>
      </w:pPr>
      <w:r>
        <w:t>Operational monitoring and incident runbooks are available.</w:t>
      </w:r>
    </w:p>
    <w:p>
      <w:pPr>
        <w:pStyle w:val="Heading1"/>
      </w:pPr>
      <w:r>
        <w:t>24. References and Standards</w:t>
      </w:r>
    </w:p>
    <w:p>
      <w:pPr>
        <w:pStyle w:val="ListBullet"/>
      </w:pPr>
      <w:r>
        <w:t>NIST AI Risk Management Framework and Generative AI Profile.</w:t>
      </w:r>
    </w:p>
    <w:p>
      <w:pPr>
        <w:pStyle w:val="ListBullet"/>
      </w:pPr>
      <w:r>
        <w:t>OWASP Top 10 for Large Language Model Applications.</w:t>
      </w:r>
    </w:p>
    <w:p>
      <w:pPr>
        <w:pStyle w:val="ListBullet"/>
      </w:pPr>
      <w:r>
        <w:t>AWS financial-services generative AI and RAG architecture guidance.</w:t>
      </w:r>
    </w:p>
    <w:p>
      <w:pPr>
        <w:pStyle w:val="ListBullet"/>
      </w:pPr>
      <w:r>
        <w:t>Current model-provider documentation for OpenAI, Anthropic and Google Gemini.</w:t>
      </w:r>
    </w:p>
    <w:p>
      <w:pPr>
        <w:pStyle w:val="ListBullet"/>
      </w:pPr>
      <w:r>
        <w:t>Bank-specific regulatory, security, data-retention and outsourcing requirements must be incorporated during implementation.</w:t>
      </w:r>
    </w:p>
    <w:p>
      <w:pPr>
        <w:pStyle w:val="Heading1"/>
      </w:pPr>
      <w:r>
        <w:t>25. Demonstration Environment and Synthetic Banking Data</w:t>
      </w:r>
    </w:p>
    <w:p>
      <w:r>
        <w:t>The initial implementation is a production-grade demonstration environment using 100% synthetic banking data and simulated banking APIs. No real customer information, real banking credentials, or live core-banking connections are used.</w:t>
      </w:r>
    </w:p>
    <w:p>
      <w:pPr>
        <w:pStyle w:val="ListBullet"/>
      </w:pPr>
      <w:r>
        <w:t>The synthetic bank shall model realistic relationships between customers, accounts, transactions, cards, loans, payments, beneficiaries, complaints and support tickets.</w:t>
      </w:r>
    </w:p>
    <w:p>
      <w:pPr>
        <w:pStyle w:val="ListBullet"/>
      </w:pPr>
      <w:r>
        <w:t>Initial target dataset: approximately 1,000 customers, 2,000 accounts, 5,000 cards, 50,000 transactions, 500 loans and 2,000 payments.</w:t>
      </w:r>
    </w:p>
    <w:p>
      <w:pPr>
        <w:pStyle w:val="ListBullet"/>
      </w:pPr>
      <w:r>
        <w:t>Multiple demonstration tenants shall be provided, such as BANK_DEMO_A, BANK_DEMO_B and BANK_DEMO_C.</w:t>
      </w:r>
    </w:p>
    <w:p>
      <w:pPr>
        <w:pStyle w:val="ListBullet"/>
      </w:pPr>
      <w:r>
        <w:t>Automated negative tests shall demonstrate that one tenant cannot retrieve another tenant's data or knowledge.</w:t>
      </w:r>
    </w:p>
    <w:p>
      <w:pPr>
        <w:pStyle w:val="ListBullet"/>
      </w:pPr>
      <w:r>
        <w:t>Synthetic data shall be generated with controlled, reproducible seeds and shall not contain copied real customer information.</w:t>
      </w:r>
    </w:p>
    <w:p>
      <w:pPr>
        <w:pStyle w:val="Heading1"/>
      </w:pPr>
      <w:r>
        <w:t>26. Bank Integration Abstraction</w:t>
      </w:r>
    </w:p>
    <w:p>
      <w:r>
        <w:t>The platform shall isolate banking integrations behind provider-independent interfaces.</w:t>
      </w:r>
    </w:p>
    <w:p>
      <w:pPr>
        <w:pStyle w:val="ListBullet"/>
      </w:pPr>
      <w:r>
        <w:t>Demonstration path: Agent → Tool Gateway → Synthetic Bank Adapter → Synthetic Bank API → Synthetic PostgreSQL.</w:t>
      </w:r>
    </w:p>
    <w:p>
      <w:pPr>
        <w:pStyle w:val="ListBullet"/>
      </w:pPr>
      <w:r>
        <w:t>Future production path: Agent → Tool Gateway → Approved Bank Adapter → Real Bank API/core-banking integration.</w:t>
      </w:r>
    </w:p>
    <w:p>
      <w:pPr>
        <w:pStyle w:val="ListBullet"/>
      </w:pPr>
      <w:r>
        <w:t>The AI agent and tool contracts should not require redesign when the synthetic adapter is replaced by an approved real-bank adapter.</w:t>
      </w:r>
    </w:p>
    <w:p>
      <w:pPr>
        <w:pStyle w:val="Heading1"/>
      </w:pPr>
      <w:r>
        <w:t>27. End-to-End Delivery Lifecycle</w:t>
      </w:r>
    </w:p>
    <w:p>
      <w:r>
        <w:t>DEV → CI/CD → STAGING → UAT → DEMO PROD. Each environment uses isolated configuration and synthetic data.</w:t>
      </w:r>
    </w:p>
    <w:p>
      <w:r>
        <w:t>Release gates include code quality, security scanning, RAG/agent regression, tenant-isolation testing, performance testing, UAT approval and rollback readiness.</w:t>
      </w:r>
    </w:p>
    <w:p>
      <w:pPr>
        <w:pStyle w:val="Heading1"/>
      </w:pPr>
      <w:r>
        <w:t>28. Recommended Project Structure</w:t>
      </w:r>
    </w:p>
    <w:p>
      <w:r>
        <w:t>frontend/customer-portal and frontend/admin-portal; backend/api, authentication, tenants, conversations and users; ai/agents, langgraph, prompts, model_gateway and memory; rag/ingestion, chunking, embeddings, retrieval and reranking; tools/account, card, transaction, loan, payment and complaint; synthetic-bank/api, database, seed and generator; security/authorization, pii, guardrails and audit; evaluation/rag, agents, security, load and uat; infrastructure/docker, terraform and kubernetes; monitoring, tests and docs.</w:t>
      </w:r>
    </w:p>
    <w:p>
      <w:pPr>
        <w:pStyle w:val="Heading1"/>
      </w:pPr>
      <w:r>
        <w:t>29. Final Project Positioning</w:t>
      </w:r>
    </w:p>
    <w:p>
      <w:r>
        <w:t>Production-Grade AI Banking Customer Service SaaS — Synthetic Data Demonstration Environment.</w:t>
      </w:r>
    </w:p>
    <w:p>
      <w:r>
        <w:t>The architecture, security, RAG, agent orchestration, controlled tool execution, observability, evaluation, CI/CD and UAT are designed to demonstrate production engineering practices without claiming access to live banking systems.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Confidential – AI Banking Customer Service SaaS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