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7506" w14:textId="77777777" w:rsidR="00694560" w:rsidRDefault="00000000"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>SIMATS ENGINEERING</w:t>
      </w:r>
    </w:p>
    <w:p w14:paraId="46BA1BEE" w14:textId="77777777" w:rsidR="00694560" w:rsidRDefault="00000000">
      <w:pPr>
        <w:spacing w:after="200"/>
        <w:jc w:val="center"/>
      </w:pPr>
      <w:r>
        <w:rPr>
          <w:b/>
          <w:bCs/>
          <w:color w:val="2F6FA7"/>
          <w:sz w:val="24"/>
          <w:szCs w:val="24"/>
        </w:rPr>
        <w:t xml:space="preserve">ASSESSMENT TOOL </w:t>
      </w:r>
      <w:proofErr w:type="gramStart"/>
      <w:r>
        <w:rPr>
          <w:b/>
          <w:bCs/>
          <w:color w:val="2F6FA7"/>
          <w:sz w:val="24"/>
          <w:szCs w:val="24"/>
        </w:rPr>
        <w:t>2 :</w:t>
      </w:r>
      <w:proofErr w:type="gramEnd"/>
      <w:r>
        <w:rPr>
          <w:b/>
          <w:bCs/>
          <w:color w:val="2F6FA7"/>
          <w:sz w:val="24"/>
          <w:szCs w:val="24"/>
        </w:rPr>
        <w:t xml:space="preserve"> SCENARIO-BASED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8"/>
        <w:gridCol w:w="3593"/>
        <w:gridCol w:w="2009"/>
      </w:tblGrid>
      <w:tr w:rsidR="00694560" w14:paraId="18B1B6DF" w14:textId="77777777">
        <w:tc>
          <w:tcPr>
            <w:tcW w:w="2400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E4E81" w14:textId="77777777" w:rsidR="00694560" w:rsidRDefault="00000000">
            <w:r>
              <w:rPr>
                <w:b/>
                <w:bCs/>
                <w:color w:val="14212E"/>
                <w:sz w:val="20"/>
                <w:szCs w:val="20"/>
              </w:rPr>
              <w:t>COURSE NAME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68AEC" w14:textId="77777777" w:rsidR="00694560" w:rsidRDefault="00000000">
            <w:r>
              <w:rPr>
                <w:color w:val="14212E"/>
                <w:sz w:val="20"/>
                <w:szCs w:val="20"/>
              </w:rPr>
              <w:t>Cloud Computing and Big Data Analytics</w:t>
            </w:r>
          </w:p>
        </w:tc>
        <w:tc>
          <w:tcPr>
            <w:tcW w:w="2400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C547B" w14:textId="53545D12" w:rsidR="00694560" w:rsidRDefault="00000000">
            <w:r>
              <w:rPr>
                <w:b/>
                <w:bCs/>
                <w:color w:val="14212E"/>
                <w:sz w:val="20"/>
                <w:szCs w:val="20"/>
              </w:rPr>
              <w:t>COURSE CODE: CSA15</w:t>
            </w:r>
            <w:r w:rsidR="00934859">
              <w:rPr>
                <w:b/>
                <w:bCs/>
                <w:color w:val="14212E"/>
                <w:sz w:val="20"/>
                <w:szCs w:val="20"/>
              </w:rPr>
              <w:t>16</w:t>
            </w:r>
          </w:p>
        </w:tc>
      </w:tr>
      <w:tr w:rsidR="00694560" w14:paraId="5ABA5F9E" w14:textId="77777777">
        <w:tc>
          <w:tcPr>
            <w:tcW w:w="9350" w:type="dxa"/>
            <w:gridSpan w:val="3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147B9" w14:textId="77777777" w:rsidR="00694560" w:rsidRDefault="00000000">
            <w:r>
              <w:rPr>
                <w:b/>
                <w:bCs/>
                <w:color w:val="1B3A5C"/>
                <w:sz w:val="20"/>
                <w:szCs w:val="20"/>
              </w:rPr>
              <w:t>COURSE OUTCOME COVERED</w:t>
            </w:r>
          </w:p>
          <w:p w14:paraId="35E985AF" w14:textId="77777777" w:rsidR="00694560" w:rsidRDefault="00000000">
            <w:pPr>
              <w:spacing w:before="40"/>
            </w:pPr>
            <w:r>
              <w:rPr>
                <w:color w:val="14212E"/>
                <w:sz w:val="20"/>
                <w:szCs w:val="20"/>
              </w:rPr>
              <w:t xml:space="preserve">CO2: </w:t>
            </w:r>
            <w:proofErr w:type="spellStart"/>
            <w:r>
              <w:rPr>
                <w:color w:val="14212E"/>
                <w:sz w:val="20"/>
                <w:szCs w:val="20"/>
              </w:rPr>
              <w:t>Analyze</w:t>
            </w:r>
            <w:proofErr w:type="spellEnd"/>
            <w:r>
              <w:rPr>
                <w:color w:val="14212E"/>
                <w:sz w:val="20"/>
                <w:szCs w:val="20"/>
              </w:rPr>
              <w:t xml:space="preserve"> virtualization architectures to identify performance and security issues in cloud computing environments. (BL3)</w:t>
            </w:r>
          </w:p>
        </w:tc>
      </w:tr>
      <w:tr w:rsidR="00694560" w14:paraId="228DF4B2" w14:textId="77777777">
        <w:tc>
          <w:tcPr>
            <w:tcW w:w="4675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31075" w14:textId="77777777" w:rsidR="00694560" w:rsidRDefault="00000000">
            <w:r>
              <w:rPr>
                <w:b/>
                <w:bCs/>
                <w:color w:val="14212E"/>
                <w:sz w:val="20"/>
                <w:szCs w:val="20"/>
              </w:rPr>
              <w:t>Bloom's Taxonomy: Manipulation (Level 2)</w:t>
            </w:r>
          </w:p>
        </w:tc>
        <w:tc>
          <w:tcPr>
            <w:tcW w:w="4675" w:type="dxa"/>
            <w:gridSpan w:val="2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B2D1A" w14:textId="77777777" w:rsidR="00694560" w:rsidRDefault="00000000">
            <w:r>
              <w:rPr>
                <w:b/>
                <w:bCs/>
                <w:color w:val="14212E"/>
                <w:sz w:val="20"/>
                <w:szCs w:val="20"/>
              </w:rPr>
              <w:t>Question Count: 5      Total Marks: 25</w:t>
            </w:r>
          </w:p>
        </w:tc>
      </w:tr>
    </w:tbl>
    <w:p w14:paraId="3AF1179F" w14:textId="77777777" w:rsidR="00694560" w:rsidRDefault="00000000">
      <w:pPr>
        <w:spacing w:before="200" w:after="100"/>
      </w:pPr>
      <w:r>
        <w:rPr>
          <w:b/>
          <w:bCs/>
          <w:color w:val="1B3A5C"/>
          <w:sz w:val="22"/>
        </w:rPr>
        <w:t>Code of Conduct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94560" w14:paraId="699DE806" w14:textId="77777777">
        <w:tc>
          <w:tcPr>
            <w:tcW w:w="9350" w:type="dxa"/>
            <w:shd w:val="clear" w:color="auto" w:fill="F2F6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240920" w14:textId="5881958D" w:rsidR="00694560" w:rsidRDefault="00000000">
            <w:pPr>
              <w:spacing w:after="120"/>
            </w:pPr>
            <w:r>
              <w:rPr>
                <w:color w:val="14212E"/>
                <w:szCs w:val="21"/>
              </w:rPr>
              <w:t xml:space="preserve">I </w:t>
            </w:r>
            <w:r w:rsidR="00934859">
              <w:rPr>
                <w:color w:val="14212E"/>
                <w:szCs w:val="21"/>
              </w:rPr>
              <w:t xml:space="preserve">HASMITHA SRI </w:t>
            </w:r>
            <w:proofErr w:type="gramStart"/>
            <w:r w:rsidR="00934859">
              <w:rPr>
                <w:color w:val="14212E"/>
                <w:szCs w:val="21"/>
              </w:rPr>
              <w:t>S</w:t>
            </w:r>
            <w:r>
              <w:rPr>
                <w:color w:val="14212E"/>
                <w:szCs w:val="21"/>
                <w:u w:val="single"/>
                <w:lang w:val="en-US"/>
              </w:rPr>
              <w:t>(</w:t>
            </w:r>
            <w:proofErr w:type="gramEnd"/>
            <w:r>
              <w:rPr>
                <w:color w:val="14212E"/>
                <w:szCs w:val="21"/>
                <w:u w:val="single"/>
                <w:lang w:val="en-US"/>
              </w:rPr>
              <w:t>19237100</w:t>
            </w:r>
            <w:r w:rsidR="00934859">
              <w:rPr>
                <w:color w:val="14212E"/>
                <w:szCs w:val="21"/>
                <w:u w:val="single"/>
                <w:lang w:val="en-US"/>
              </w:rPr>
              <w:t>1</w:t>
            </w:r>
            <w:r>
              <w:rPr>
                <w:color w:val="14212E"/>
                <w:szCs w:val="21"/>
                <w:u w:val="single"/>
                <w:lang w:val="en-US"/>
              </w:rPr>
              <w:t>)</w:t>
            </w:r>
            <w:r>
              <w:rPr>
                <w:color w:val="14212E"/>
                <w:szCs w:val="21"/>
                <w:lang w:val="en-US"/>
              </w:rPr>
              <w:t xml:space="preserve"> </w:t>
            </w:r>
            <w:r>
              <w:rPr>
                <w:color w:val="14212E"/>
                <w:szCs w:val="21"/>
              </w:rPr>
              <w:t>(Name / Reg No) certify that this submission is my original work and that I have adhered to the guidelines specified for this assessment.</w:t>
            </w:r>
          </w:p>
          <w:p w14:paraId="577EECB6" w14:textId="77777777" w:rsidR="00694560" w:rsidRDefault="00000000">
            <w:pPr>
              <w:spacing w:after="160"/>
            </w:pPr>
            <w:r>
              <w:rPr>
                <w:color w:val="14212E"/>
                <w:szCs w:val="21"/>
              </w:rPr>
              <w:t>I understand that any violation of academic integrity rules will result in disciplinary action.</w:t>
            </w:r>
          </w:p>
          <w:p w14:paraId="3B4BE506" w14:textId="77FA7F0A" w:rsidR="00694560" w:rsidRDefault="00000000">
            <w:pPr>
              <w:rPr>
                <w:lang w:val="en-US"/>
              </w:rPr>
            </w:pPr>
            <w:r>
              <w:rPr>
                <w:b/>
                <w:bCs/>
                <w:color w:val="14212E"/>
                <w:szCs w:val="21"/>
              </w:rPr>
              <w:t xml:space="preserve">Signature of the student: </w:t>
            </w:r>
            <w:r w:rsidR="00934859">
              <w:rPr>
                <w:b/>
                <w:bCs/>
                <w:color w:val="14212E"/>
                <w:szCs w:val="21"/>
                <w:lang w:val="en-US"/>
              </w:rPr>
              <w:t>HASMITHA SRI S</w:t>
            </w:r>
          </w:p>
        </w:tc>
      </w:tr>
    </w:tbl>
    <w:p w14:paraId="69DB2E01" w14:textId="77777777" w:rsidR="00694560" w:rsidRDefault="00000000">
      <w:r>
        <w:br w:type="page"/>
      </w:r>
    </w:p>
    <w:p w14:paraId="1880D7EC" w14:textId="77777777" w:rsidR="00694560" w:rsidRDefault="00000000">
      <w:pPr>
        <w:pStyle w:val="Heading1"/>
        <w:pBdr>
          <w:bottom w:val="single" w:sz="6" w:space="4" w:color="1B3A5C"/>
        </w:pBdr>
        <w:spacing w:before="260" w:after="140"/>
      </w:pPr>
      <w:r>
        <w:rPr>
          <w:b/>
          <w:bCs/>
          <w:color w:val="1B3A5C"/>
          <w:sz w:val="27"/>
          <w:szCs w:val="27"/>
        </w:rPr>
        <w:lastRenderedPageBreak/>
        <w:t>Question 1: Cloud Architecture for a Video Streaming Platform</w:t>
      </w:r>
    </w:p>
    <w:p w14:paraId="21E8405E" w14:textId="77777777" w:rsidR="00694560" w:rsidRDefault="00000000">
      <w:pPr>
        <w:spacing w:after="100"/>
      </w:pPr>
      <w:r>
        <w:rPr>
          <w:i/>
          <w:iCs/>
          <w:color w:val="14212E"/>
          <w:szCs w:val="21"/>
        </w:rPr>
        <w:t>Scenario: A media company wants to migrate its video streaming platform to the cloud. The system must handle millions of concurrent users with minimal buffering.</w:t>
      </w:r>
    </w:p>
    <w:p w14:paraId="480A65DC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(a) Cloud Architecture Using Scalability and Caching Techniques</w:t>
      </w:r>
    </w:p>
    <w:p w14:paraId="51F28F33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 xml:space="preserve">Global DNS / </w:t>
      </w:r>
      <w:proofErr w:type="spellStart"/>
      <w:r>
        <w:rPr>
          <w:color w:val="14212E"/>
          <w:szCs w:val="21"/>
        </w:rPr>
        <w:t>GeoDNS</w:t>
      </w:r>
      <w:proofErr w:type="spellEnd"/>
      <w:r>
        <w:rPr>
          <w:color w:val="14212E"/>
          <w:szCs w:val="21"/>
        </w:rPr>
        <w:t xml:space="preserve"> routes each user to the nearest healthy region, minimising latency at the very first hop.</w:t>
      </w:r>
    </w:p>
    <w:p w14:paraId="616C6F0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 Content Delivery Network (CDN) with edge Points of Presence (</w:t>
      </w:r>
      <w:proofErr w:type="spellStart"/>
      <w:r>
        <w:rPr>
          <w:color w:val="14212E"/>
          <w:szCs w:val="21"/>
        </w:rPr>
        <w:t>PoPs</w:t>
      </w:r>
      <w:proofErr w:type="spellEnd"/>
      <w:r>
        <w:rPr>
          <w:color w:val="14212E"/>
          <w:szCs w:val="21"/>
        </w:rPr>
        <w:t>) caches popular video segments (using adaptive bitrate formats such as HLS/DASH) close to the viewer, so repeat requests never touch the origin.</w:t>
      </w:r>
    </w:p>
    <w:p w14:paraId="17ECD8D5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Video is pre-transcoded into multiple bitrate/resolution renditions and stored in object storage (e.g., Amazon S3), acting as the durable origin for the CDN.</w:t>
      </w:r>
    </w:p>
    <w:p w14:paraId="74472311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An in-memory cache (e.g., Redis/Memcached) stores frequently accessed metadata such as titles, thumbnails, and recommendations, cutting database load.</w:t>
      </w:r>
    </w:p>
    <w:p w14:paraId="68192C26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Microservices (</w:t>
      </w:r>
      <w:proofErr w:type="spellStart"/>
      <w:r>
        <w:rPr>
          <w:color w:val="14212E"/>
          <w:szCs w:val="21"/>
        </w:rPr>
        <w:t>catalog</w:t>
      </w:r>
      <w:proofErr w:type="spellEnd"/>
      <w:r>
        <w:rPr>
          <w:color w:val="14212E"/>
          <w:szCs w:val="21"/>
        </w:rPr>
        <w:t>, playback authorization, recommendation, billing) are containerised and independently scalable, avoiding a single monolithic bottleneck.</w:t>
      </w:r>
    </w:p>
    <w:p w14:paraId="28BF9A14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(b) Role of Load Balancing and Auto-Scaling in Smooth Streaming</w:t>
      </w:r>
    </w:p>
    <w:p w14:paraId="5986B6CC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 Layer-7 load balancer distributes incoming playback/API requests evenly across a fleet of streaming servers, preventing any single node from being overwhelmed during peak hours (e.g., a new episode release).</w:t>
      </w:r>
    </w:p>
    <w:p w14:paraId="201F9F88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Health checks performed by the load balancer automatically remove unhealthy instances from rotation, so users are never routed to a failed server.</w:t>
      </w:r>
    </w:p>
    <w:p w14:paraId="7837DBB3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Auto-scaling groups monitor real-time metrics (CPU, network throughput, active connections) and add new streaming/transcoding instances within minutes when a viewership spike is detected, then scale back down afterward.</w:t>
      </w:r>
    </w:p>
    <w:p w14:paraId="11F4642E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Combined with CDN caching, load balancing ensures that only a small fraction of requests reach origin servers, so buffering stays minimal even under millions of concurrent sessions.</w:t>
      </w:r>
    </w:p>
    <w:p w14:paraId="67B3FFD1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(c) Cost Optimization Strategies for High-Demand Workloads</w:t>
      </w:r>
    </w:p>
    <w:p w14:paraId="7F69DD39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Use Reserved/Committed-use instances for predictable baseline traffic and Spot/low-priority instances for elastic transcoding workloads, since transcoding jobs can tolerate interruption.</w:t>
      </w:r>
    </w:p>
    <w:p w14:paraId="1B58CDE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Apply storage tiering: keep newly released, high-demand content on standard storage and move older, rarely watched content to cold/infrequent-access tiers.</w:t>
      </w:r>
    </w:p>
    <w:p w14:paraId="38E06DBD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Cache aggressively at the CDN edge to reduce expensive data-egress and origin compute charges.</w:t>
      </w:r>
    </w:p>
    <w:p w14:paraId="14DEBC70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Use auto-scaling with scheduled scale-down during predictable low-traffic hours, and set budgets/alerts to catch cost anomalies early.</w:t>
      </w:r>
    </w:p>
    <w:p w14:paraId="3FEFC0D2" w14:textId="77777777" w:rsidR="00694560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9106F82" wp14:editId="26928EF7">
            <wp:extent cx="53340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E92" w14:textId="77777777" w:rsidR="00694560" w:rsidRDefault="00000000">
      <w:pPr>
        <w:pStyle w:val="Heading1"/>
        <w:pBdr>
          <w:bottom w:val="single" w:sz="6" w:space="4" w:color="1B3A5C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2: Multi-Cloud Container Orchestration for a Fintech Startup</w:t>
      </w:r>
    </w:p>
    <w:p w14:paraId="19A440A0" w14:textId="77777777" w:rsidR="00694560" w:rsidRDefault="00000000">
      <w:pPr>
        <w:spacing w:after="100"/>
      </w:pPr>
      <w:r>
        <w:rPr>
          <w:i/>
          <w:iCs/>
          <w:color w:val="14212E"/>
          <w:szCs w:val="21"/>
        </w:rPr>
        <w:t>Scenario: A fintech startup is deploying applications using containers across multiple cloud providers and faces challenges in maintaining consistency and managing deployments.</w:t>
      </w:r>
    </w:p>
    <w:p w14:paraId="1303FFF4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(a) Container Orchestration and Multi-Cloud Strategy</w:t>
      </w:r>
    </w:p>
    <w:p w14:paraId="1B7EEDB6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Package every service as a Docker container and store versioned images in a central container registry, ensuring the exact same artifact is deployed everywhere.</w:t>
      </w:r>
    </w:p>
    <w:p w14:paraId="6F723030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Use Kubernetes as the common orchestration layer on each provider (Amazon EKS, Azure AKS, Google GKE), so deployment manifests (YAML) remain identical across clouds.</w:t>
      </w:r>
    </w:p>
    <w:p w14:paraId="0AAF8FCF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 xml:space="preserve">Adopt Infrastructure-as-Code (Terraform) and </w:t>
      </w:r>
      <w:proofErr w:type="spellStart"/>
      <w:r>
        <w:rPr>
          <w:color w:val="14212E"/>
          <w:szCs w:val="21"/>
        </w:rPr>
        <w:t>GitOps</w:t>
      </w:r>
      <w:proofErr w:type="spellEnd"/>
      <w:r>
        <w:rPr>
          <w:color w:val="14212E"/>
          <w:szCs w:val="21"/>
        </w:rPr>
        <w:t xml:space="preserve"> (e.g., </w:t>
      </w:r>
      <w:proofErr w:type="spellStart"/>
      <w:r>
        <w:rPr>
          <w:color w:val="14212E"/>
          <w:szCs w:val="21"/>
        </w:rPr>
        <w:t>ArgoCD</w:t>
      </w:r>
      <w:proofErr w:type="spellEnd"/>
      <w:r>
        <w:rPr>
          <w:color w:val="14212E"/>
          <w:szCs w:val="21"/>
        </w:rPr>
        <w:t>/Flux) so cluster configuration and application state are version-controlled and applied consistently to all clouds.</w:t>
      </w:r>
    </w:p>
    <w:p w14:paraId="0C2CC11C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 CI/CD pipeline builds, tests, and pushes images once, then triggers synchronized rollouts to every cloud cluster, removing manual, provider-specific deployment steps.</w:t>
      </w:r>
    </w:p>
    <w:p w14:paraId="2BF8F889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(b) Handling Service Discovery and Scaling</w:t>
      </w:r>
    </w:p>
    <w:p w14:paraId="09635D70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 service mesh (e.g., Istio/</w:t>
      </w:r>
      <w:proofErr w:type="spellStart"/>
      <w:r>
        <w:rPr>
          <w:color w:val="14212E"/>
          <w:szCs w:val="21"/>
        </w:rPr>
        <w:t>Linkerd</w:t>
      </w:r>
      <w:proofErr w:type="spellEnd"/>
      <w:r>
        <w:rPr>
          <w:color w:val="14212E"/>
          <w:szCs w:val="21"/>
        </w:rPr>
        <w:t>) spanning clusters provides consistent service discovery, mutual TLS, and traffic routing regardless of which cloud a service instance runs on.</w:t>
      </w:r>
    </w:p>
    <w:p w14:paraId="440457F8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Kubernetes' internal DNS resolves service names to pod IPs within a cluster; a global/multi-cluster service registry extends this resolution across cloud boundaries.</w:t>
      </w:r>
    </w:p>
    <w:p w14:paraId="75AFAD77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 xml:space="preserve">Horizontal Pod </w:t>
      </w:r>
      <w:proofErr w:type="spellStart"/>
      <w:r>
        <w:rPr>
          <w:color w:val="14212E"/>
          <w:szCs w:val="21"/>
        </w:rPr>
        <w:t>Autoscalers</w:t>
      </w:r>
      <w:proofErr w:type="spellEnd"/>
      <w:r>
        <w:rPr>
          <w:color w:val="14212E"/>
          <w:szCs w:val="21"/>
        </w:rPr>
        <w:t xml:space="preserve"> (HPA) scale pods per cluster based on CPU/memory/custom metrics (e.g., transaction rate), while the mesh's global load balancer shifts traffic toward the least-loaded or nearest cloud region.</w:t>
      </w:r>
    </w:p>
    <w:p w14:paraId="6F9EAF67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(c) Benefits and Risks of Multi-Cloud Deployment</w:t>
      </w:r>
    </w:p>
    <w:p w14:paraId="35BC0851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Benefits: avoids vendor lock-in, improves resilience (one provider's outage does not take the platform down), and enables choosing the most cost-effective or compliant provider per workload — important for regulated fintech data.</w:t>
      </w:r>
    </w:p>
    <w:p w14:paraId="0997D5AF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Risks: increased operational complexity, inconsistent native services between providers, higher networking/data-transfer cost, and a larger security surface that requires unified identity and monitoring across all clouds.</w:t>
      </w:r>
    </w:p>
    <w:p w14:paraId="20ED4E47" w14:textId="77777777" w:rsidR="00694560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F83712C" wp14:editId="50997DD9">
            <wp:extent cx="5334000" cy="3095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ABC1" w14:textId="77777777" w:rsidR="00694560" w:rsidRDefault="00000000">
      <w:pPr>
        <w:pStyle w:val="Heading1"/>
        <w:pBdr>
          <w:bottom w:val="single" w:sz="6" w:space="4" w:color="1B3A5C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3: Backup and Disaster Recovery for an E-Learning Platform</w:t>
      </w:r>
    </w:p>
    <w:p w14:paraId="5A65DA76" w14:textId="77777777" w:rsidR="00694560" w:rsidRDefault="00000000">
      <w:pPr>
        <w:spacing w:after="100"/>
      </w:pPr>
      <w:r>
        <w:rPr>
          <w:i/>
          <w:iCs/>
          <w:color w:val="14212E"/>
          <w:szCs w:val="21"/>
        </w:rPr>
        <w:t>Scenario: An e-learning platform experiences data loss due to accidental deletion in the cloud and needs a robust backup and disaster recovery strategy.</w:t>
      </w:r>
    </w:p>
    <w:p w14:paraId="51678BC2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(a) Backup, Replication, and Versioning Design</w:t>
      </w:r>
    </w:p>
    <w:p w14:paraId="0C6977F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Enable object versioning on cloud storage so every overwrite or delete creates a recoverable prior version instead of destroying data permanently.</w:t>
      </w:r>
    </w:p>
    <w:p w14:paraId="452C9E3E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Schedule automated, incremental snapshots of databases (hourly) and full backups (daily), stored separately from production to protect against accidental or malicious deletion.</w:t>
      </w:r>
    </w:p>
    <w:p w14:paraId="5BBF83FE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Configure cross-region replication so a live copy of course content, videos, and student records exists in a geographically distant secondary region.</w:t>
      </w:r>
    </w:p>
    <w:p w14:paraId="5D378E73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Store long-term backups in a write-once-read-many (WORM) or immutable backup vault so even an administrator cannot delete backups before their retention period expires.</w:t>
      </w:r>
    </w:p>
    <w:p w14:paraId="3760B030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(b) Achieving Recovery Time Objective (RTO) and Recovery Point Objective (RPO)</w:t>
      </w:r>
    </w:p>
    <w:p w14:paraId="1353F62F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RPO (maximum tolerable data loss) is achieved by tuning replication/snapshot frequency — e.g., near-continuous replication yields an RPO of seconds to minutes, while daily backups yield an RPO of up to 24 hours.</w:t>
      </w:r>
    </w:p>
    <w:p w14:paraId="17182D43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RTO (maximum tolerable downtime) is achieved through automated recovery runbooks/scripts that spin up a standby environment or restore from the replica automatically, rather than relying on manual intervention.</w:t>
      </w:r>
    </w:p>
    <w:p w14:paraId="158D220F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Regular disaster-recovery drills validate that the actual restore time and data currency meet the promised RTO/RPO targets.</w:t>
      </w:r>
    </w:p>
    <w:p w14:paraId="62604E32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(c) Steps to Ensure Business Continuity During Failures</w:t>
      </w:r>
    </w:p>
    <w:p w14:paraId="23A4CF93" w14:textId="77777777" w:rsidR="00694560" w:rsidRDefault="00000000">
      <w:pPr>
        <w:pStyle w:val="ListParagraph"/>
        <w:numPr>
          <w:ilvl w:val="1"/>
          <w:numId w:val="1"/>
        </w:numPr>
        <w:spacing w:after="60"/>
      </w:pPr>
      <w:r>
        <w:rPr>
          <w:color w:val="14212E"/>
          <w:szCs w:val="21"/>
        </w:rPr>
        <w:t>1. Detect the incident via monitoring/alerting (e.g., unexpected deletion event or region outage).</w:t>
      </w:r>
    </w:p>
    <w:p w14:paraId="04BBF41A" w14:textId="77777777" w:rsidR="00694560" w:rsidRDefault="00000000">
      <w:pPr>
        <w:pStyle w:val="ListParagraph"/>
        <w:numPr>
          <w:ilvl w:val="1"/>
          <w:numId w:val="1"/>
        </w:numPr>
        <w:spacing w:after="60"/>
      </w:pPr>
      <w:r>
        <w:rPr>
          <w:color w:val="14212E"/>
          <w:szCs w:val="21"/>
        </w:rPr>
        <w:t>2. Isolate the affected resource to prevent the failure from propagating further.</w:t>
      </w:r>
    </w:p>
    <w:p w14:paraId="399037AD" w14:textId="77777777" w:rsidR="00694560" w:rsidRDefault="00000000">
      <w:pPr>
        <w:pStyle w:val="ListParagraph"/>
        <w:numPr>
          <w:ilvl w:val="1"/>
          <w:numId w:val="1"/>
        </w:numPr>
        <w:spacing w:after="60"/>
      </w:pPr>
      <w:r>
        <w:rPr>
          <w:color w:val="14212E"/>
          <w:szCs w:val="21"/>
        </w:rPr>
        <w:t>3. Trigger the automated recovery runbook to restore from the latest valid snapshot/replica.</w:t>
      </w:r>
    </w:p>
    <w:p w14:paraId="6CB4C475" w14:textId="77777777" w:rsidR="00694560" w:rsidRDefault="00000000">
      <w:pPr>
        <w:pStyle w:val="ListParagraph"/>
        <w:numPr>
          <w:ilvl w:val="1"/>
          <w:numId w:val="1"/>
        </w:numPr>
        <w:spacing w:after="60"/>
      </w:pPr>
      <w:r>
        <w:rPr>
          <w:color w:val="14212E"/>
          <w:szCs w:val="21"/>
        </w:rPr>
        <w:t>4. Redirect user traffic (DNS/load balancer) to the recovered or standby environment.</w:t>
      </w:r>
    </w:p>
    <w:p w14:paraId="6DE1A9D2" w14:textId="77777777" w:rsidR="00694560" w:rsidRDefault="00000000">
      <w:pPr>
        <w:pStyle w:val="ListParagraph"/>
        <w:numPr>
          <w:ilvl w:val="1"/>
          <w:numId w:val="1"/>
        </w:numPr>
        <w:spacing w:after="60"/>
      </w:pPr>
      <w:r>
        <w:rPr>
          <w:color w:val="14212E"/>
          <w:szCs w:val="21"/>
        </w:rPr>
        <w:t>5. Verify data integrity and conduct a post-incident review to refine backup policies.</w:t>
      </w:r>
    </w:p>
    <w:p w14:paraId="053CDE18" w14:textId="77777777" w:rsidR="00694560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B7DD802" wp14:editId="15D486F7">
            <wp:extent cx="5334000" cy="3190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A9CE" w14:textId="77777777" w:rsidR="00694560" w:rsidRDefault="00000000">
      <w:pPr>
        <w:pStyle w:val="Heading1"/>
        <w:pBdr>
          <w:bottom w:val="single" w:sz="6" w:space="4" w:color="1B3A5C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4: Hybrid Cloud Model for a Government Agency</w:t>
      </w:r>
    </w:p>
    <w:p w14:paraId="7CEAEA92" w14:textId="77777777" w:rsidR="00694560" w:rsidRDefault="00000000">
      <w:pPr>
        <w:spacing w:after="100"/>
      </w:pPr>
      <w:r>
        <w:rPr>
          <w:i/>
          <w:iCs/>
          <w:color w:val="14212E"/>
          <w:szCs w:val="21"/>
        </w:rPr>
        <w:t>Scenario: A government agency is adopting a hybrid cloud model for sensitive and non-sensitive data, with some applications required to remain on-premises due to compliance.</w:t>
      </w:r>
    </w:p>
    <w:p w14:paraId="3CD47946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(a) Hybrid Architecture for Secure Communication</w:t>
      </w:r>
    </w:p>
    <w:p w14:paraId="3E3D4DB1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Keep compliance-bound applications and sensitive citizen data on-premises, inside the agency's own data centre, satisfying data-residency and regulatory requirements.</w:t>
      </w:r>
    </w:p>
    <w:p w14:paraId="50DA6248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Deploy non-sensitive, publicly facing, or highly scalable workloads (citizen portals, information services) in the public cloud, where elasticity is more cost-effective.</w:t>
      </w:r>
    </w:p>
    <w:p w14:paraId="64F93BF8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Connect the two environments through a dedicated, encrypted link — a site-to-site VPN or a private connection such as AWS Direct Connect/Azure ExpressRoute — instead of routing traffic over the public internet.</w:t>
      </w:r>
    </w:p>
    <w:p w14:paraId="487E94CD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Segment networks with firewalls and private subnets on both sides so only explicitly permitted traffic can cross between on-premises and cloud.</w:t>
      </w:r>
    </w:p>
    <w:p w14:paraId="3B1F520B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(b) Identity Management and Encryption</w:t>
      </w:r>
    </w:p>
    <w:p w14:paraId="3B9B341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Use a federated identity model: the on-premises Identity Provider (e.g., Active Directory) is linked to the cloud's IAM/SSO via SAML or OAuth/OpenID Connect, giving one unified identity across both environments.</w:t>
      </w:r>
    </w:p>
    <w:p w14:paraId="4C2ACDE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Apply role-based access control (RBAC) and the principle of least privilege so cloud services can only access the specific on-premises resources they need, and vice versa.</w:t>
      </w:r>
    </w:p>
    <w:p w14:paraId="212A8F9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Encrypt data in transit (TLS/IPSec over the VPN tunnel) and at rest (cloud KMS-managed keys, on-prem disk/database encryption), with keys rotated and access-logged for audit.</w:t>
      </w:r>
    </w:p>
    <w:p w14:paraId="78D401F9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Enable multi-factor authentication (MFA) for all administrative access, especially to systems handling sensitive citizen data.</w:t>
      </w:r>
    </w:p>
    <w:p w14:paraId="785CB766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(c) Challenges in Managing Hybrid Cloud Environments</w:t>
      </w:r>
    </w:p>
    <w:p w14:paraId="17F4AD55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Maintaining consistent security policy and monitoring across two fundamentally different environments (on-prem tools vs. cloud-native tools).</w:t>
      </w:r>
    </w:p>
    <w:p w14:paraId="20AA514D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Network latency and bandwidth costs on the interconnect link, especially for data-heavy workloads.</w:t>
      </w:r>
    </w:p>
    <w:p w14:paraId="40FDAC06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lastRenderedPageBreak/>
        <w:t>Ensuring identity, access, and audit logs stay synchronized so a single unified view of 'who accessed what' is available for compliance reporting.</w:t>
      </w:r>
    </w:p>
    <w:p w14:paraId="5EBD2CBB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Skill gaps — teams need expertise in both traditional on-prem infrastructure and modern cloud platforms.</w:t>
      </w:r>
    </w:p>
    <w:p w14:paraId="1A69F7E0" w14:textId="77777777" w:rsidR="0069456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54A7B17" wp14:editId="6560CE29">
            <wp:extent cx="5334000" cy="3190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6656" w14:textId="77777777" w:rsidR="00694560" w:rsidRDefault="00000000">
      <w:pPr>
        <w:pStyle w:val="Heading1"/>
        <w:pBdr>
          <w:bottom w:val="single" w:sz="6" w:space="4" w:color="1B3A5C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5: High Availability and Fault Tolerance for a SaaS Application</w:t>
      </w:r>
    </w:p>
    <w:p w14:paraId="4EECB281" w14:textId="77777777" w:rsidR="00694560" w:rsidRDefault="00000000">
      <w:pPr>
        <w:spacing w:after="100"/>
      </w:pPr>
      <w:r>
        <w:rPr>
          <w:i/>
          <w:iCs/>
          <w:color w:val="14212E"/>
          <w:szCs w:val="21"/>
        </w:rPr>
        <w:t>Scenario: A SaaS provider needs high availability and fault tolerance so the application keeps operating even if one region goes down.</w:t>
      </w:r>
    </w:p>
    <w:p w14:paraId="4321D53A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(a) Multi-Region Deployment Strategy</w:t>
      </w:r>
    </w:p>
    <w:p w14:paraId="03FDD882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Deploy the application stack (app servers, databases, caches) identically in at least two geographically separate cloud regions — an active region serving live traffic and a second active or standby region ready to take over.</w:t>
      </w:r>
    </w:p>
    <w:p w14:paraId="3C679CD0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Use an active-active model where both regions serve traffic simultaneously (best resource utilisation, near-zero failover time) or active-passive where the second region stays warm/idle until needed (simpler consistency model).</w:t>
      </w:r>
    </w:p>
    <w:p w14:paraId="6DF7AA22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Front the regions with a global traffic manager/DNS that performs continuous health checks and routes users based on latency and region health.</w:t>
      </w:r>
    </w:p>
    <w:p w14:paraId="5146BAA2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(b) Data Replication and Failover Configuration</w:t>
      </w:r>
    </w:p>
    <w:p w14:paraId="2172C26D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Configure synchronous replication within a region (for strong consistency on critical data) and asynchronous cross-region replication (to keep the secondary region's data near-current without adding latency to every write).</w:t>
      </w:r>
    </w:p>
    <w:p w14:paraId="4A99A6D0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An automated failover controller continuously evaluates region health; on detecting a regional outage it promotes the replica database to primary and updates the global traffic manager to redirect all users to the healthy region.</w:t>
      </w:r>
    </w:p>
    <w:p w14:paraId="03A163E4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Design applications to be stateless where possible (session state in a distributed cache, not local memory) so any region can serve any user's request after failover.</w:t>
      </w:r>
    </w:p>
    <w:p w14:paraId="6181CBA3" w14:textId="77777777" w:rsidR="00694560" w:rsidRDefault="00000000">
      <w:pPr>
        <w:spacing w:before="200" w:after="90"/>
      </w:pPr>
      <w:r>
        <w:rPr>
          <w:b/>
          <w:bCs/>
          <w:color w:val="2F6FA7"/>
          <w:sz w:val="23"/>
          <w:szCs w:val="23"/>
        </w:rPr>
        <w:t>(c) Monitoring and Alerting for Proactive Issue Detection</w:t>
      </w:r>
    </w:p>
    <w:p w14:paraId="4B6E13B1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Continuous synthetic health checks and real-user monitoring (RUM) track latency, error rates, and availability per region.</w:t>
      </w:r>
    </w:p>
    <w:p w14:paraId="58F64138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lastRenderedPageBreak/>
        <w:t>Centralized logging and metrics dashboards (e.g., Prometheus/Grafana or cloud-native monitoring) aggregate signals from all regions into one pane of glass.</w:t>
      </w:r>
    </w:p>
    <w:p w14:paraId="7A30EBF7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Threshold- and anomaly-based alerts notify on-call engineers before users are significantly impacted, and automated runbooks can trigger failover without waiting for manual action.</w:t>
      </w:r>
    </w:p>
    <w:p w14:paraId="41D94EC7" w14:textId="77777777" w:rsidR="00694560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4212E"/>
          <w:szCs w:val="21"/>
        </w:rPr>
        <w:t>Regular chaos-engineering drills (deliberately failing a region) validate that failover and alerting actually work as designed.</w:t>
      </w:r>
    </w:p>
    <w:p w14:paraId="48AFFF6F" w14:textId="77777777" w:rsidR="0069456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D1EC8F" wp14:editId="096D18D9">
            <wp:extent cx="5334000" cy="3190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28AE" w14:textId="78297B2D" w:rsidR="00694560" w:rsidRDefault="00694560">
      <w:pPr>
        <w:spacing w:after="220"/>
        <w:jc w:val="center"/>
      </w:pPr>
    </w:p>
    <w:sectPr w:rsidR="00694560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420" w:hanging="260"/>
      </w:pPr>
    </w:lvl>
    <w:lvl w:ilvl="1">
      <w:start w:val="1"/>
      <w:numFmt w:val="bullet"/>
      <w:lvlText w:val="–"/>
      <w:lvlJc w:val="left"/>
      <w:pPr>
        <w:ind w:left="82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92719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560"/>
    <w:rsid w:val="00694560"/>
    <w:rsid w:val="00934859"/>
    <w:rsid w:val="00D77BB8"/>
    <w:rsid w:val="44771F53"/>
    <w:rsid w:val="6B69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7134D"/>
  <w15:docId w15:val="{05558CEB-D0FA-4E4F-AA75-54098FEF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Hasmitha S</cp:lastModifiedBy>
  <cp:revision>2</cp:revision>
  <dcterms:created xsi:type="dcterms:W3CDTF">2026-08-06T15:49:00Z</dcterms:created>
  <dcterms:modified xsi:type="dcterms:W3CDTF">2026-08-06T15:49:00Z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47FE64B4601546E2A5A0955D26E37C5F_12</vt:lpwstr>
  </property>
</Properties>
</file>