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179</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183</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193</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198</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232</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257</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287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296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300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330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338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339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344</w:t>
      </w:r>
    </w:p>
    <w:p>
      <w:pPr>
        <w:tabs>
          <w:tab w:val="right" w:pos="9200" w:leader="dot"/>
        </w:tabs>
        <w:spacing w:after="40" w:before="120"/>
        <w:ind/>
      </w:pPr>
      <w:r>
        <w:rPr>
          <w:b/>
          <w:bCs/>
          <w:color w:val="10507F"/>
          <w:sz w:val="24"/>
          <w:szCs w:val="24"/>
        </w:rPr>
        <w:t xml:space="preserve">Anhang</w:t>
      </w:r>
      <w:r>
        <w:rPr>
          <w:color w:val="555555"/>
          <w:sz w:val="24"/>
          <w:szCs w:val="24"/>
        </w:rPr>
        <w:t xml:space="preserve">	354</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385</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387</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388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drei Befehle öffnen ein echtes System-Fenster und warten auf eine Nutzer-Eingabe. Die folgenden Beispiele zeigen daher die Verwendung, ohne eine Ausgabe abzudrucken.</w:t>
            </w:r>
          </w:p>
          <w:p>
            <w:pPr>
              <w:spacing w:after="0" w:line="312" w:lineRule="auto"/>
            </w:pPr>
            <w:r>
              <w:rPr>
                <w:sz w:val="22"/>
                <w:szCs w:val="22"/>
              </w:rPr>
              <w:t xml:space="preserve">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OPENURL nimmt bewusst keine anderen Schemata an. Die Adresse geht an die System-Shell weiter; ein file:-Schema wäre damit ein Weg, aus einem GameBasic-Programm heraus beliebige Programme zu starten.</w:t>
            </w:r>
          </w:p>
          <w:p>
            <w:pPr>
              <w:spacing w:after="0" w:line="312" w:lineRule="auto"/>
            </w:pPr>
            <w:r>
              <w:rPr>
                <w:sz w:val="22"/>
                <w:szCs w:val="22"/>
              </w:rPr>
              <w:t xml:space="preserve">Nur http und https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KEYPRESSED und MOUSEBUTTON heißen so, seit es GameBasic gibt, und melden weiterhin „gehalten“. Die Flanken-Varianten haben deshalb eigene Namen: KEYHIT und MOUSE_HIT.</w:t>
            </w:r>
          </w:p>
          <w:p>
            <w:pPr>
              <w:spacing w:after="0" w:line="312" w:lineRule="auto"/>
            </w:pPr>
            <w:r>
              <w:rPr>
                <w:sz w:val="22"/>
                <w:szCs w:val="22"/>
              </w:rPr>
              <w:t xml:space="preserve">Die Namen sind historisch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p>
            <w:pPr>
              <w:spacing w:after="0" w:line="312" w:lineRule="auto"/>
            </w:pPr>
            <w:r>
              <w:rPr>
                <w:sz w:val="22"/>
                <w:szCs w:val="22"/>
              </w:rPr>
              <w:t xml:space="preserve">Aufgezeichnet wird die EINGABE, nicht der Spielablauf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p>
            <w:pPr>
              <w:spacing w:after="0" w:line="312" w:lineRule="auto"/>
            </w:pPr>
            <w:r>
              <w:rPr>
                <w:sz w:val="22"/>
                <w:szCs w:val="22"/>
              </w:rPr>
              <w:t xml:space="preserve">Die Drehung dreht Positionen, nicht Formen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Beide öffnen einen echten System-Dialog und blockieren, bis der Nutzer reagiert – die folgenden Beispiele zeigen daher die Verwendung ohne Ausgabe-Kasten.</w:t>
            </w:r>
          </w:p>
          <w:p>
            <w:pPr>
              <w:spacing w:after="0" w:line="312" w:lineRule="auto"/>
            </w:pPr>
            <w:r>
              <w:rPr>
                <w:sz w:val="22"/>
                <w:szCs w:val="22"/>
              </w:rPr>
              <w:t xml:space="preserve">GUI_CONFIRM/GUI_MESSAGE 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oder eine Speicherstand-Übersicht. Die Kopfzeile bleibt beim Scrollen stehen, die gewählte Zeile bleibt markiert.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(TUPLE/ARRAY OF STRING), GUI_TABLE_COL_WIDTHS die Spaltenbreiten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GUI_TABLE_HEADERS(tab, ("Platz", "Name", "Punkte"))</w:t>
      </w:r>
      <w:r>
        <w:rPr>
          <w:rFonts w:ascii="Consolas" w:cs="Consolas" w:eastAsia="Consolas" w:hAnsi="Consolas"/>
          <w:sz w:val="19"/>
          <w:szCs w:val="19"/>
        </w:rPr>
        <w:br/>
        <w:t xml:space="preserve">GUI_TABLE_COL_WIDTHS(tab, (50, 150,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GUI_TABLE_ROW_COUNT(tab)</w:t>
      </w:r>
    </w:p>
    <w:p>
      <w:pPr>
        <w:spacing w:after="180" w:line="312" w:lineRule="auto"/>
      </w:pPr>
      <w:r>
        <w:rPr>
          <w:sz w:val="22"/>
          <w:szCs w:val="22"/>
        </w:rPr>
        <w:t xml:space="preserve">GUI_TABLE_ROWS füllt die Tabelle: Die Zellen kommen als FLACHE Liste zeilenweise – bei drei Spalten also die ersten drei Werte für Zeile 1, die nächsten drei für Zeile 2 und so weiter. GUI_TABLE_ROW_COUNT liefert die Zeilenzahl.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GUI_TABLE_ROWS(tab, ("1", "Anna", "9200", _</w:t>
      </w:r>
      <w:r>
        <w:rPr>
          <w:rFonts w:ascii="Consolas" w:cs="Consolas" w:eastAsia="Consolas" w:hAnsi="Consolas"/>
          <w:sz w:val="19"/>
          <w:szCs w:val="19"/>
        </w:rPr>
        <w:br/>
        <w:t xml:space="preserve">                     "2", "Bert", "8100", _</w:t>
      </w:r>
      <w:r>
        <w:rPr>
          <w:rFonts w:ascii="Consolas" w:cs="Consolas" w:eastAsia="Consolas" w:hAnsi="Consolas"/>
          <w:sz w:val="19"/>
          <w:szCs w:val="19"/>
        </w:rPr>
        <w:br/>
        <w:t xml:space="preserve">                     "3", "Cilly", "7750"))</w:t>
      </w:r>
      <w:r>
        <w:rPr>
          <w:rFonts w:ascii="Consolas" w:cs="Consolas" w:eastAsia="Consolas" w:hAnsi="Consolas"/>
          <w:sz w:val="19"/>
          <w:szCs w:val="19"/>
        </w:rPr>
        <w:br/>
        <w:t xml:space="preserve">PRINT GUI_TABLE_ROW_COUNT(tab)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GUI_TABLE_SET_SELECTED(tab, zeile)</w:t>
      </w:r>
    </w:p>
    <w:p>
      <w:pPr>
        <w:spacing w:after="180" w:line="312" w:lineRule="auto"/>
      </w:pPr>
      <w:r>
        <w:rPr>
          <w:sz w:val="22"/>
          <w:szCs w:val="22"/>
        </w:rPr>
        <w:t xml:space="preserve">GUI_TABLE_SELECTED liefert die markierte Zeile (0-basiert, -1 = keine). GUI_TABLE_CLICKED ist TRUE genau im Frame, in dem eine Zeile angeklickt wurde – gut für „Doppelklick öffnet“. GUI_TABLE_SET_SELECTED markiert von Programmseite.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THEN</w:t>
      </w:r>
      <w:r>
        <w:rPr>
          <w:rFonts w:ascii="Consolas" w:cs="Consolas" w:eastAsia="Consolas" w:hAnsi="Consolas"/>
          <w:sz w:val="19"/>
          <w:szCs w:val="19"/>
        </w:rPr>
        <w:br/>
        <w:t xml:space="preserve">    PRINT "Zeile gewaehlt: " + STR$(GUI_TABLE_SELECTED(tab))</w:t>
      </w:r>
      <w:r>
        <w:rPr>
          <w:rFonts w:ascii="Consolas" w:cs="Consolas" w:eastAsia="Consolas" w:hAnsi="Consolas"/>
          <w:sz w:val="19"/>
          <w:szCs w:val="19"/>
        </w:rPr>
        <w:br/>
        <w:t xml:space="preserve">END IF</w:t>
      </w:r>
      <w:r>
        <w:rPr>
          <w:rFonts w:ascii="Consolas" w:cs="Consolas" w:eastAsia="Consolas" w:hAnsi="Consolas"/>
          <w:sz w:val="19"/>
          <w:szCs w:val="19"/>
        </w:rPr>
        <w:br/>
        <w:t xml:space="preserve">GUI_TABLE_SET_SELECTED(tab, 0)        ' erste Zeile vormarkieren</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p>
            <w:pPr>
              <w:spacing w:after="0" w:line="312" w:lineRule="auto"/>
            </w:pPr>
            <w:r>
              <w:rPr>
                <w:sz w:val="22"/>
                <w:szCs w:val="22"/>
              </w:rPr>
              <w:t xml:space="preserve">Leerer Spielstand heißt nicht immer „neuer Spieler“</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p>
            <w:pPr>
              <w:spacing w:after="0" w:line="312" w:lineRule="auto"/>
            </w:pPr>
            <w:r>
              <w:rPr>
                <w:sz w:val="22"/>
                <w:szCs w:val="22"/>
              </w:rPr>
              <w:t xml:space="preserve">Zwei verschiedene Nummerierungen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"gamebasic-spiel")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gbdemo/gbdemo.gb bei. Starte sie ruhig zuerst und lies dann weiter – es ist leichter zu verstehen, was du schon gesehen hast.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gbdemo\gbdemo.gb</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GameBasic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(gbdemo/gbdemo.gb) und ist durchkommentiert – gerade an den Stellen, an denen beim Bauen etwas schiefging. Ändere die Szenengrenzen, tausche das Musikstück, häng eine neunte Szene an. Genau so hat die Demoszene immer funktioniert.</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1216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image" Target="media/88ebb82853435ac835752ad29917d077d43c25fc.png"/><Relationship Id="rId35" Type="http://schemas.openxmlformats.org/officeDocument/2006/relationships/image" Target="media/6991b50c502163f034dd438332cfb40fafc6d6a8.png"/><Relationship Id="rId36" Type="http://schemas.openxmlformats.org/officeDocument/2006/relationships/image" Target="media/a3260da016d19521b45e76b96c093ae82211c6f2.png"/><Relationship Id="rId37" Type="http://schemas.openxmlformats.org/officeDocument/2006/relationships/image" Target="media/0043cf4b2f727a431adace1b0318b2050efd304b.png"/><Relationship Id="rId38" Type="http://schemas.openxmlformats.org/officeDocument/2006/relationships/image" Target="media/c0fd06fdc08ad411a6293b024e66f95c88a227c7.png"/><Relationship Id="rId39" Type="http://schemas.openxmlformats.org/officeDocument/2006/relationships/image" Target="media/f78eb6c94567a88f375369237c41e21283974046.png"/><Relationship Id="rId40" Type="http://schemas.openxmlformats.org/officeDocument/2006/relationships/image" Target="media/2b59a32cc78367b40798d4e6d24cd166ca8bfd94.png"/><Relationship Id="rId41" Type="http://schemas.openxmlformats.org/officeDocument/2006/relationships/image" Target="media/901c63637a6389d58dacb0085ad0a98337c4851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2026-08-02T18:24:34.271Z</dcterms:created>
  <dcterms:modified xsi:type="dcterms:W3CDTF">2026-08-02T18:24:34.272Z</dcterms:modified>
</cp:coreProperties>
</file>

<file path=docProps/custom.xml><?xml version="1.0" encoding="utf-8"?>
<Properties xmlns="http://schemas.openxmlformats.org/officeDocument/2006/custom-properties" xmlns:vt="http://schemas.openxmlformats.org/officeDocument/2006/docPropsVTypes"/>
</file>