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446</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454</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455</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460</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470</w:t>
      </w:r>
    </w:p>
    <w:p>
      <w:pPr>
        <w:tabs>
          <w:tab w:val="right" w:pos="9200" w:leader="dot"/>
        </w:tabs>
        <w:spacing w:after="40" w:before="120"/>
        <w:ind/>
      </w:pPr>
      <w:r>
        <w:rPr>
          <w:b/>
          <w:bCs/>
          <w:color w:val="10507F"/>
          <w:sz w:val="24"/>
          <w:szCs w:val="24"/>
        </w:rPr>
        <w:t xml:space="preserve">Appendix</w:t>
      </w:r>
      <w:r>
        <w:rPr>
          <w:color w:val="555555"/>
          <w:sz w:val="24"/>
          <w:szCs w:val="24"/>
        </w:rPr>
        <w:t xml:space="preserve">	473</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474</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524</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526</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527</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loads a .ttf, .otf or .ttc file at a given size and returns a handle; SETFONT makes it the active font (-1 switches back to the built-in one).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The form against an SQLite table: LOAD reads SELECT keys… FROM table WHERE id = ? into the bound widgets (FALSE if the row does not exist); SAVE writes an INSERT (for id &lt; 0, returns the new id) or an UPDATE. Values are stored with their type: a number field as a number (except with a leading zero, like a postcode), a tick box as 0/1, a dropdown as an index, a slider as a decimal,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structs by value and functions with a va_list such as vprintf. There are no foreign libraries in the browser.</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2104</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2026-10-06T15:13:00.623Z</dcterms:created>
  <dcterms:modified xsi:type="dcterms:W3CDTF">2026-10-06T15:13:00.623Z</dcterms:modified>
</cp:coreProperties>
</file>

<file path=docProps/custom.xml><?xml version="1.0" encoding="utf-8"?>
<Properties xmlns="http://schemas.openxmlformats.org/officeDocument/2006/custom-properties" xmlns:vt="http://schemas.openxmlformats.org/officeDocument/2006/docPropsVTypes"/>
</file>