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195</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200</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283</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Anhang</w:t>
      </w:r>
      <w:r>
        <w:rPr>
          <w:color w:val="555555"/>
          <w:sz w:val="24"/>
          <w:szCs w:val="24"/>
        </w:rPr>
        <w:t xml:space="preserve">	377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marking a function that returns a string. In Drachenhauch you may leave the $ off: UPPER$ and UPPER are the same thing.</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20).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21) suits a single fixed figure belonging to a particular class better.</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19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18),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in and want to make a number of it. Rather than building TRY/CATCH around VAL, TRYVAL(text, ersatz) (chapter “Strings”) is often the simpler solution here — on invalid input it quietly supplies a fallback value.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1295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2026-08-09T16:08:12.282Z</dcterms:created>
  <dcterms:modified xsi:type="dcterms:W3CDTF">2026-08-09T16:08:12.283Z</dcterms:modified>
</cp:coreProperties>
</file>

<file path=docProps/custom.xml><?xml version="1.0" encoding="utf-8"?>
<Properties xmlns="http://schemas.openxmlformats.org/officeDocument/2006/custom-properties" xmlns:vt="http://schemas.openxmlformats.org/officeDocument/2006/docPropsVTypes"/>
</file>