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295</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299</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306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310</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350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358</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359</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374</w:t>
      </w:r>
    </w:p>
    <w:p>
      <w:pPr>
        <w:tabs>
          <w:tab w:val="right" w:pos="9200" w:leader="dot"/>
        </w:tabs>
        <w:spacing w:after="40" w:before="120"/>
        <w:ind/>
      </w:pPr>
      <w:r>
        <w:rPr>
          <w:b/>
          <w:bCs/>
          <w:color w:val="10507F"/>
          <w:sz w:val="24"/>
          <w:szCs w:val="24"/>
        </w:rPr>
        <w:t xml:space="preserve">Appendix</w:t>
      </w:r>
      <w:r>
        <w:rPr>
          <w:color w:val="555555"/>
          <w:sz w:val="24"/>
          <w:szCs w:val="24"/>
        </w:rPr>
        <w:t xml:space="preserve">	</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a set of editors with which you create code, graphics, music and more. On a set-up system everything is in place; you start the tools with short commands at the command prompt.</w:t>
      </w:r>
    </w:p>
    <w:p>
      <w:pPr>
        <w:pStyle w:val="Heading2"/>
        <w:keepNext/>
        <w:keepLines/>
        <w:spacing w:after="120" w:before="280"/>
      </w:pPr>
      <w:r>
        <w:t xml:space="preserve">The code editor</w:t>
      </w:r>
    </w:p>
    <w:p>
      <w:pPr>
        <w:spacing w:after="180" w:line="312" w:lineRule="auto"/>
      </w:pPr>
      <w:r>
        <w:rPr>
          <w:sz w:val="22"/>
          <w:szCs w:val="22"/>
        </w:rPr>
        <w:t xml:space="preserve">You open the program editor with the command dh (with no arguments a small chooser appears, in which you pick the code editor).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mein_programm.dh</w:t>
      </w:r>
    </w:p>
    <w:p>
      <w:pPr>
        <w:spacing w:after="180" w:line="312" w:lineRule="auto"/>
      </w:pPr>
      <w:r>
        <w:rPr>
          <w:sz w:val="22"/>
          <w:szCs w:val="22"/>
        </w:rPr>
        <w:t xml:space="preserve">This is the recommended way, because dhrun.py switches into your file's directory — which matters as soon as your program loads images or sounds from subfolders. Directly works just as well: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gives you a decimal number as soon as the sum does not come out even — 9 / 2 = 4.5, for instance. When it does come out even, you get a whole number (8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marking a function that returns a string. In Drachenhauch you may leave the $ off: UPPER$ and UPPER are the same thing.</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20).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21) suits a single fixed figure belonging to a particular class better.</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19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18),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in and want to make a number of it. Rather than building TRY/CATCH around VAL, TRYVAL(text, ersatz) (chapter “Strings”) is often the simpler solution here — on invalid input it quietly supplies a fallback value.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Gives the names of a directory's entries as a (sorted)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spacing w:after="180" w:line="312" w:lineRule="auto"/>
      </w:pPr>
      <w:r>
        <w:rPr>
          <w:sz w:val="22"/>
          <w:szCs w:val="22"/>
        </w:rPr>
        <w:t xml:space="preserve">That brings Part III to a close. You now know the most important built-in commands for the console, mathematics, randomness, text, types, collections, time and files. Part IV turns to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loads a .ttf file at a particular size and gives a handle; SETFONT makes it the active font (-1 switches back to the built-in one). TEXT_SIZE changes the character size for the TEXT calls that follow.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bold and italic on or off for the TEXT calls that follow. Both are produced artificially (by offsetting several times, or shearing) — a proper bold font loaded separately looks better, but for emphasis in a game this will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Draws a sub-sprite mirrored: flipX horizontally, flipY vertically (TRUE/FALSE each).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handles mouse and keyboard (hover, click, window dragging, focus, z order) and must come BEFORE GUI_DRAW and the polling queries. GUI_DRAW draws every window from back to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adds an entry with a dropdown to the window's menu bar (“File”, say). GUI_MENU_ITEM appends a clickable item to it, GUI_MENU_SEPARATOR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 click and a drag on the header are the same gesture. Only on release is it settled which was meant: without movement it sorts, with movement it moves the column.</w:t>
            </w:r>
          </w:p>
        </w:tc>
      </w:tr>
    </w:tbl>
    <w:p>
      <w:pPr>
        <w:spacing w:after="160"/>
      </w:pP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Change individual colour roles — "accent" (highlight), "win_bg", "title_bg", "text_fg", "widget_bg", "widget_border", for instance. GUI_THEME is the older name for GUI_THEME_SET.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and “treppe” exclude one another — set both and the staircase wins.</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Zones beat the scale gradient: where a zone lies, its colour applies.</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OVER what came before and returns afterwards (pause, inventory, dialogue). SWITCH for a genuine change with no way back (menu → game → game over). On a scene change you should also clear away any running timers (TIMER_CLEAR, chapter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gbdemo\gbdemo.dh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1295 commands in all.</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45.)</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45).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45).</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24).</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2026-08-09T17:08:04.909Z</dcterms:created>
  <dcterms:modified xsi:type="dcterms:W3CDTF">2026-08-09T17:08:04.910Z</dcterms:modified>
</cp:coreProperties>
</file>

<file path=docProps/custom.xml><?xml version="1.0" encoding="utf-8"?>
<Properties xmlns="http://schemas.openxmlformats.org/officeDocument/2006/custom-properties" xmlns:vt="http://schemas.openxmlformats.org/officeDocument/2006/docPropsVTypes"/>
</file>