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126</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150</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153</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157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168</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173</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174</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199</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224</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227</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231</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237</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266</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270</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275</w:t>
      </w:r>
    </w:p>
    <w:p>
      <w:pPr>
        <w:tabs>
          <w:tab w:val="right" w:pos="9200" w:leader="dot"/>
        </w:tabs>
        <w:spacing w:after="40" w:before="120"/>
        <w:ind/>
      </w:pPr>
      <w:r>
        <w:rPr>
          <w:b/>
          <w:bCs/>
          <w:color w:val="10507F"/>
          <w:sz w:val="24"/>
          <w:szCs w:val="24"/>
        </w:rPr>
        <w:t xml:space="preserve">Anhang</w:t>
      </w:r>
      <w:r>
        <w:rPr>
          <w:color w:val="555555"/>
          <w:sz w:val="24"/>
          <w:szCs w:val="24"/>
        </w:rPr>
        <w:t xml:space="preserve">	279</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280</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307</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309</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310</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drei Befehle öffnen ein echtes System-Fenster und warten auf eine Nutzer-Eingabe. Die folgenden Beispiele zeigen daher die Verwendung, ohne eine Ausgabe abzudrucken.</w:t>
            </w:r>
          </w:p>
          <w:p>
            <w:pPr>
              <w:spacing w:after="0" w:line="312" w:lineRule="auto"/>
            </w:pPr>
            <w:r>
              <w:rPr>
                <w:sz w:val="22"/>
                <w:szCs w:val="22"/>
              </w:rPr>
              <w:t xml:space="preserve">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OPENURL nimmt bewusst keine anderen Schemata an. Die Adresse geht an die System-Shell weiter; ein file:-Schema wäre damit ein Weg, aus einem GameBasic-Programm heraus beliebige Programme zu starten.</w:t>
            </w:r>
          </w:p>
          <w:p>
            <w:pPr>
              <w:spacing w:after="0" w:line="312" w:lineRule="auto"/>
            </w:pPr>
            <w:r>
              <w:rPr>
                <w:sz w:val="22"/>
                <w:szCs w:val="22"/>
              </w:rPr>
              <w:t xml:space="preserve">Nur http und https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GameBasic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Render-Targets und Shader)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KEYPRESSED und MOUSEBUTTON heißen so, seit es GameBasic gibt, und melden weiterhin „gehalten“. Die Flanken-Varianten haben deshalb eigene Namen: KEYHIT und MOUSE_HIT.</w:t>
            </w:r>
          </w:p>
          <w:p>
            <w:pPr>
              <w:spacing w:after="0" w:line="312" w:lineRule="auto"/>
            </w:pPr>
            <w:r>
              <w:rPr>
                <w:sz w:val="22"/>
                <w:szCs w:val="22"/>
              </w:rPr>
              <w:t xml:space="preserve">Die Namen sind historisch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p>
            <w:pPr>
              <w:spacing w:after="0" w:line="312" w:lineRule="auto"/>
            </w:pPr>
            <w:r>
              <w:rPr>
                <w:sz w:val="22"/>
                <w:szCs w:val="22"/>
              </w:rPr>
              <w:t xml:space="preserve">Aufgezeichnet wird die EINGABE, nicht der Spielablauf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examples/153_automation.gb.</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 – MODEL_ANIMATE setzt eine Pose, MODEL_ANIMATE_BLEND blendet weich zwischen zwei Animationen (z. B. Gehen → Rennen) statt hart umzuschalten.</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Orbit &amp; Picking:  </w:t>
      </w:r>
      <w:r>
        <w:rPr>
          <w:sz w:val="22"/>
          <w:szCs w:val="22"/>
        </w:rPr>
        <w:t xml:space="preserve">CAMERA3D_UPDATE bietet fertige Steuerungen (frei, orbital, Ego-Perspektive); CAMERA_ORBIT positioniert die Kamera direkt über Kugelkoordinaten (Ziel, Abstand, Yaw/Pitch) – erspart die Trigonometrie fürs Umkreisen eines Objekts. Mit PICK_BOX/PICK_SPHERE/PICK_MODEL wählst du Objekte bzw. geladene Modelle per Mausklick aus (RAY_HIT_MODEL liefert dieselbe Trefferprüfung mit einem selbst gewählten Strahl statt der Maus). WORLD_TO_SCREEN_X/Y rechnen umgekehrt eine 3D-Position auf ihre Bildschirm-Pixel um (z. B. für ein Namensschild über einem Charakter), SCREEN_TO_WORLD_DIR_X/Y/Z liefern die Blickrichtung durch einen Bildschirm-Pixel als 3D-Vektor (Grundlage für eigenes Raycasting).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Beide öffnen einen echten System-Dialog und blockieren, bis der Nutzer reagiert – die folgenden Beispiele zeigen daher die Verwendung ohne Ausgabe-Kasten.</w:t>
            </w:r>
          </w:p>
          <w:p>
            <w:pPr>
              <w:spacing w:after="0" w:line="312" w:lineRule="auto"/>
            </w:pPr>
            <w:r>
              <w:rPr>
                <w:sz w:val="22"/>
                <w:szCs w:val="22"/>
              </w:rPr>
              <w:t xml:space="preserve">GUI_CONFIRM/GUI_MESSAGE nicht automatisiert testbar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oder eine Speicherstand-Übersicht. Die Kopfzeile bleibt beim Scrollen stehen, die gewählte Zeile bleibt markiert.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(TUPLE/ARRAY OF STRING), GUI_TABLE_COL_WIDTHS die Spaltenbreiten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GUI_TABLE_HEADERS(tab, ("Platz", "Name", "Punkte"))</w:t>
      </w:r>
      <w:r>
        <w:rPr>
          <w:rFonts w:ascii="Consolas" w:cs="Consolas" w:eastAsia="Consolas" w:hAnsi="Consolas"/>
          <w:sz w:val="19"/>
          <w:szCs w:val="19"/>
        </w:rPr>
        <w:br/>
        <w:t xml:space="preserve">GUI_TABLE_COL_WIDTHS(tab, (50, 150,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GUI_TABLE_ROW_COUNT(tab)</w:t>
      </w:r>
    </w:p>
    <w:p>
      <w:pPr>
        <w:spacing w:after="180" w:line="312" w:lineRule="auto"/>
      </w:pPr>
      <w:r>
        <w:rPr>
          <w:sz w:val="22"/>
          <w:szCs w:val="22"/>
        </w:rPr>
        <w:t xml:space="preserve">GUI_TABLE_ROWS füllt die Tabelle: Die Zellen kommen als FLACHE Liste zeilenweise – bei drei Spalten also die ersten drei Werte für Zeile 1, die nächsten drei für Zeile 2 und so weiter. GUI_TABLE_ROW_COUNT liefert die Zeilenzahl.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GUI_TABLE_ROWS(tab, ("1", "Anna", "9200", _</w:t>
      </w:r>
      <w:r>
        <w:rPr>
          <w:rFonts w:ascii="Consolas" w:cs="Consolas" w:eastAsia="Consolas" w:hAnsi="Consolas"/>
          <w:sz w:val="19"/>
          <w:szCs w:val="19"/>
        </w:rPr>
        <w:br/>
        <w:t xml:space="preserve">                     "2", "Bert", "8100", _</w:t>
      </w:r>
      <w:r>
        <w:rPr>
          <w:rFonts w:ascii="Consolas" w:cs="Consolas" w:eastAsia="Consolas" w:hAnsi="Consolas"/>
          <w:sz w:val="19"/>
          <w:szCs w:val="19"/>
        </w:rPr>
        <w:br/>
        <w:t xml:space="preserve">                     "3", "Cilly", "7750"))</w:t>
      </w:r>
      <w:r>
        <w:rPr>
          <w:rFonts w:ascii="Consolas" w:cs="Consolas" w:eastAsia="Consolas" w:hAnsi="Consolas"/>
          <w:sz w:val="19"/>
          <w:szCs w:val="19"/>
        </w:rPr>
        <w:br/>
        <w:t xml:space="preserve">PRINT GUI_TABLE_ROW_COUNT(tab)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GUI_TABLE_SET_SELECTED(tab, zeile)</w:t>
      </w:r>
    </w:p>
    <w:p>
      <w:pPr>
        <w:spacing w:after="180" w:line="312" w:lineRule="auto"/>
      </w:pPr>
      <w:r>
        <w:rPr>
          <w:sz w:val="22"/>
          <w:szCs w:val="22"/>
        </w:rPr>
        <w:t xml:space="preserve">GUI_TABLE_SELECTED liefert die markierte Zeile (0-basiert, -1 = keine). GUI_TABLE_CLICKED ist TRUE genau im Frame, in dem eine Zeile angeklickt wurde – gut für „Doppelklick öffnet“. GUI_TABLE_SET_SELECTED markiert von Programmseite.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THEN</w:t>
      </w:r>
      <w:r>
        <w:rPr>
          <w:rFonts w:ascii="Consolas" w:cs="Consolas" w:eastAsia="Consolas" w:hAnsi="Consolas"/>
          <w:sz w:val="19"/>
          <w:szCs w:val="19"/>
        </w:rPr>
        <w:br/>
        <w:t xml:space="preserve">    PRINT "Zeile gewaehlt: " + STR$(GUI_TABLE_SELECTED(tab))</w:t>
      </w:r>
      <w:r>
        <w:rPr>
          <w:rFonts w:ascii="Consolas" w:cs="Consolas" w:eastAsia="Consolas" w:hAnsi="Consolas"/>
          <w:sz w:val="19"/>
          <w:szCs w:val="19"/>
        </w:rPr>
        <w:br/>
        <w:t xml:space="preserve">END IF</w:t>
      </w:r>
      <w:r>
        <w:rPr>
          <w:rFonts w:ascii="Consolas" w:cs="Consolas" w:eastAsia="Consolas" w:hAnsi="Consolas"/>
          <w:sz w:val="19"/>
          <w:szCs w:val="19"/>
        </w:rPr>
        <w:br/>
        <w:t xml:space="preserve">GUI_TABLE_SET_SELECTED(tab, 0)        ' erste Zeile vormarkieren</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gbform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gbform in seine .gbform-Dateien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(gbform),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"layout.gbform")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GUI_LOAD("layout.gbform")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VEC3_X(v)/Y/Z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1213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6110ce31bab8db4a2bd1ebae316ac8e2c2d43fcf.png"/><Relationship Id="rId28" Type="http://schemas.openxmlformats.org/officeDocument/2006/relationships/image" Target="media/f65b808177793364071d141df2ee6a53b4546f40.png"/><Relationship Id="rId29" Type="http://schemas.openxmlformats.org/officeDocument/2006/relationships/image" Target="media/b9c5e135348c86153d84eac7780dbc016e3fd06f.png"/><Relationship Id="rId30" Type="http://schemas.openxmlformats.org/officeDocument/2006/relationships/image" Target="media/d024333201586025953102a48da04c920d2400d5.png"/><Relationship Id="rId31" Type="http://schemas.openxmlformats.org/officeDocument/2006/relationships/image" Target="media/0151addb47422fb6363a9a5c242245bd8d694cdc.png"/><Relationship Id="rId32" Type="http://schemas.openxmlformats.org/officeDocument/2006/relationships/image" Target="media/33a933f56c33dcb7b3904e37e784d00b85e05fb1.png"/><Relationship Id="rId33" Type="http://schemas.openxmlformats.org/officeDocument/2006/relationships/image" Target="media/a32a6df15bca6bba5558f67f38df58beb766e65f.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2026-08-02T11:01:35.283Z</dcterms:created>
  <dcterms:modified xsi:type="dcterms:W3CDTF">2026-08-02T11:01:35.284Z</dcterms:modified>
</cp:coreProperties>
</file>

<file path=docProps/custom.xml><?xml version="1.0" encoding="utf-8"?>
<Properties xmlns="http://schemas.openxmlformats.org/officeDocument/2006/custom-properties" xmlns:vt="http://schemas.openxmlformats.org/officeDocument/2006/docPropsVTypes"/>
</file>