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OAK-D PoE</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256/512/1024MBit QSPI NOR Flash</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16GB eMMC 5.1</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Gigabit Ethernet + PoE power</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2-lane MIPI connects OV9282 1MP global shutter cameras</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center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horizontal 4.5cm / vertical 2x 3.75cm, M4, two sets of mounting holes on the back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IP67 rated enclosure</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OAK-D PoE is an AI Edge vision system driven by Movidius Myriad X VPU. The system is powered with Power over Ethernet (PoE). </w:t>
      </w:r>
      <w:r>
        <w:rPr>
          <w:rFonts w:ascii="Arial" w:hAnsi="Arial" w:cs="Arial" w:eastAsia="Arial"/>
          <w:color w:val="404040"/>
          <w:spacing w:val="0"/>
          <w:position w:val="0"/>
          <w:sz w:val="22"/>
          <w:shd w:fill="FCFCFC" w:val="clear"/>
        </w:rPr>
        <w:t xml:space="preserve">OAK-D PoE has three on-board cameras which implement stereo and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404040"/>
          <w:spacing w:val="0"/>
          <w:position w:val="0"/>
          <w:sz w:val="22"/>
          <w:shd w:fill="FCFCFC" w:val="clear"/>
        </w:rPr>
        <w:t xml:space="preserve"> for depth and AI processing. The data is then output to a host via Gigabit Ethernet connection. </w:t>
      </w: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404040"/>
          <w:spacing w:val="0"/>
          <w:position w:val="0"/>
          <w:sz w:val="22"/>
          <w:shd w:fill="FCFCFC" w:val="clear"/>
        </w:rPr>
        <w:t xml:space="preserve">Connecting device with Cat5e or higher end Ethernet cable is recommended to meet maximum speed and PoE requirements. On the device end standard RJ45 cable connector should be used. </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rPr>
            </w:pPr>
            <w:r>
              <w:rPr>
                <w:rFonts w:ascii="Arial" w:hAnsi="Arial" w:cs="Arial" w:eastAsia="Arial"/>
                <w:color w:val="auto"/>
                <w:spacing w:val="0"/>
                <w:position w:val="0"/>
                <w:sz w:val="22"/>
                <w:shd w:fill="auto" w:val="clear"/>
              </w:rPr>
              <w:t xml:space="preserve">OAK-D PoE</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130 mm x 65 mm x 29.9 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7835" w:dyaOrig="4798">
          <v:rect xmlns:o="urn:schemas-microsoft-com:office:office" xmlns:v="urn:schemas-microsoft-com:vml" id="rectole0000000000" style="width:391.750000pt;height:239.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1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PoE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Center Color Camera</w:t>
      </w:r>
      <w:r>
        <w:rPr>
          <w:rFonts w:ascii="Calibri" w:hAnsi="Calibri" w:cs="Calibri" w:eastAsia="Calibri"/>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Stereo vision gray scale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5</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39"/>
              </w:numPr>
              <w:spacing w:before="0" w:after="0" w:line="240"/>
              <w:ind w:right="0" w:left="720" w:hanging="360"/>
              <w:jc w:val="left"/>
              <w:rPr>
                <w:color w:val="auto"/>
                <w:spacing w:val="0"/>
                <w:position w:val="0"/>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4"/>
              </w:numPr>
              <w:spacing w:before="0" w:after="0" w:line="240"/>
              <w:ind w:right="0" w:left="760" w:hanging="400"/>
              <w:jc w:val="left"/>
              <w:rPr>
                <w:color w:val="auto"/>
                <w:spacing w:val="0"/>
                <w:position w:val="0"/>
                <w:sz w:val="22"/>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802.3af, Class3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37</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57</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0.35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8"/>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PoE input voltage range</w:t>
            </w:r>
            <w:r>
              <w:rPr>
                <w:rFonts w:ascii="Arial" w:hAnsi="Arial" w:cs="Arial" w:eastAsia="Arial"/>
                <w:color w:val="auto"/>
                <w:spacing w:val="0"/>
                <w:position w:val="0"/>
                <w:sz w:val="16"/>
                <w:shd w:fill="auto" w:val="clear"/>
                <w:vertAlign w:val="superscript"/>
              </w:rPr>
              <w:t xml:space="preserve">(2)</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37</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57</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6</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Power supply designed according to 802.3af (802.3at Type 1) standard.</w:t>
      </w:r>
    </w:p>
    <w:p>
      <w:pPr>
        <w:numPr>
          <w:ilvl w:val="0"/>
          <w:numId w:val="92"/>
        </w:numPr>
        <w:tabs>
          <w:tab w:val="left" w:pos="358" w:leader="none"/>
        </w:tabs>
        <w:spacing w:before="0" w:after="0" w:line="240"/>
        <w:ind w:right="2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9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94"/>
              </w:numPr>
              <w:spacing w:before="0" w:after="0" w:line="240"/>
              <w:ind w:right="0" w:left="760" w:hanging="400"/>
              <w:jc w:val="left"/>
              <w:rPr>
                <w:color w:val="auto"/>
                <w:spacing w:val="0"/>
                <w:position w:val="0"/>
                <w:sz w:val="22"/>
              </w:rPr>
            </w:pPr>
            <w:r>
              <w:rPr>
                <w:rFonts w:ascii="Arial" w:hAnsi="Arial" w:cs="Arial" w:eastAsia="Arial"/>
                <w:b/>
                <w:color w:val="auto"/>
                <w:spacing w:val="0"/>
                <w:position w:val="0"/>
                <w:sz w:val="22"/>
                <w:shd w:fill="auto" w:val="clear"/>
              </w:rPr>
              <w:t xml:space="preserve">Center Color Camera</w:t>
            </w:r>
          </w:p>
        </w:tc>
      </w:tr>
    </w:tbl>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RAW12/10/8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DFOV: 81° / HFOV: 69° / VFOV: 55°</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5"/>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Stereo vision gray scale camera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Stereo cameras compare the features and based on the disparity determines the distance/depth of the object tracked on by the product. It also provides the depth map in color and raw depth map in gray scale.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OmniVision OV9282</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1280x800@120FPS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8/10-bit RAW</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Fixed Focus 19.6cm - </w:t>
            </w:r>
            <w:r>
              <w:rPr>
                <w:rFonts w:ascii="Cambria Math" w:hAnsi="Cambria Math" w:cs="Cambria Math" w:eastAsia="Cambria Math"/>
                <w:color w:val="auto"/>
                <w:spacing w:val="0"/>
                <w:position w:val="0"/>
                <w:sz w:val="16"/>
                <w:shd w:fill="auto" w:val="clear"/>
              </w:rPr>
              <w:t xml:space="preserv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DFOV: 82° / HFOV: 72° / VFOV: 50°</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Global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rPr>
            </w:pPr>
            <w:r>
              <w:rPr>
                <w:rFonts w:ascii="Arial" w:hAnsi="Arial" w:cs="Arial" w:eastAsia="Arial"/>
                <w:color w:val="auto"/>
                <w:spacing w:val="0"/>
                <w:position w:val="0"/>
                <w:sz w:val="16"/>
                <w:shd w:fill="auto" w:val="clear"/>
              </w:rPr>
              <w:t xml:space="preserve">No</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3"/>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7"/>
        <w:ind w:right="0" w:left="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information is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the most</w:t>
        </w:r>
      </w:hyperlink>
      <w:r>
        <w:rPr>
          <w:rFonts w:ascii="Arial" w:hAnsi="Arial" w:cs="Arial" w:eastAsia="Arial"/>
          <w:color w:val="auto"/>
          <w:spacing w:val="0"/>
          <w:position w:val="0"/>
          <w:sz w:val="22"/>
          <w:shd w:fill="auto" w:val="clear"/>
        </w:rPr>
        <w:t xml:space="preserve">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current </w:t>
        </w:r>
      </w:hyperlink>
      <w:r>
        <w:rPr>
          <w:rFonts w:ascii="Arial" w:hAnsi="Arial" w:cs="Arial" w:eastAsia="Arial"/>
          <w:color w:val="auto"/>
          <w:spacing w:val="0"/>
          <w:position w:val="0"/>
          <w:sz w:val="22"/>
          <w:shd w:fill="auto" w:val="clear"/>
        </w:rPr>
        <w:t xml:space="preserve">data available for the designated device. This data is subject to change without notice and without revision of this document.</w:t>
      </w:r>
    </w:p>
    <w:p>
      <w:pPr>
        <w:spacing w:before="0" w:after="160" w:line="247"/>
        <w:ind w:right="0" w:left="20" w:firstLine="0"/>
        <w:jc w:val="center"/>
        <w:rPr>
          <w:rFonts w:ascii="Arial" w:hAnsi="Arial" w:cs="Arial" w:eastAsia="Arial"/>
          <w:b/>
          <w:color w:val="auto"/>
          <w:spacing w:val="0"/>
          <w:position w:val="0"/>
          <w:sz w:val="22"/>
          <w:shd w:fill="auto" w:val="clear"/>
        </w:rPr>
      </w:pPr>
      <w:r>
        <w:object w:dxaOrig="12249" w:dyaOrig="8200">
          <v:rect xmlns:o="urn:schemas-microsoft-com:office:office" xmlns:v="urn:schemas-microsoft-com:vml" id="rectole0000000001" style="width:612.450000pt;height:41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OAK-D PoE Mechanical measurements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6">
    <w:abstractNumId w:val="66"/>
  </w:num>
  <w:num w:numId="8">
    <w:abstractNumId w:val="60"/>
  </w:num>
  <w:num w:numId="10">
    <w:abstractNumId w:val="54"/>
  </w:num>
  <w:num w:numId="14">
    <w:abstractNumId w:val="48"/>
  </w:num>
  <w:num w:numId="39">
    <w:abstractNumId w:val="42"/>
  </w:num>
  <w:num w:numId="44">
    <w:abstractNumId w:val="36"/>
  </w:num>
  <w:num w:numId="68">
    <w:abstractNumId w:val="30"/>
  </w:num>
  <w:num w:numId="92">
    <w:abstractNumId w:val="24"/>
  </w:num>
  <w:num w:numId="94">
    <w:abstractNumId w:val="18"/>
  </w:num>
  <w:num w:numId="96">
    <w:abstractNumId w:val="12"/>
  </w:num>
  <w:num w:numId="125">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com/corp/docs/legal/termsofuse.s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ti.com/corp/docs/legal/termsofuse.shtml"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