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System 208V — Math formulas (typeset)</w:t>
      </w:r>
    </w:p>
    <w:bookmarkStart w:id="17" w:name="system-208v-math-formulas"/>
    <w:p>
      <w:pPr>
        <w:pStyle w:val="Heading1"/>
      </w:pPr>
      <w:r>
        <w:t xml:space="preserve">System 208V — Math formulas</w:t>
      </w:r>
    </w:p>
    <w:p>
      <w:pPr>
        <w:pStyle w:val="FirstParagraph"/>
      </w:pPr>
      <w:r>
        <w:t xml:space="preserve">Typeset equations for R&amp;D review (KaTeX). Companion files include the full Word mapping doc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System_208V_Column_Mapping_and_Math.docx</w:t>
      </w:r>
      <w:r>
        <w:t xml:space="preserve">) and the native-equation Word 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System_208V_Math_Formulas.docx</w:t>
      </w:r>
      <w:r>
        <w:t xml:space="preserve">).</w:t>
      </w:r>
      <w:r>
        <w:t xml:space="preserve"> </w:t>
      </w:r>
      <w:r>
        <w:t xml:space="preserve">Source of truth remains the Rust pipeline under</w:t>
      </w:r>
      <w:r>
        <w:t xml:space="preserve"> </w:t>
      </w:r>
      <w:r>
        <w:rPr>
          <w:rStyle w:val="VerbatimChar"/>
        </w:rPr>
        <w:t xml:space="preserve">backend/src/processing/</w:t>
      </w:r>
      <w:r>
        <w:t xml:space="preserve">.</w:t>
      </w:r>
    </w:p>
    <w:bookmarkEnd w:id="17"/>
    <w:p>
      <w:pPr>
        <w:pStyle w:val="BodyText"/>
      </w:pPr>
      <w:r>
        <w:t xml:space="preserve">HTML + KaTeX · open in any browser</w:t>
      </w:r>
    </w:p>
    <w:bookmarkStart w:id="18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helpers">
        <w:r>
          <w:rPr>
            <w:rStyle w:val="Hyperlink"/>
          </w:rPr>
          <w:t xml:space="preserve">Shared math helpers</w:t>
        </w:r>
      </w:hyperlink>
    </w:p>
    <w:p>
      <w:pPr>
        <w:pStyle w:val="Compact"/>
        <w:numPr>
          <w:ilvl w:val="0"/>
          <w:numId w:val="1001"/>
        </w:numPr>
      </w:pPr>
      <w:hyperlink w:anchor="voltages">
        <w:r>
          <w:rPr>
            <w:rStyle w:val="Hyperlink"/>
          </w:rPr>
          <w:t xml:space="preserve">Auto voltage modes</w:t>
        </w:r>
      </w:hyperlink>
    </w:p>
    <w:p>
      <w:pPr>
        <w:pStyle w:val="Compact"/>
        <w:numPr>
          <w:ilvl w:val="0"/>
          <w:numId w:val="1001"/>
        </w:numPr>
      </w:pPr>
      <w:hyperlink w:anchor="error">
        <w:r>
          <w:rPr>
            <w:rStyle w:val="Hyperlink"/>
          </w:rPr>
          <w:t xml:space="preserve">Error % and phase Δ</w:t>
        </w:r>
      </w:hyperlink>
    </w:p>
    <w:p>
      <w:pPr>
        <w:pStyle w:val="Compact"/>
        <w:numPr>
          <w:ilvl w:val="0"/>
          <w:numId w:val="1001"/>
        </w:numPr>
      </w:pPr>
      <w:hyperlink w:anchor="banding">
        <w:r>
          <w:rPr>
            <w:rStyle w:val="Hyperlink"/>
          </w:rPr>
          <w:t xml:space="preserve">Load banding &amp; averaging</w:t>
        </w:r>
      </w:hyperlink>
    </w:p>
    <w:p>
      <w:pPr>
        <w:pStyle w:val="Compact"/>
        <w:numPr>
          <w:ilvl w:val="0"/>
          <w:numId w:val="1001"/>
        </w:numPr>
      </w:pPr>
      <w:hyperlink w:anchor="gradient">
        <w:r>
          <w:rPr>
            <w:rStyle w:val="Hyperlink"/>
          </w:rPr>
          <w:t xml:space="preserve">Comparison gradient</w:t>
        </w:r>
      </w:hyperlink>
    </w:p>
    <w:p>
      <w:pPr>
        <w:pStyle w:val="Compact"/>
        <w:numPr>
          <w:ilvl w:val="0"/>
          <w:numId w:val="1001"/>
        </w:numPr>
      </w:pPr>
      <w:hyperlink w:anchor="formats">
        <w:r>
          <w:rPr>
            <w:rStyle w:val="Hyperlink"/>
          </w:rPr>
          <w:t xml:space="preserve">Which format to use</w:t>
        </w:r>
      </w:hyperlink>
    </w:p>
    <w:bookmarkEnd w:id="18"/>
    <w:bookmarkStart w:id="27" w:name="helpers"/>
    <w:bookmarkStart w:id="26" w:name="shared-math-helpers"/>
    <w:p>
      <w:pPr>
        <w:pStyle w:val="Heading2"/>
      </w:pPr>
      <w:r>
        <w:t xml:space="preserve">1. Shared math helpers</w:t>
      </w:r>
    </w:p>
    <w:p>
      <w:pPr>
        <w:pStyle w:val="FirstParagraph"/>
      </w:pPr>
      <w:r>
        <w:t xml:space="preserve">Constants: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1.7320508075688772</m:t>
        </m:r>
      </m:oMath>
      <w:r>
        <w:t xml:space="preserve">, near-zero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bookmarkStart w:id="19" w:name="three-phase-average"/>
    <w:p>
      <w:pPr>
        <w:pStyle w:val="Heading3"/>
      </w:pPr>
      <w:r>
        <w:t xml:space="preserve">Three-phase average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avg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If any phase is missing → blank. Also used for Auto total THD percentages (reporting convention only).</w:t>
      </w:r>
    </w:p>
    <w:bookmarkEnd w:id="19"/>
    <w:bookmarkStart w:id="20" w:name="unit-scale-auto-power-reactive"/>
    <w:p>
      <w:pPr>
        <w:pStyle w:val="Heading3"/>
      </w:pPr>
      <w:r>
        <w:t xml:space="preserve">Unit scale (Auto power / reactive)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</m:sSub>
            </m:num>
            <m:den>
              <m:r>
                <m:t>1000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r>
                <m:t>1000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sub>
              </m:sSub>
            </m:num>
            <m:den>
              <m:r>
                <m:t>1000</m:t>
              </m:r>
            </m:den>
          </m:f>
        </m:oMath>
      </m:oMathPara>
    </w:p>
    <w:bookmarkEnd w:id="20"/>
    <w:bookmarkStart w:id="21" w:name="reactive-power-auto"/>
    <w:p>
      <w:pPr>
        <w:pStyle w:val="Heading3"/>
      </w:pPr>
      <w:r>
        <w:t xml:space="preserve">Reactive power (Auto)</w:t>
      </w:r>
    </w:p>
    <w:p>
      <w:pPr>
        <w:pStyle w:val="FirstParagraph"/>
      </w:pPr>
      <w:r>
        <w:rPr>
          <w:b/>
          <w:bCs/>
        </w:rPr>
        <w:t xml:space="preserve">Primary:</w:t>
      </w:r>
      <w:r>
        <w:t xml:space="preserve"> </w:t>
      </w:r>
      <w:r>
        <w:t xml:space="preserve">instrument</w:t>
      </w:r>
      <w:r>
        <w:t xml:space="preserve"> </w:t>
      </w:r>
      <w:r>
        <w:rPr>
          <w:rStyle w:val="VerbatimChar"/>
        </w:rPr>
        <w:t xml:space="preserve">Q-*</w:t>
      </w:r>
      <w:r>
        <w:t xml:space="preserve"> </w:t>
      </w:r>
      <w:r>
        <w:t xml:space="preserve">(signed), converted var → kvar.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sub>
              </m:sSub>
            </m:num>
            <m:den>
              <m:r>
                <m:t>1000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Fallback</w:t>
      </w:r>
      <w:r>
        <w:t xml:space="preserve"> </w:t>
      </w:r>
      <w:r>
        <w:t xml:space="preserve">only if</w:t>
      </w:r>
      <w:r>
        <w:t xml:space="preserve"> </w:t>
      </w:r>
      <w:r>
        <w:rPr>
          <w:rStyle w:val="VerbatimChar"/>
        </w:rPr>
        <w:t xml:space="preserve">Q-*</w:t>
      </w:r>
      <w:r>
        <w:t xml:space="preserve"> </w:t>
      </w:r>
      <w:r>
        <w:t xml:space="preserve">is blank/NAN and the triangle is valid: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</m:t>
          </m:r>
          <m:r>
            <m:rPr>
              <m:nor/>
              <m:sty m:val="p"/>
            </m:rPr>
            <m:t>when 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Invalid triangle: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|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  <w:r>
        <w:t xml:space="preserve"> </w:t>
      </w:r>
      <w:r>
        <w:t xml:space="preserve">beyond a tiny rounding tolerance, fallback is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— not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|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|</m:t>
            </m:r>
          </m:e>
        </m:rad>
      </m:oMath>
      <w:r>
        <w:t xml:space="preserve">.</w:t>
      </w:r>
    </w:p>
    <w:bookmarkEnd w:id="21"/>
    <w:bookmarkStart w:id="22" w:name="fallback-total-pf-only"/>
    <w:p>
      <w:pPr>
        <w:pStyle w:val="Heading3"/>
      </w:pPr>
      <w:r>
        <w:t xml:space="preserve">Fallback total PF only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A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present</m:t>
                    </m:r>
                  </m:e>
                </m:m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/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if PF blank and </m:t>
                    </m:r>
                    <m:r>
                      <m:rPr>
                        <m:sty m:val="p"/>
                      </m:rPr>
                      <m:t>|</m:t>
                    </m:r>
                    <m:r>
                      <m:t>S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Phase PFA/PFB/PFC use instrument fields only (no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fallback).</w:t>
      </w:r>
    </w:p>
    <w:bookmarkEnd w:id="22"/>
    <w:bookmarkStart w:id="23" w:name="neutral-proxy-unbalance-auto"/>
    <w:p>
      <w:pPr>
        <w:pStyle w:val="Heading3"/>
      </w:pPr>
      <w:r>
        <w:t xml:space="preserve">Neutral proxy &amp; unbalance (Auto)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</m:lim>
              </m:limLow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avg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bookmarkEnd w:id="23"/>
    <w:bookmarkStart w:id="24" w:name="signed-angle-wrap"/>
    <w:p>
      <w:pPr>
        <w:pStyle w:val="Heading3"/>
      </w:pPr>
      <w:r>
        <w:t xml:space="preserve">Signed angle wrap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wrap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]</m:t>
          </m:r>
        </m:oMath>
      </m:oMathPara>
    </w:p>
    <w:bookmarkEnd w:id="24"/>
    <w:bookmarkStart w:id="25" w:name="circular-δdeg"/>
    <w:p>
      <w:pPr>
        <w:pStyle w:val="Heading3"/>
      </w:pPr>
      <w:r>
        <w:t xml:space="preserve">Circular Δdeg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wrap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wrap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wrap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bookmarkEnd w:id="25"/>
    <w:bookmarkEnd w:id="26"/>
    <w:bookmarkEnd w:id="27"/>
    <w:bookmarkStart w:id="32" w:name="voltages"/>
    <w:bookmarkStart w:id="31" w:name="auto-voltage-modes"/>
    <w:p>
      <w:pPr>
        <w:pStyle w:val="Heading2"/>
      </w:pPr>
      <w:r>
        <w:t xml:space="preserve">2. Auto voltage modes</w:t>
      </w:r>
    </w:p>
    <w:bookmarkStart w:id="28" w:name="iir-line-to-neutral-ch-456"/>
    <w:p>
      <w:pPr>
        <w:pStyle w:val="Heading3"/>
      </w:pPr>
      <w:r>
        <w:t xml:space="preserve">IIR — line-to-neutral (ch 4/5/6)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U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6</m:t>
                  </m:r>
                </m:sub>
              </m:sSub>
            </m:e>
            <m:e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avg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4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5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6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N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Assumption:</w:t>
      </w:r>
      <w:r>
        <w:t xml:space="preserve"> </w:t>
      </w:r>
      <w:r>
        <w:t xml:space="preserve">ideal balanced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U</m:t>
            </m:r>
          </m:e>
          <m:sub>
            <m:r>
              <m:t>L</m:t>
            </m:r>
            <m:r>
              <m:t>N</m:t>
            </m:r>
          </m:sub>
        </m:sSub>
      </m:oMath>
      <w:r>
        <w:t xml:space="preserve"> </w:t>
      </w:r>
      <w:r>
        <w:t xml:space="preserve">so L–L columns can sit next to Acuvim L–L fields.</w:t>
      </w:r>
    </w:p>
    <w:bookmarkEnd w:id="28"/>
    <w:bookmarkStart w:id="29" w:name="iiw-line-to-line-ch-123"/>
    <w:p>
      <w:pPr>
        <w:pStyle w:val="Heading3"/>
      </w:pPr>
      <w:r>
        <w:t xml:space="preserve">IIW — line-to-line (ch 1/2/3)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N/A</m:t>
              </m:r>
            </m:e>
            <m:e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3</m:t>
                  </m:r>
                </m:sub>
              </m:sSub>
            </m:e>
            <m:e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avg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bookmarkEnd w:id="29"/>
    <w:bookmarkStart w:id="30" w:name="phase-displacement-acuvim-auto-phi"/>
    <w:p>
      <w:pPr>
        <w:pStyle w:val="Heading3"/>
      </w:pPr>
      <w:r>
        <w:t xml:space="preserve">Phase displacement (Acuvim → Auto Phi)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ϕ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wrap</m:t>
              </m:r>
              <m:r>
                <m:rPr>
                  <m:sty m:val="p"/>
                </m:rPr>
                <m:t>(</m:t>
              </m:r>
              <m:r>
                <m:t>I</m:t>
              </m:r>
              <m:sSub>
                <m:e>
                  <m:r>
                    <m:t>A</m:t>
                  </m:r>
                </m:e>
                <m:sub>
                  <m:r>
                    <m:t>U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U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t>ϕ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wrap</m:t>
              </m:r>
              <m:r>
                <m:rPr>
                  <m:sty m:val="p"/>
                </m:rPr>
                <m:t>(</m:t>
              </m:r>
              <m:r>
                <m:t>I</m:t>
              </m:r>
              <m:sSub>
                <m:e>
                  <m:r>
                    <m:t>B</m:t>
                  </m:r>
                </m:e>
                <m:sub>
                  <m:r>
                    <m:t>U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U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t>ϕ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wrap</m:t>
              </m:r>
              <m:r>
                <m:rPr>
                  <m:sty m:val="p"/>
                </m:rPr>
                <m:t>(</m:t>
              </m:r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U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t>ϕ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wrap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nor/>
                  <m:sty m:val="p"/>
                </m:rPr>
                <m:t>(similarly for B/C / IIW)</m:t>
              </m:r>
            </m:e>
          </m:eqArr>
        </m:oMath>
      </m:oMathPara>
    </w:p>
    <w:p>
      <w:pPr>
        <w:pStyle w:val="FirstParagraph"/>
      </w:pPr>
      <w:r>
        <w:t xml:space="preserve">If a phase voltage is missing, the corresponding current displacement is cleared (N/A), not left as a raw UA-relative angle.</w:t>
      </w:r>
    </w:p>
    <w:bookmarkEnd w:id="30"/>
    <w:bookmarkEnd w:id="31"/>
    <w:bookmarkEnd w:id="32"/>
    <w:bookmarkStart w:id="37" w:name="error"/>
    <w:bookmarkStart w:id="36" w:name="error-and-phase-averages"/>
    <w:p>
      <w:pPr>
        <w:pStyle w:val="Heading2"/>
      </w:pPr>
      <w:r>
        <w:t xml:space="preserve">3. Error % and phase averages</w:t>
      </w:r>
    </w:p>
    <w:bookmarkStart w:id="33" w:name="error-percent"/>
    <w:p>
      <w:pPr>
        <w:pStyle w:val="Heading3"/>
      </w:pPr>
      <w:r>
        <w:t xml:space="preserve">Error percent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Either side missing → N/A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|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→ N/A (never invent zero)</w:t>
      </w:r>
    </w:p>
    <w:p>
      <w:pPr>
        <w:pStyle w:val="FirstParagraph"/>
      </w:pPr>
      <w:r>
        <w:rPr>
          <w:b/>
          <w:bCs/>
        </w:rPr>
        <w:t xml:space="preserve">Sign of Auto matters.</w:t>
      </w:r>
      <w:r>
        <w:t xml:space="preserve"> </w:t>
      </w:r>
      <w:r>
        <w:t xml:space="preserve">When Auto is positive, positive Error% means the meter is algebraically higher.</w:t>
      </w:r>
      <w:r>
        <w:t xml:space="preserve"> </w:t>
      </w:r>
      <w:r>
        <w:t xml:space="preserve">When Auto is negative (e.g. signed Q): meter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, Auto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−</m:t>
              </m:r>
              <m:r>
                <m:t>10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Always read the formula, not only “higher / lower” wording.</w:t>
      </w:r>
    </w:p>
    <w:bookmarkEnd w:id="33"/>
    <w:bookmarkStart w:id="34" w:name="band-average-arithmetic-real-time-thd"/>
    <w:p>
      <w:pPr>
        <w:pStyle w:val="Heading3"/>
      </w:pPr>
      <w:r>
        <w:t xml:space="preserve">Band average — arithmetic (Real-Time / THD)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e>
          </m:nary>
        </m:oMath>
      </m:oMathPara>
    </w:p>
    <w:bookmarkEnd w:id="34"/>
    <w:bookmarkStart w:id="35" w:name="band-average-circular-phase-tables"/>
    <w:p>
      <w:pPr>
        <w:pStyle w:val="Heading3"/>
      </w:pPr>
      <w:r>
        <w:t xml:space="preserve">Band average — circular (Phase tables)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then wrap to 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Avoids the linear-mean bug:</w:t>
      </w:r>
      <w:r>
        <w:t xml:space="preserve"> </w:t>
      </w:r>
      <m:oMath>
        <m:sSup>
          <m:e>
            <m:r>
              <m:t>179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179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average near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not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bookmarkEnd w:id="35"/>
    <w:bookmarkEnd w:id="36"/>
    <w:bookmarkEnd w:id="37"/>
    <w:bookmarkStart w:id="40" w:name="banding"/>
    <w:bookmarkStart w:id="39" w:name="load-banding"/>
    <w:p>
      <w:pPr>
        <w:pStyle w:val="Heading2"/>
      </w:pPr>
      <w:r>
        <w:t xml:space="preserve">4. Load banding</w:t>
      </w:r>
    </w:p>
    <w:p>
      <w:pPr>
        <w:pStyle w:val="FirstParagraph"/>
      </w:pPr>
      <w:r>
        <w:t xml:space="preserve">Reference current: Auto SIGMB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after transform. For each sample and target</w:t>
      </w:r>
      <w:r>
        <w:t xml:space="preserve"> </w:t>
      </w:r>
      <m:oMath>
        <m:sSubSup>
          <m:e>
            <m:r>
              <m:t>I</m:t>
            </m:r>
          </m:e>
          <m:sub>
            <m:r>
              <m:t>k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t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I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I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r>
                <m:rPr>
                  <m:sty m:val="p"/>
                </m:rPr>
                <m:t>|</m:t>
              </m:r>
            </m:num>
            <m:den>
              <m:sSubSup>
                <m:e>
                  <m:r>
                    <m:t>I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Keep targets with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(default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t xml:space="preserve">). Assign to the smallest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. Meter rows match by timestamp within 60 s default.</w:t>
      </w:r>
    </w:p>
    <w:bookmarkStart w:id="38" w:name="auto-total-thd-reporting-convention"/>
    <w:p>
      <w:pPr>
        <w:pStyle w:val="Heading3"/>
      </w:pPr>
      <w:r>
        <w:t xml:space="preserve">Auto total THD (reporting convention)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avg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R&amp;D decision:</w:t>
      </w:r>
      <w:r>
        <w:t xml:space="preserve"> </w:t>
      </w:r>
      <w:r>
        <w:t xml:space="preserve">this is the arithmetic mean of three phase THD</w:t>
      </w:r>
      <w:r>
        <w:t xml:space="preserve"> </w:t>
      </w:r>
      <w:r>
        <w:rPr>
          <w:i/>
          <w:iCs/>
        </w:rPr>
        <w:t xml:space="preserve">percentages</w:t>
      </w:r>
      <w:r>
        <w:t xml:space="preserve">,</w:t>
      </w:r>
      <w:r>
        <w:t xml:space="preserve"> </w:t>
      </w:r>
      <w:r>
        <w:t xml:space="preserve">not a physically aggregated THD of a combined waveform unless fundamentals are equal or the instrument defines “total” the same way.</w:t>
      </w:r>
    </w:p>
    <w:bookmarkEnd w:id="38"/>
    <w:bookmarkEnd w:id="39"/>
    <w:bookmarkEnd w:id="40"/>
    <w:bookmarkStart w:id="42" w:name="gradient"/>
    <w:bookmarkStart w:id="41" w:name="comparison-cell-gradient"/>
    <w:p>
      <w:pPr>
        <w:pStyle w:val="Heading2"/>
      </w:pPr>
      <w:r>
        <w:t xml:space="preserve">5. Comparison cell gradient</w:t>
      </w:r>
    </w:p>
    <w:p>
      <w:pPr>
        <w:pStyle w:val="FirstParagraph"/>
      </w:pPr>
      <w:r>
        <w:t xml:space="preserve">Error % and Δdeg rows use a continuous green → yellow → red fill on</w:t>
      </w:r>
      <w:r>
        <w:t xml:space="preserve"> </w:t>
      </w:r>
      <w:r>
        <w:rPr>
          <w:b/>
          <w:bCs/>
        </w:rPr>
        <w:t xml:space="preserve">absolute</w:t>
      </w:r>
      <w:r>
        <w:t xml:space="preserve"> </w:t>
      </w:r>
      <w:r>
        <w:t xml:space="preserve">magnitude (Excel-style palette).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Full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%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Δdeg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Map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mid/high stops, then RGB-lerp green→yellow→red. See</w:t>
      </w:r>
      <w:r>
        <w:t xml:space="preserve"> </w:t>
      </w:r>
      <w:r>
        <w:rPr>
          <w:rStyle w:val="VerbatimChar"/>
        </w:rPr>
        <w:t xml:space="preserve">error_gradient_rgb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excel_write.rs</w:t>
      </w:r>
      <w:r>
        <w:t xml:space="preserve">.</w:t>
      </w:r>
    </w:p>
    <w:bookmarkEnd w:id="41"/>
    <w:bookmarkEnd w:id="42"/>
    <w:bookmarkStart w:id="44" w:name="formats"/>
    <w:bookmarkStart w:id="43" w:name="which-document-format-to-use"/>
    <w:p>
      <w:pPr>
        <w:pStyle w:val="Heading2"/>
      </w:pPr>
      <w:r>
        <w:t xml:space="preserve">6. Which document format to 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Equations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HTML</w:t>
            </w:r>
          </w:p>
        </w:tc>
        <w:tc>
          <w:tcPr/>
          <w:p>
            <w:pPr>
              <w:pStyle w:val="Compact"/>
            </w:pPr>
            <w:r>
              <w:t xml:space="preserve">R&amp;D math review, screenshots, print-to-PDF from browser</w:t>
            </w:r>
          </w:p>
        </w:tc>
        <w:tc>
          <w:tcPr/>
          <w:p>
            <w:pPr>
              <w:pStyle w:val="Compact"/>
            </w:pPr>
            <w:r>
              <w:t xml:space="preserve">Typeset (KaTeX)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System_208V_Math_Formulas.docx</w:t>
            </w:r>
          </w:p>
        </w:tc>
        <w:tc>
          <w:tcPr/>
          <w:p>
            <w:pPr>
              <w:pStyle w:val="Compact"/>
            </w:pPr>
            <w:r>
              <w:t xml:space="preserve">Word review with editable, native equation objects</w:t>
            </w:r>
          </w:p>
        </w:tc>
        <w:tc>
          <w:tcPr/>
          <w:p>
            <w:pPr>
              <w:pStyle w:val="Compact"/>
            </w:pPr>
            <w:r>
              <w:t xml:space="preserve">Native Word OMML (generated by Pandoc)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System_208V_Column_Mapping_and_Math.docx</w:t>
            </w:r>
          </w:p>
        </w:tc>
        <w:tc>
          <w:tcPr/>
          <w:p>
            <w:pPr>
              <w:pStyle w:val="Compact"/>
            </w:pPr>
            <w:r>
              <w:t xml:space="preserve">Email / Teams / Word comments, full column maps</w:t>
            </w:r>
          </w:p>
        </w:tc>
        <w:tc>
          <w:tcPr/>
          <w:p>
            <w:pPr>
              <w:pStyle w:val="Compact"/>
            </w:pPr>
            <w:r>
              <w:t xml:space="preserve">Plain monospace (always readable)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COLUMN_MAPPING.md</w:t>
            </w:r>
          </w:p>
        </w:tc>
        <w:tc>
          <w:tcPr/>
          <w:p>
            <w:pPr>
              <w:pStyle w:val="Compact"/>
            </w:pPr>
            <w:r>
              <w:t xml:space="preserve">Git history, code review</w:t>
            </w:r>
          </w:p>
        </w:tc>
        <w:tc>
          <w:tcPr/>
          <w:p>
            <w:pPr>
              <w:pStyle w:val="Compact"/>
            </w:pPr>
            <w:r>
              <w:t xml:space="preserve">LaTeX source; only some viewers render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Native Word equations:</w:t>
      </w:r>
      <w:r>
        <w:t xml:space="preserve"> </w:t>
      </w:r>
      <w:r>
        <w:t xml:space="preserve">Pandoc converts the LaTeX in this HTML to OMML equation objects.</w:t>
      </w:r>
      <w:r>
        <w:t xml:space="preserve"> </w:t>
      </w:r>
      <w:r>
        <w:t xml:space="preserve">The generated Word file uses</w:t>
      </w:r>
      <w:r>
        <w:t xml:space="preserve"> </w:t>
      </w:r>
      <w:r>
        <w:rPr>
          <w:rStyle w:val="VerbatimChar"/>
        </w:rPr>
        <w:t xml:space="preserve">System_208V_Column_Mapping_and_Math.docx</w:t>
      </w:r>
      <w:r>
        <w:t xml:space="preserve"> </w:t>
      </w:r>
      <w:r>
        <w:t xml:space="preserve">as its reference document</w:t>
      </w:r>
      <w:r>
        <w:t xml:space="preserve"> </w:t>
      </w:r>
      <w:r>
        <w:t xml:space="preserve">so the page setup and document styles remain aligned with the full mapping guide.</w:t>
      </w:r>
    </w:p>
    <w:p>
      <w:pPr>
        <w:pStyle w:val="BodyText"/>
      </w:pPr>
      <w:r>
        <w:t xml:space="preserve">Offline tip: first open needs CDN access for KaTeX; after cache, usually fine. Or File → Print → “Microsoft Print to PDF” for a portable PDF with equations already drawn.</w:t>
      </w:r>
    </w:p>
    <w:bookmarkEnd w:id="43"/>
    <w:bookmarkEnd w:id="44"/>
    <w:p>
      <w:pPr>
        <w:pStyle w:val="BodyText"/>
      </w:pPr>
      <w:r>
        <w:t xml:space="preserve">RnD Data Processing · System 208V · formulas aligned with</w:t>
      </w:r>
      <w:r>
        <w:t xml:space="preserve"> </w:t>
      </w:r>
      <w:r>
        <w:rPr>
          <w:rStyle w:val="VerbatimChar"/>
        </w:rPr>
        <w:t xml:space="preserve">backend/src/processing</w:t>
      </w:r>
    </w:p>
    <w:sectPr>
      <w:headerReference r:id="rId7" w:type="default"/>
      <w:footerReference r:id="rId8" w:type="default"/>
      <w:pgSz w:h="15840" w:orient="portrait" w:w="12240"/>
      <w:pgMar w:bottom="720" w:footer="708" w:gutter="0" w:header="708" w:left="720" w:right="720" w:top="72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before="8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color w:val="666666"/>
        <w:sz w:val="16"/>
        <w:szCs w:val="16"/>
      </w:rPr>
      <w:t xml:space="preserve">RnD Data Processing  ·  System 208V column mapping &amp; math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styleId="Heading2" w:type="paragraph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styleId="Heading3" w:type="paragraph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208V — Math formulas (typeset)</dc:title>
  <dc:creator/>
  <dc:language>en</dc:language>
  <cp:keywords/>
  <dcterms:created xsi:type="dcterms:W3CDTF">2026-07-22T19:11:10Z</dcterms:created>
  <dcterms:modified xsi:type="dcterms:W3CDTF">2026-07-22T19:11:10Z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