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after="200" w:before="24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المقدمة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مرحب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Bayet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للهواتف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ملتزمون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لتطبيقنا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المعلومات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نجمعها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2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المعلومات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الشخصية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spacing w:after="200" w:afterAutospacing="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كيفية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لمعلوماتك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bidi w:val="1"/>
        <w:spacing w:after="0" w:afterAutospacing="0" w:before="200" w:beforeAutospacing="0" w:line="360" w:lineRule="auto"/>
        <w:ind w:left="720" w:hanging="360"/>
      </w:pPr>
      <w:r w:rsidDel="00000000" w:rsidR="00000000" w:rsidRPr="00000000">
        <w:rPr>
          <w:rtl w:val="1"/>
        </w:rPr>
        <w:t xml:space="preserve">لتوفير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وصيانتها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1"/>
        </w:rPr>
        <w:t xml:space="preserve">لإبلاغك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1"/>
        </w:rPr>
        <w:t xml:space="preserve">للسماح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مشاركة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معلوماتك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spacing w:after="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لأسباب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قانونية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معلوماتك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حقوقك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bidi w:val="1"/>
        <w:spacing w:after="2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2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التصحيح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2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spacing w:after="2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تقييد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المعالجة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bidi w:val="1"/>
        <w:spacing w:after="2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الاعتراض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المعالجة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spacing w:after="200" w:before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20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تغييرات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سنعلمك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ننصحك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after="40" w:before="0" w:line="36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اتصل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بنا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b w:val="1"/>
          <w:rtl w:val="1"/>
        </w:rPr>
        <w:t xml:space="preserve">أحمد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صالح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0"/>
        </w:rPr>
        <w:t xml:space="preserve">Techlandbs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outlook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