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5. مراجعة أدبية موجَّهة (Literature Snapshot)</w:t>
      </w:r>
    </w:p>
    <w:p>
      <w:pPr>
        <w:pStyle w:val="MdParagraph"/>
      </w:pPr>
      <w:r>
        <w:t xml:space="preserve">اعتمدت الدراسة الهندسية والتصميمية لآلة التعبئة والتغليف الرأسية (VFFS-Auger Filler) على مجموعة من المراجع والدراسات العلمية والصناعية الموثوقة، لضمان أن تكون الحسابات والمواصفات التصميمية قائمة على أسس نظرية وتطبيقية راسخة. وقد تم توجيه هذه المراجعة الأدبية لتغطية المكونات الرئيسية الثلاثة للآلة: الهوبر، اللولب، ونظام الختم.</w:t>
      </w:r>
    </w:p>
    <w:p>
      <w:pPr>
        <w:pStyle w:val="MdSpace"/>
        <w:spacing w:before="0" w:after="60"/>
      </w:pPr>
    </w:p>
    <w:p>
      <w:pPr>
        <w:pStyle w:val="Heading2"/>
        <w:pStyle w:val="MdHeading2"/>
      </w:pPr>
      <w:r>
        <w:t xml:space="preserve">المراجع الأساسية الموجهة للتصميم</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المرجع الأساسي</w:t>
            </w:r>
          </w:p>
        </w:tc>
        <w:tc>
          <w:tcPr>
            <w:tcMar>
              <w:top w:type="dxa" w:w="100"/>
              <w:left w:type="dxa" w:w="120"/>
              <w:bottom w:type="dxa" w:w="100"/>
              <w:right w:type="dxa" w:w="120"/>
            </w:tcMar>
            <w:vAlign w:val="center"/>
          </w:tcPr>
          <w:p>
            <w:pPr>
              <w:pStyle w:val="MdTableHeader"/>
              <w:jc w:val="left"/>
            </w:pPr>
            <w:r>
              <w:t xml:space="preserve">المكون الهندسي</w:t>
            </w:r>
          </w:p>
        </w:tc>
        <w:tc>
          <w:tcPr>
            <w:tcBorders>
              <w:right w:val="none"/>
            </w:tcBorders>
            <w:tcMar>
              <w:top w:type="dxa" w:w="100"/>
              <w:left w:type="dxa" w:w="120"/>
              <w:bottom w:type="dxa" w:w="100"/>
              <w:right w:type="dxa" w:w="120"/>
            </w:tcMar>
            <w:vAlign w:val="center"/>
          </w:tcPr>
          <w:p>
            <w:pPr>
              <w:pStyle w:val="MdTableHeader"/>
              <w:jc w:val="left"/>
            </w:pPr>
            <w:r>
              <w:t xml:space="preserve">الاستخدام في المشروع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Jenike (1964)</w:t>
            </w:r>
          </w:p>
        </w:tc>
        <w:tc>
          <w:tcPr>
            <w:tcMar>
              <w:top w:type="dxa" w:w="80"/>
              <w:left w:type="dxa" w:w="120"/>
              <w:bottom w:type="dxa" w:w="80"/>
              <w:right w:type="dxa" w:w="120"/>
            </w:tcMar>
            <w:vAlign w:val="center"/>
          </w:tcPr>
          <w:p>
            <w:pPr>
              <w:pStyle w:val="MdTableCell"/>
              <w:jc w:val="left"/>
            </w:pPr>
            <w:r>
              <w:rPr>
                <w:rStyle w:val="MdStrong"/>
                <w:b/>
                <w:bCs/>
              </w:rPr>
              <w:t xml:space="preserve">خزان التغذية (Hopper)</w:t>
            </w:r>
          </w:p>
        </w:tc>
        <w:tc>
          <w:tcPr>
            <w:tcBorders>
              <w:right w:val="none"/>
            </w:tcBorders>
            <w:tcMar>
              <w:top w:type="dxa" w:w="80"/>
              <w:left w:type="dxa" w:w="120"/>
              <w:bottom w:type="dxa" w:w="80"/>
              <w:right w:type="dxa" w:w="120"/>
            </w:tcMar>
            <w:vAlign w:val="center"/>
          </w:tcPr>
          <w:p>
            <w:pPr>
              <w:pStyle w:val="MdTableCell"/>
              <w:jc w:val="left"/>
            </w:pPr>
            <w:r>
              <w:t xml:space="preserve">استُخدمت معادلات </w:t>
            </w:r>
            <w:r>
              <w:rPr>
                <w:rStyle w:val="MdStrong"/>
                <w:b/>
                <w:bCs/>
              </w:rPr>
              <w:t xml:space="preserve">جريان الكتلة (Mass-Flow)</w:t>
            </w:r>
            <w:r>
              <w:t xml:space="preserve"> لجينيك لتحديد زاوية انحدار الهوبر (أعلى من 60 درجة) وقطر فتحة المخرج، لضمان التدفق المستمر للملح ومنع ظواهر التجسير (Bridging) والانهيار المركزي (Rat-holing) [1] [2].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KWS Manufacturing</w:t>
            </w:r>
          </w:p>
        </w:tc>
        <w:tc>
          <w:tcPr>
            <w:tcMar>
              <w:top w:type="dxa" w:w="80"/>
              <w:left w:type="dxa" w:w="120"/>
              <w:bottom w:type="dxa" w:w="80"/>
              <w:right w:type="dxa" w:w="120"/>
            </w:tcMar>
            <w:vAlign w:val="center"/>
          </w:tcPr>
          <w:p>
            <w:pPr>
              <w:pStyle w:val="MdTableCell"/>
              <w:jc w:val="left"/>
            </w:pPr>
            <w:r>
              <w:rPr>
                <w:rStyle w:val="MdStrong"/>
                <w:b/>
                <w:bCs/>
              </w:rPr>
              <w:t xml:space="preserve">اللولب (Auger)</w:t>
            </w:r>
          </w:p>
        </w:tc>
        <w:tc>
          <w:tcPr>
            <w:tcBorders>
              <w:right w:val="none"/>
            </w:tcBorders>
            <w:tcMar>
              <w:top w:type="dxa" w:w="80"/>
              <w:left w:type="dxa" w:w="120"/>
              <w:bottom w:type="dxa" w:w="80"/>
              <w:right w:type="dxa" w:w="120"/>
            </w:tcMar>
            <w:vAlign w:val="center"/>
          </w:tcPr>
          <w:p>
            <w:pPr>
              <w:pStyle w:val="MdTableCell"/>
              <w:jc w:val="left"/>
            </w:pPr>
            <w:r>
              <w:t xml:space="preserve">استُخدمت كتيبات ومعادلات السعة الحجمية للولب من KWS Manufacturing لتحديد العلاقة بين أبعاد اللولب (القطر، الخطوة) وحجم المادة المنقولة في كل دورة (</w:t>
            </w:r>
            <w:r>
              <w:rPr>
                <w:rStyle w:val="MdStrong"/>
                <w:b/>
                <w:bCs/>
              </w:rPr>
              <w:t xml:space="preserve">V_t</w:t>
            </w:r>
            <w:r>
              <w:t xml:space="preserve">)، مما مكن من حساب كتلة المادة لكل دورة (</w:t>
            </w:r>
            <w:r>
              <w:rPr>
                <w:rStyle w:val="MdStrong"/>
                <w:b/>
                <w:bCs/>
              </w:rPr>
              <w:t xml:space="preserve">m_rev</w:t>
            </w:r>
            <w:r>
              <w:t xml:space="preserve">) وتحديد عدد الدورات المطلوبة لكل وزن مستهدف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Merabtene et al. (2022)</w:t>
            </w:r>
          </w:p>
        </w:tc>
        <w:tc>
          <w:tcPr>
            <w:tcMar>
              <w:top w:type="dxa" w:w="80"/>
              <w:left w:type="dxa" w:w="120"/>
              <w:bottom w:type="dxa" w:w="80"/>
              <w:right w:type="dxa" w:w="120"/>
            </w:tcMar>
            <w:vAlign w:val="center"/>
          </w:tcPr>
          <w:p>
            <w:pPr>
              <w:pStyle w:val="MdTableCell"/>
              <w:jc w:val="left"/>
            </w:pPr>
            <w:r>
              <w:rPr>
                <w:rStyle w:val="MdStrong"/>
                <w:b/>
                <w:bCs/>
              </w:rPr>
              <w:t xml:space="preserve">الختم الحراري (Heat Sealing)</w:t>
            </w:r>
          </w:p>
        </w:tc>
        <w:tc>
          <w:tcPr>
            <w:tcBorders>
              <w:right w:val="none"/>
            </w:tcBorders>
            <w:tcMar>
              <w:top w:type="dxa" w:w="80"/>
              <w:left w:type="dxa" w:w="120"/>
              <w:bottom w:type="dxa" w:w="80"/>
              <w:right w:type="dxa" w:w="120"/>
            </w:tcMar>
            <w:vAlign w:val="center"/>
          </w:tcPr>
          <w:p>
            <w:pPr>
              <w:pStyle w:val="MdTableCell"/>
              <w:jc w:val="left"/>
            </w:pPr>
            <w:r>
              <w:t xml:space="preserve">استُند إلى الدراسات السابقة (مثل Merabtene et al.) لتحديد النطاق الأمثل لدرجات الحرارة وزمن المكوث (Dwell Time) لعملية الختم الحراري لأفلام التغليف من نوع OPP/PE، مما يضمن متانة الختم وجودته [4].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المعادلات الديناميكية</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المحركات والعزوم</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استُخدمت معادلات العزوم الديناميكية (Torque and Power Analysis) لحساب القدرة الاسمية المطلوبة للمحرك (PN) بناءً على معدل التدفق الكلي للمادة (m) ومقاومة الاحتكاك الكلية (ftot)، مما وجه اختيار محركات السيرفو المناسبة [5].</w:t>
            </w:r>
          </w:p>
        </w:tc>
      </w:tr>
    </w:tbl>
    <w:p>
      <w:pPr>
        <w:pStyle w:val="Heading2"/>
        <w:pStyle w:val="MdHeading2"/>
      </w:pPr>
      <w:r>
        <w:t xml:space="preserve">استعراض سريع لاستخدام الملفات المرفقة</w:t>
      </w:r>
    </w:p>
    <w:p>
      <w:pPr>
        <w:pStyle w:val="MdParagraph"/>
      </w:pPr>
      <w:r>
        <w:t xml:space="preserve">لقد تم استخلاص المعلومات اللازمة لإنجاز هذا المشروع من مجموعة متكاملة من الملفات المرفقة، حيث ساهم كل ملف في بناء جزء من التصميم النهائي: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الملف المرفق</w:t>
            </w:r>
          </w:p>
        </w:tc>
        <w:tc>
          <w:tcPr>
            <w:tcBorders>
              <w:right w:val="none"/>
            </w:tcBorders>
            <w:tcMar>
              <w:top w:type="dxa" w:w="100"/>
              <w:left w:type="dxa" w:w="120"/>
              <w:bottom w:type="dxa" w:w="100"/>
              <w:right w:type="dxa" w:w="120"/>
            </w:tcMar>
            <w:vAlign w:val="center"/>
          </w:tcPr>
          <w:p>
            <w:pPr>
              <w:pStyle w:val="MdTableHeader"/>
              <w:jc w:val="left"/>
            </w:pPr>
            <w:r>
              <w:t xml:space="preserve">المعلومات المستخلصة الرئيسية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تقرير_المرحلة_ألاولى_لحسابات_اللولب.pdf</w:t>
            </w:r>
          </w:p>
        </w:tc>
        <w:tc>
          <w:tcPr>
            <w:tcBorders>
              <w:right w:val="none"/>
            </w:tcBorders>
            <w:tcMar>
              <w:top w:type="dxa" w:w="80"/>
              <w:left w:type="dxa" w:w="120"/>
              <w:bottom w:type="dxa" w:w="80"/>
              <w:right w:type="dxa" w:w="120"/>
            </w:tcMar>
            <w:vAlign w:val="center"/>
          </w:tcPr>
          <w:p>
            <w:pPr>
              <w:pStyle w:val="MdTableCell"/>
              <w:jc w:val="left"/>
            </w:pPr>
            <w:r>
              <w:t xml:space="preserve">تم استخلاص جميع </w:t>
            </w:r>
            <w:r>
              <w:rPr>
                <w:rStyle w:val="MdStrong"/>
                <w:b/>
                <w:bCs/>
              </w:rPr>
              <w:t xml:space="preserve">المعادلات الأساسية</w:t>
            </w:r>
            <w:r>
              <w:t xml:space="preserve"> لحساب حجم اللولب (</w:t>
            </w:r>
            <w:r>
              <w:rPr>
                <w:rStyle w:val="MdStrong"/>
                <w:b/>
                <w:bCs/>
              </w:rPr>
              <w:t xml:space="preserve">V_t</w:t>
            </w:r>
            <w:r>
              <w:t xml:space="preserve">) وكتلة المادة لكل دورة (</w:t>
            </w:r>
            <w:r>
              <w:rPr>
                <w:rStyle w:val="MdStrong"/>
                <w:b/>
                <w:bCs/>
              </w:rPr>
              <w:t xml:space="preserve">m_rev</w:t>
            </w:r>
            <w:r>
              <w:t xml:space="preserve">)، وجداول المعايرة التي تربط الوزن بعدد الدورات (</w:t>
            </w:r>
            <w:r>
              <w:rPr>
                <w:rStyle w:val="MdStrong"/>
                <w:b/>
                <w:bCs/>
              </w:rPr>
              <w:t xml:space="preserve">n</w:t>
            </w:r>
            <w:r>
              <w:t xml:space="preserve">)، بالإضافة إلى الأبعاد النهائية المعتمدة للولب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حساباتالهوبروالمواد.pdf</w:t>
            </w:r>
            <w:r>
              <w:t xml:space="preserve"> و </w:t>
            </w:r>
            <w:r>
              <w:rPr>
                <w:rStyle w:val="MdStrong"/>
                <w:b/>
                <w:bCs/>
              </w:rPr>
              <w:t xml:space="preserve">ايهابالقباطي.pdf</w:t>
            </w:r>
          </w:p>
        </w:tc>
        <w:tc>
          <w:tcPr>
            <w:tcBorders>
              <w:right w:val="none"/>
            </w:tcBorders>
            <w:tcMar>
              <w:top w:type="dxa" w:w="80"/>
              <w:left w:type="dxa" w:w="120"/>
              <w:bottom w:type="dxa" w:w="80"/>
              <w:right w:type="dxa" w:w="120"/>
            </w:tcMar>
            <w:vAlign w:val="center"/>
          </w:tcPr>
          <w:p>
            <w:pPr>
              <w:pStyle w:val="MdTableCell"/>
              <w:jc w:val="left"/>
            </w:pPr>
            <w:r>
              <w:t xml:space="preserve">تم استخلاص </w:t>
            </w:r>
            <w:r>
              <w:rPr>
                <w:rStyle w:val="MdStrong"/>
                <w:b/>
                <w:bCs/>
              </w:rPr>
              <w:t xml:space="preserve">خصائص المادة</w:t>
            </w:r>
            <w:r>
              <w:t xml:space="preserve"> (الكثافة الظاهرية للملح، زاوية الاستقرار)، وتفاصيل </w:t>
            </w:r>
            <w:r>
              <w:rPr>
                <w:rStyle w:val="MdStrong"/>
                <w:b/>
                <w:bCs/>
              </w:rPr>
              <w:t xml:space="preserve">تصميم الهوبر</w:t>
            </w:r>
            <w:r>
              <w:t xml:space="preserve"> (زاوية الانحدار، قطر المخرج)، وتحديد </w:t>
            </w:r>
            <w:r>
              <w:rPr>
                <w:rStyle w:val="MdStrong"/>
                <w:b/>
                <w:bCs/>
              </w:rPr>
              <w:t xml:space="preserve">المواد المقاومة للتآكل</w:t>
            </w:r>
            <w:r>
              <w:t xml:space="preserve"> (SS304/SS316) [2] [4].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دراساتالموتوروالعزوم.docx</w:t>
            </w:r>
          </w:p>
        </w:tc>
        <w:tc>
          <w:tcPr>
            <w:tcBorders>
              <w:right w:val="none"/>
            </w:tcBorders>
            <w:tcMar>
              <w:top w:type="dxa" w:w="80"/>
              <w:left w:type="dxa" w:w="120"/>
              <w:bottom w:type="dxa" w:w="80"/>
              <w:right w:type="dxa" w:w="120"/>
            </w:tcMar>
            <w:vAlign w:val="center"/>
          </w:tcPr>
          <w:p>
            <w:pPr>
              <w:pStyle w:val="MdTableCell"/>
              <w:jc w:val="left"/>
            </w:pPr>
            <w:r>
              <w:t xml:space="preserve">تم استخلاص </w:t>
            </w:r>
            <w:r>
              <w:rPr>
                <w:rStyle w:val="MdStrong"/>
                <w:b/>
                <w:bCs/>
              </w:rPr>
              <w:t xml:space="preserve">تحليل القدرة والعزوم</w:t>
            </w:r>
            <w:r>
              <w:t xml:space="preserve">، بما في ذلك معادلات حساب القدرة الاسمية (</w:t>
            </w:r>
            <w:r>
              <w:rPr>
                <w:rStyle w:val="MdStrong"/>
                <w:b/>
                <w:bCs/>
              </w:rPr>
              <w:t xml:space="preserve">PN</w:t>
            </w:r>
            <w:r>
              <w:t xml:space="preserve">) والقوة المحورية (</w:t>
            </w:r>
            <w:r>
              <w:rPr>
                <w:rStyle w:val="MdStrong"/>
                <w:b/>
                <w:bCs/>
              </w:rPr>
              <w:t xml:space="preserve">F_axial</w:t>
            </w:r>
            <w:r>
              <w:t xml:space="preserve">) المطلوبة لتشغيل اللولب، مما وجه اختيار محركات السيرفو [5].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خوارزميةالتحكم(1).docx</w:t>
            </w:r>
          </w:p>
        </w:tc>
        <w:tc>
          <w:tcPr>
            <w:tcBorders>
              <w:right w:val="none"/>
            </w:tcBorders>
            <w:tcMar>
              <w:top w:type="dxa" w:w="80"/>
              <w:left w:type="dxa" w:w="120"/>
              <w:bottom w:type="dxa" w:w="80"/>
              <w:right w:type="dxa" w:w="120"/>
            </w:tcMar>
            <w:vAlign w:val="center"/>
          </w:tcPr>
          <w:p>
            <w:pPr>
              <w:pStyle w:val="MdTableCell"/>
              <w:jc w:val="left"/>
            </w:pPr>
            <w:r>
              <w:t xml:space="preserve">تم استخلاص </w:t>
            </w:r>
            <w:r>
              <w:rPr>
                <w:rStyle w:val="MdStrong"/>
                <w:b/>
                <w:bCs/>
              </w:rPr>
              <w:t xml:space="preserve">خوارزمية التحكم</w:t>
            </w:r>
            <w:r>
              <w:t xml:space="preserve"> المعتمدة على نظام </w:t>
            </w:r>
            <w:r>
              <w:rPr>
                <w:rStyle w:val="MdStrong"/>
                <w:b/>
                <w:bCs/>
              </w:rPr>
              <w:t xml:space="preserve">ESP32</w:t>
            </w:r>
            <w:r>
              <w:t xml:space="preserve">، وتحديد المكونات الإلكترونية الرئيسية (السيرفو، Load Cell، الحساسات)، ومنطق التشغيل المتسلسل للآلة [5].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Vffs500gPowderPackagingComprehensiveStudyED.pdf</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تم استخلاص </w:t>
            </w:r>
            <w:r>
              <w:rPr>
                <w:rStyle w:val="MdStrong"/>
                <w:b/>
                <w:bCs/>
              </w:rPr>
              <w:t xml:space="preserve">المواصفات العامة للآلة</w:t>
            </w:r>
            <w:r>
              <w:t xml:space="preserve"> (مثل اختيار الحركة المتقطعة Intermittent Motion)، وتفاصيل نظام التشكيل والختم الحراري، ومعايير الدقة الوزنية [1].</w:t>
            </w:r>
          </w:p>
        </w:tc>
      </w:tr>
    </w:tbl>
    <w:p>
      <w:pPr>
        <w:pStyle w:val="MdHr"/>
        <w:pBdr>
          <w:bottom w:val="single" w:color="auto" w:sz="6" w:space="1"/>
        </w:pBdr>
      </w:pPr>
    </w:p>
    <w:p>
      <w:pPr>
        <w:pStyle w:val="Heading2"/>
        <w:pStyle w:val="MdHeading2"/>
      </w:pPr>
      <w:r>
        <w:t xml:space="preserve">المراجع</w:t>
      </w:r>
    </w:p>
    <w:p>
      <w:pPr>
        <w:pStyle w:val="MdParagraph"/>
      </w:pPr>
      <w:r>
        <w:t xml:space="preserve">[1] </w:t>
      </w:r>
      <w:r>
        <w:rPr>
          <w:rStyle w:val="MdStrong"/>
          <w:b/>
          <w:bCs/>
        </w:rPr>
        <w:t xml:space="preserve">Vffs500gPowderPackagingComprehensiveStudyED.pdf</w:t>
      </w:r>
      <w:r>
        <w:t xml:space="preserve">: دراسة شاملة لآلات VFFS لتعبئة المساحيق.</w:t>
      </w:r>
      <w:r>
        <w:br/>
        <w:t xml:space="preserve">[2]</w:t>
      </w:r>
      <w:r>
        <w:rPr>
          <w:rStyle w:val="MdStrong"/>
          <w:b/>
          <w:bCs/>
        </w:rPr>
        <w:t xml:space="preserve">حساباتالهوبروالمواد.pdf</w:t>
      </w:r>
      <w:r>
        <w:t xml:space="preserve"> و </w:t>
      </w:r>
      <w:r>
        <w:rPr>
          <w:rStyle w:val="MdStrong"/>
          <w:b/>
          <w:bCs/>
        </w:rPr>
        <w:t xml:space="preserve">ايهابالقباطي.pdf</w:t>
      </w:r>
      <w:r>
        <w:t xml:space="preserve">: دراسات مفصلة حول تصميم الهوبر وخصائص المواد.</w:t>
      </w:r>
      <w:r>
        <w:br/>
        <w:t xml:space="preserve">[3]</w:t>
      </w:r>
      <w:r>
        <w:rPr>
          <w:rStyle w:val="MdStrong"/>
          <w:b/>
          <w:bCs/>
        </w:rPr>
        <w:t xml:space="preserve">تقرير_المرحلة_ألاولى_لحسابات_اللولب.pdf</w:t>
      </w:r>
      <w:r>
        <w:t xml:space="preserve">: تقرير تفصيلي لحسابات تصميم اللولب وأبعاده.</w:t>
      </w:r>
      <w:r>
        <w:br/>
        <w:t xml:space="preserve">[4]</w:t>
      </w:r>
      <w:r>
        <w:rPr>
          <w:rStyle w:val="MdStrong"/>
          <w:b/>
          <w:bCs/>
        </w:rPr>
        <w:t xml:space="preserve">pasted_content.txt</w:t>
      </w:r>
      <w:r>
        <w:t xml:space="preserve">: إشارة إلى الدراسات السابقة (Merabtene et al., 2022؛ Jenike, 1964) التي أثرت على التصميم.</w:t>
      </w:r>
      <w:r>
        <w:br/>
        <w:t xml:space="preserve">[5]</w:t>
      </w:r>
      <w:r>
        <w:rPr>
          <w:rStyle w:val="MdStrong"/>
          <w:b/>
          <w:bCs/>
        </w:rPr>
        <w:t xml:space="preserve">دراساتالموتوروالعزوم.docx</w:t>
      </w:r>
      <w:r>
        <w:t xml:space="preserve"> و </w:t>
      </w:r>
      <w:r>
        <w:rPr>
          <w:rStyle w:val="MdStrong"/>
          <w:b/>
          <w:bCs/>
        </w:rPr>
        <w:t xml:space="preserve">خوارزميةالتحكم(1).docx</w:t>
      </w:r>
      <w:r>
        <w:t xml:space="preserve">: تحليل حسابات القدرة والعزوم ونظام التحكم.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2025-11-26T05:17:45.211Z</dcterms:created>
  <dcterms:modified xsi:type="dcterms:W3CDTF">2025-11-26T05:17:45.211Z</dcterms:modified>
</cp:coreProperties>
</file>

<file path=docProps/custom.xml><?xml version="1.0" encoding="utf-8"?>
<Properties xmlns="http://schemas.openxmlformats.org/officeDocument/2006/custom-properties" xmlns:vt="http://schemas.openxmlformats.org/officeDocument/2006/docPropsVTypes"/>
</file>