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b/>
          <w:sz w:val="28"/>
        </w:rPr>
        <w:t>مقدمة عامة عن تقنية التعبئة باللولب</w:t>
      </w:r>
    </w:p>
    <w:p>
      <w:pPr>
        <w:jc w:val="left"/>
      </w:pPr>
      <w:r>
        <w:rPr>
          <w:rFonts w:ascii="Times New Roman" w:hAnsi="Times New Roman" w:eastAsia="Times New Roman"/>
          <w:sz w:val="24"/>
        </w:rPr>
        <w:t>تعد تقنيات التعبئة باللولب (Auger Filling) من التقنيات الأساسية في صناعات التعبئة للمواد المسحوقة والحبيبات. يُستخدم النظام عندما تتطلب العملية دقة في الجرعات، تناسق في التعبئة، وقدرة على التعامل مع مساحيق متباينة الخواص مثل الملح والسكر والقهوة والمكملات الغذائية. تعتمد الفكرة الأساسية على استخدام لولب حلزوني يدور داخل أنبوب أو قمع ليُزحزِح المادة باتجاه فتحة الخرج بمعدل متحكم فيه مرتبط بسرعة دوران اللولب، وبالتلازم مع تصميم هندسي مناسب يُمكن تحقيق دقة عالية في التعبئة مع إنتاجية مرتفعة. هذه المقدمة تشرح أهمية التقنية ومجالات تطبيقها ومبررات اختيارها للمشروع المطروح.</w:t>
      </w:r>
    </w:p>
    <w:p>
      <w:pPr>
        <w:jc w:val="left"/>
      </w:pPr>
      <w:r>
        <w:rPr>
          <w:rFonts w:ascii="Times New Roman" w:hAnsi="Times New Roman" w:eastAsia="Times New Roman"/>
          <w:sz w:val="24"/>
        </w:rPr>
        <w:t>تفصيل إضافي: تعد تقنيات التعبئة باللولب (Auger Filling) من التقنيات الأساسية في صناعات التعبئة للمواد المسحوقة والحبيبات. يُستخدم النظام عندما تتطلب العملية دقة في الجرعات، تناسق في التعبئة، وقدرة على التعامل مع مساحيق متباينة الخواص مثل الملح والسكر والقهوة والمكملات الغذائية. تعتمد الفكرة الأساسية على استخدام لولب حلزوني يدور داخل أنبوب أو قمع ليُزحزِح المادة باتجاه فتحة الخرج بمعدل متحكم فيه مرتبط بسرعة دوران اللولب، وبالتلازم مع تصميم هندسي مناسب يُمكن تحقيق دقة عالية في التعبئة مع إنتاجية مرتفعة. هذه المقدمة تشرح أهمية التقنية ومجالات تطبيقها ومبررات اختيارها للمشروع المطروح.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أهداف المشروع والآلة</w:t>
      </w:r>
    </w:p>
    <w:p>
      <w:pPr>
        <w:jc w:val="left"/>
      </w:pPr>
      <w:r>
        <w:rPr>
          <w:rFonts w:ascii="Times New Roman" w:hAnsi="Times New Roman" w:eastAsia="Times New Roman"/>
          <w:sz w:val="24"/>
        </w:rPr>
        <w:t>الهدف العام من تصميم آلة التعبئة باللولب هو توفير جهاز قادر على تعبئة عبوات بوزن محدد (مثلاً 100–500 جرام) للمساحيق الناعمة مثل الملح، مع الحفاظ على دقة الجرعات وسلاسة التشغيل وسهولة الصيانة. الأهداف التفصيلية تشمل: (1) تحقيق دقة وزن ضمن هامش خطأ منخفض؛ (2) تصميم حلزوني قابل للمعايرة بسرعة لتغيير الأوزان؛ (3) اختيار مكونات صناعية متاحة محليًا في اليمن قدر الإمكان؛ (4) ضمان الالتزام بمتطلبات السلامة الغذائية (مواد من الفولاذ المقاوم للصدأ وتشطيب سطحي مناسب).</w:t>
      </w:r>
    </w:p>
    <w:p>
      <w:pPr>
        <w:jc w:val="left"/>
      </w:pPr>
      <w:r>
        <w:rPr>
          <w:rFonts w:ascii="Times New Roman" w:hAnsi="Times New Roman" w:eastAsia="Times New Roman"/>
          <w:sz w:val="24"/>
        </w:rPr>
        <w:t>تفصيل إضافي: الهدف العام من تصميم آلة التعبئة باللولب هو توفير جهاز قادر على تعبئة عبوات بوزن محدد (مثلاً 100–500 جرام) للمساحيق الناعمة مثل الملح، مع الحفاظ على دقة الجرعات وسلاسة التشغيل وسهولة الصيانة. الأهداف التفصيلية تشمل: (1) تحقيق دقة وزن ضمن هامش خطأ منخفض؛ (2) تصميم حلزوني قابل للمعايرة بسرعة لتغيير الأوزان؛ (3) اختيار مكونات صناعية متاحة محليًا في اليمن قدر الإمكان؛ (4) ضمان الالتزام بمتطلبات السلامة الغذائية (مواد من الفولاذ المقاوم للصدأ وتشطيب سطحي مناسب).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ملخص ما تم التوصل إليه في المحادثة</w:t>
      </w:r>
    </w:p>
    <w:p>
      <w:pPr>
        <w:jc w:val="left"/>
      </w:pPr>
      <w:r>
        <w:rPr>
          <w:rFonts w:ascii="Times New Roman" w:hAnsi="Times New Roman" w:eastAsia="Times New Roman"/>
          <w:sz w:val="24"/>
        </w:rPr>
        <w:t>خلال سلسلة المحادثات التقنية تم تحديد مواصفات هندسية أساسية للولب وللمنظومة: قطر اللولب الخارجي 60 مم، قطر العمود 16 مم، خطوة الحلزون 60 مم، عدد لفتات فعّالة 4.5، الطول الحلزوني 286 مم والطول الكلي 444 مم. تم اعتماد كثافة المادة 1300 كغ/م³ ومعامل ملء حجمي 0.6، والهدف هو تعبئة 500 غرام في زمن تعبئة 2 ثانية. تم اختيار محرك سيرفو من نوع Panasonic MSMF042L1U1 وصندوق تروس كوكبي Apex AB060A-020 (نسبة تخفيض 1:20) مع درايفر مناسب. كما أُجريت حسابات حجمية وعزوم أولية ودُرِس تأثير صحن دوار متزامن مع اللولب على العزم والقصور الذاتي.</w:t>
      </w:r>
    </w:p>
    <w:p>
      <w:pPr>
        <w:jc w:val="left"/>
      </w:pPr>
      <w:r>
        <w:rPr>
          <w:rFonts w:ascii="Times New Roman" w:hAnsi="Times New Roman" w:eastAsia="Times New Roman"/>
          <w:sz w:val="24"/>
        </w:rPr>
        <w:t>تفصيل إضافي: خلال سلسلة المحادثات التقنية تم تحديد مواصفات هندسية أساسية للولب وللمنظومة: قطر اللولب الخارجي 60 مم، قطر العمود 16 مم، خطوة الحلزون 60 مم، عدد لفتات فعّالة 4.5، الطول الحلزوني 286 مم والطول الكلي 444 مم. تم اعتماد كثافة المادة 1300 كغ/م³ ومعامل ملء حجمي 0.6، والهدف هو تعبئة 500 غرام في زمن تعبئة 2 ثانية. تم اختيار محرك سيرفو من نوع Panasonic MSMF042L1U1 وصندوق تروس كوكبي Apex AB060A-020 (نسبة تخفيض 1:20) مع درايفر مناسب. كما أُجريت حسابات حجمية وعزوم أولية ودُرِس تأثير صحن دوار متزامن مع اللولب على العزم والقصور الذاتي.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وصف تفصيلي للآلة ووظيفتها</w:t>
      </w:r>
    </w:p>
    <w:p>
      <w:pPr>
        <w:jc w:val="left"/>
      </w:pPr>
      <w:r>
        <w:rPr>
          <w:rFonts w:ascii="Times New Roman" w:hAnsi="Times New Roman" w:eastAsia="Times New Roman"/>
          <w:sz w:val="24"/>
        </w:rPr>
        <w:t>الآلة المصممة هي آلية تعبئة بالحجم/الوزن باستخدام لولب حلزوني أفقي/عمودي (حسب التصميم النهائي) تُزوَّد بواسطة قمع حوضي، ويتحكم بها نظام سيرفو دقيق. تقوم الآلة بتغذية المادة من الهوبّر إلى اللولب، ويُدفع المنتج عن طريق الحركة الدورانية للولب إلى فتحة التفريغ، حيث يتولى صحن دوار أو لوحة دوارة تنظيم الخروج إلى الكيس أو العبوة. تُستخدم الوصلات الميكانيكية مثل الكوبلينج الشفهي، الدبوس العرضي (cross pin)، وJ-slot لتثبيت ونقل العزم. يوفر التصميم سهولة الفك والتركيب للصيانة والتنظيف، ويضمن التعامل الآمن مع المنتجات الغذائية.</w:t>
      </w:r>
    </w:p>
    <w:p>
      <w:pPr>
        <w:jc w:val="left"/>
      </w:pPr>
      <w:r>
        <w:rPr>
          <w:rFonts w:ascii="Times New Roman" w:hAnsi="Times New Roman" w:eastAsia="Times New Roman"/>
          <w:sz w:val="24"/>
        </w:rPr>
        <w:t>تفصيل إضافي: الآلة المصممة هي آلية تعبئة بالحجم/الوزن باستخدام لولب حلزوني أفقي/عمودي (حسب التصميم النهائي) تُزوَّد بواسطة قمع حوضي، ويتحكم بها نظام سيرفو دقيق. تقوم الآلة بتغذية المادة من الهوبّر إلى اللولب، ويُدفع المنتج عن طريق الحركة الدورانية للولب إلى فتحة التفريغ، حيث يتولى صحن دوار أو لوحة دوارة تنظيم الخروج إلى الكيس أو العبوة. تُستخدم الوصلات الميكانيكية مثل الكوبلينج الشفهي، الدبوس العرضي (cross pin)، وJ-slot لتثبيت ونقل العزم. يوفر التصميم سهولة الفك والتركيب للصيانة والتنظيف، ويضمن التعامل الآمن مع المنتجات الغذائية.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الأجزاء الميكانيكية الأساسية وموادها</w:t>
      </w:r>
    </w:p>
    <w:p>
      <w:pPr>
        <w:jc w:val="left"/>
      </w:pPr>
      <w:r>
        <w:rPr>
          <w:rFonts w:ascii="Times New Roman" w:hAnsi="Times New Roman" w:eastAsia="Times New Roman"/>
          <w:sz w:val="24"/>
        </w:rPr>
        <w:t>تتضمن القائمة الأساسية: (1) اللولب الحلزوني (SS304) مع ريش بسماكة 4 مم، (2) عمود التدوير (فولاذ 16 مم و20 مم في القسم الأملس)، (3) الصحن الدوار (SS304، قطر 100 مم، سماكة 3 مم)، (4) كوبلينج شفة مفاتيح 14 مم، (5) جيربوكس كوكبي Apex (1:20)، (6) محرك سيرفو Panasonic MSMF042L1U1، (7) بيرنجات دعم محورية وشعاعية، (8) هوبّر وقمع من SS304 مع ملحقات مزج (agitator). المواد المختارة تعتمد على الفولاذ المقاوم للصدأ للسطوح الملامسة والصلب عالي الشد للأجزاء الحاملة والعناصر الميكانيكية.</w:t>
      </w:r>
    </w:p>
    <w:p>
      <w:pPr>
        <w:jc w:val="left"/>
      </w:pPr>
      <w:r>
        <w:rPr>
          <w:rFonts w:ascii="Times New Roman" w:hAnsi="Times New Roman" w:eastAsia="Times New Roman"/>
          <w:sz w:val="24"/>
        </w:rPr>
        <w:t>تفصيل إضافي: تتضمن القائمة الأساسية: (1) اللولب الحلزوني (SS304) مع ريش بسماكة 4 مم، (2) عمود التدوير (فولاذ 16 مم و20 مم في القسم الأملس)، (3) الصحن الدوار (SS304، قطر 100 مم، سماكة 3 مم)، (4) كوبلينج شفة مفاتيح 14 مم، (5) جيربوكس كوكبي Apex (1:20)، (6) محرك سيرفو Panasonic MSMF042L1U1، (7) بيرنجات دعم محورية وشعاعية، (8) هوبّر وقمع من SS304 مع ملحقات مزج (agitator). المواد المختارة تعتمد على الفولاذ المقاوم للصدأ للسطوح الملامسة والصلب عالي الشد للأجزاء الحاملة والعناصر الميكانيكية.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الأبعاد النهائية المعتمدة</w:t>
      </w:r>
    </w:p>
    <w:p>
      <w:pPr>
        <w:jc w:val="left"/>
      </w:pPr>
      <w:r>
        <w:rPr>
          <w:rFonts w:ascii="Times New Roman" w:hAnsi="Times New Roman" w:eastAsia="Times New Roman"/>
          <w:sz w:val="24"/>
        </w:rPr>
        <w:t>تم اعتماد الأبعاد المذكورة سابقًا كأبعاد تصميمية نهائية للمرحلة الأولى: قطر خارجي للولب D=60 mm، قطر عمود Ds=16 mm، خطوة p=60 mm، عدد لفتات N=4.5، الطول الحلزوني الفعّال 286 mm، الطول الكلي 444 mm، ارتفاع ريشة 22 mm، سماكة ريشة 4 mm، خلوص مع الجدار 1–1.5 mm. الصحن الدوار قطره 100 mm، ثقب مركزي 14.5 mm، سماكة 3 mm، زاوية القطاع 60°. تم تحديد مواصفات الصمولة والمسامير والفتحات الممسوحة لتسهيل التركيب.</w:t>
      </w:r>
    </w:p>
    <w:p>
      <w:pPr>
        <w:jc w:val="left"/>
      </w:pPr>
      <w:r>
        <w:rPr>
          <w:rFonts w:ascii="Times New Roman" w:hAnsi="Times New Roman" w:eastAsia="Times New Roman"/>
          <w:sz w:val="24"/>
        </w:rPr>
        <w:t>تفصيل إضافي: تم اعتماد الأبعاد المذكورة سابقًا كأبعاد تصميمية نهائية للمرحلة الأولى: قطر خارجي للولب D=60 mm، قطر عمود Ds=16 mm، خطوة p=60 mm، عدد لفتات N=4.5، الطول الحلزوني الفعّال 286 mm، الطول الكلي 444 mm، ارتفاع ريشة 22 mm، سماكة ريشة 4 mm، خلوص مع الجدار 1–1.5 mm. الصحن الدوار قطره 100 mm، ثقب مركزي 14.5 mm، سماكة 3 mm، زاوية القطاع 60°. تم تحديد مواصفات الصمولة والمسامير والفتحات الممسوحة لتسهيل التركيب.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مبدأ العمل التفصيلي ومراحل التشغيل خطوة بخطوة</w:t>
      </w:r>
    </w:p>
    <w:p>
      <w:pPr>
        <w:jc w:val="left"/>
      </w:pPr>
      <w:r>
        <w:rPr>
          <w:rFonts w:ascii="Times New Roman" w:hAnsi="Times New Roman" w:eastAsia="Times New Roman"/>
          <w:sz w:val="24"/>
        </w:rPr>
        <w:t>1. التحضير وملء الهوبّر بالمادة. 2. تهيئة معلمات التحكم (السرعة، الوزن/الدورات المطلوبة). 3. بدء تشغيل المحرك والسيرفو الذي يدير اللولب. 4. تدفق المادة عبر اللولب ونقلها بشكل حجمى. 5. مراقبة العداد أو النظام الوزني عند الوصول إلى عدد الدورات المطلوب توقف اللولب. 6. تفريغ العبوة وتحريكها للسير للتعبئة التالية. يتم تضمين عمليات الإيقاف السريع، وإعدادات التبديل للوزن، ووضعات الصيانة والتنظيف.</w:t>
      </w:r>
    </w:p>
    <w:p>
      <w:pPr>
        <w:jc w:val="left"/>
      </w:pPr>
      <w:r>
        <w:rPr>
          <w:rFonts w:ascii="Times New Roman" w:hAnsi="Times New Roman" w:eastAsia="Times New Roman"/>
          <w:sz w:val="24"/>
        </w:rPr>
        <w:t>تفصيل إضافي: 1. التحضير وملء الهوبّر بالمادة. 2. تهيئة معلمات التحكم (السرعة، الوزن/الدورات المطلوبة). 3. بدء تشغيل المحرك والسيرفو الذي يدير اللولب. 4. تدفق المادة عبر اللولب ونقلها بشكل حجمى. 5. مراقبة العداد أو النظام الوزني عند الوصول إلى عدد الدورات المطلوب توقف اللولب. 6. تفريغ العبوة وتحريكها للسير للتعبئة التالية. يتم تضمين عمليات الإيقاف السريع، وإعدادات التبديل للوزن، ووضعات الصيانة والتنظيف.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تفصيل الحسابات الحجمية الرئيسية</w:t>
      </w:r>
    </w:p>
    <w:p>
      <w:pPr>
        <w:jc w:val="left"/>
      </w:pPr>
      <w:r>
        <w:rPr>
          <w:rFonts w:ascii="Times New Roman" w:hAnsi="Times New Roman" w:eastAsia="Times New Roman"/>
          <w:sz w:val="24"/>
        </w:rPr>
        <w:t>الحسابات الحجمية التي أُجريت تتضمن: مساحة المقطع الحلقي A = π/4 (D^2 - Ds^2)، الحجم النظري لكل دورة V_th = A·p، الحجم الفعّال V_rev = η_v·V_th، والكتلة لكل دورة m_rev = ρ·V_rev. باستخدام القيم المعتمدة نحصل على V_rev ≈ 94.536 cm³ وm_rev ≈ 122.9 g، ما يؤدي إلى ~4.07 دورات لحزمة 500 g، وسرعة دوران ~122 rpm لإتمام التعبئة في 2 s.</w:t>
      </w:r>
    </w:p>
    <w:p>
      <w:pPr>
        <w:jc w:val="left"/>
      </w:pPr>
      <w:r>
        <w:rPr>
          <w:rFonts w:ascii="Times New Roman" w:hAnsi="Times New Roman" w:eastAsia="Times New Roman"/>
          <w:sz w:val="24"/>
        </w:rPr>
        <w:t>تفصيل إضافي: الحسابات الحجمية التي أُجريت تتضمن: مساحة المقطع الحلقي A = π/4 (D^2 - Ds^2)، الحجم النظري لكل دورة V_th = A·p، الحجم الفعّال V_rev = η_v·V_th، والكتلة لكل دورة m_rev = ρ·V_rev. باستخدام القيم المعتمدة نحصل على V_rev ≈ 94.536 cm³ وm_rev ≈ 122.9 g، ما يؤدي إلى ~4.07 دورات لحزمة 500 g، وسرعة دوران ~122 rpm لإتمام التعبئة في 2 s.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حسابات العزوم والقوى الأساسية</w:t>
      </w:r>
    </w:p>
    <w:p>
      <w:pPr>
        <w:jc w:val="left"/>
      </w:pPr>
      <w:r>
        <w:rPr>
          <w:rFonts w:ascii="Times New Roman" w:hAnsi="Times New Roman" w:eastAsia="Times New Roman"/>
          <w:sz w:val="24"/>
        </w:rPr>
        <w:t>شملت الحسابات: حساب العزم الناتج عن الوزن والمحاور، الاحتكاك مع الجدار، عزم القصور الذاتي أثناء التسارع، وعزم الاحتكاك الخاص بالمحامل. مع جمع هذه المكونات وحساب معامل أمان تقريبي 2–2.5 تم تبني T_design ≈ 0.46 N·m. بعد تطبيقات على ديناميكيات الصحن الدوار وجد أنه يضيف عزمًا محوريًا وكمية إضافية إلى قصور ذاتي، مما رفع العزم التصميمي النهائي إلى نحو 0.45–0.50 N·m في أسوأ الحالات.</w:t>
      </w:r>
    </w:p>
    <w:p>
      <w:pPr>
        <w:jc w:val="left"/>
      </w:pPr>
      <w:r>
        <w:rPr>
          <w:rFonts w:ascii="Times New Roman" w:hAnsi="Times New Roman" w:eastAsia="Times New Roman"/>
          <w:sz w:val="24"/>
        </w:rPr>
        <w:t>تفصيل إضافي: شملت الحسابات: حساب العزم الناتج عن الوزن والمحاور، الاحتكاك مع الجدار، عزم القصور الذاتي أثناء التسارع، وعزم الاحتكاك الخاص بالمحامل. مع جمع هذه المكونات وحساب معامل أمان تقريبي 2–2.5 تم تبني T_design ≈ 0.46 N·m. بعد تطبيقات على ديناميكيات الصحن الدوار وجد أنه يضيف عزمًا محوريًا وكمية إضافية إلى قصور ذاتي، مما رفع العزم التصميمي النهائي إلى نحو 0.45–0.50 N·m في أسوأ الحالات.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التحليل العددي والـFEA المقترح</w:t>
      </w:r>
    </w:p>
    <w:p>
      <w:pPr>
        <w:jc w:val="left"/>
      </w:pPr>
      <w:r>
        <w:rPr>
          <w:rFonts w:ascii="Times New Roman" w:hAnsi="Times New Roman" w:eastAsia="Times New Roman"/>
          <w:sz w:val="24"/>
        </w:rPr>
        <w:t>تم وضع خطة لإجراء تحليل إجهادات استاتيكي في SolidWorks Simulation: إعداد النموذج (اللولب بمفرده، ثم مع الصحن، ثم مع عمود المثقاب)، تعريف المواد (AISI 304)، تطبيق الأحمال (Torque = 0.58 N·m، forces distributed on flights and plate)، تثبيت بيرنچ realistic (bearing support)، إعداد شبكة محكمة حول جذور الريش وJ-slot، وتشغيل الدراسة لتحليل Von Mises, displacement, reaction forces وحساب FoS. وقد تم تخطيط مراحل لاحقة لanalyses مثل Modal وFatigue إذا استدعت الحاجة.</w:t>
      </w:r>
    </w:p>
    <w:p>
      <w:pPr>
        <w:jc w:val="left"/>
      </w:pPr>
      <w:r>
        <w:rPr>
          <w:rFonts w:ascii="Times New Roman" w:hAnsi="Times New Roman" w:eastAsia="Times New Roman"/>
          <w:sz w:val="24"/>
        </w:rPr>
        <w:t>تفصيل إضافي: تم وضع خطة لإجراء تحليل إجهادات استاتيكي في SolidWorks Simulation: إعداد النموذج (اللولب بمفرده، ثم مع الصحن، ثم مع عمود المثقاب)، تعريف المواد (AISI 304)، تطبيق الأحمال (Torque = 0.58 N·m، forces distributed on flights and plate)، تثبيت بيرنچ realistic (bearing support)، إعداد شبكة محكمة حول جذور الريش وJ-slot، وتشغيل الدراسة لتحليل Von Mises, displacement, reaction forces وحساب FoS. وقد تم تخطيط مراحل لاحقة لanalyses مثل Modal وFatigue إذا استدعت الحاجة.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متطلبات المواد والتشطيب السطحي</w:t>
      </w:r>
    </w:p>
    <w:p>
      <w:pPr>
        <w:jc w:val="left"/>
      </w:pPr>
      <w:r>
        <w:rPr>
          <w:rFonts w:ascii="Times New Roman" w:hAnsi="Times New Roman" w:eastAsia="Times New Roman"/>
          <w:sz w:val="24"/>
        </w:rPr>
        <w:t>اخترنا AISI 304 (UNS S30400) في حالة Annealed Bar للولب ولجميع الأجزاء الملامسة. القيم الميكانيكية المستخدمة: E≈193 GPa، ν≈0.29، ρ≈8000 kg/m³، σ_y≈215 MPa. كما تم تحديد متطلبات تشطيب سطحي Ra≤1.6 μm للسطوح الملامسة للمادة وتطبيق فيلات وتخفيفات عند الجذور لتقليل تركيز الإجهاد.</w:t>
      </w:r>
    </w:p>
    <w:p>
      <w:pPr>
        <w:jc w:val="left"/>
      </w:pPr>
      <w:r>
        <w:rPr>
          <w:rFonts w:ascii="Times New Roman" w:hAnsi="Times New Roman" w:eastAsia="Times New Roman"/>
          <w:sz w:val="24"/>
        </w:rPr>
        <w:t>تفصيل إضافي: اخترنا AISI 304 (UNS S30400) في حالة Annealed Bar للولب ولجميع الأجزاء الملامسة. القيم الميكانيكية المستخدمة: E≈193 GPa، ν≈0.29، ρ≈8000 kg/m³، σ_y≈215 MPa. كما تم تحديد متطلبات تشطيب سطحي Ra≤1.6 μm للسطوح الملامسة للمادة وتطبيق فيلات وتخفيفات عند الجذور لتقليل تركيز الإجهاد.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آليات الاتصال والمواضع الحرجة للتصميم</w:t>
      </w:r>
    </w:p>
    <w:p>
      <w:pPr>
        <w:jc w:val="left"/>
      </w:pPr>
      <w:r>
        <w:rPr>
          <w:rFonts w:ascii="Times New Roman" w:hAnsi="Times New Roman" w:eastAsia="Times New Roman"/>
          <w:sz w:val="24"/>
        </w:rPr>
        <w:t>تم توضيح توصيل المحرك بالجيربوكس عبر Collet Clamping Hub داخلي بالجيربوكس، وربط الجيربوكس بالكوبلينج الشفهي (Flange coupling) بمجرى مفتاح Ø14 mm. الاتصال بين عمود المثقاب واللولب يُنفذ عبر J-slot مع دبوس عرضي للتثبيت. يجب التركيز على أبعاد الفتحات والمسامير والفتحات العرضية لتقليل تركيز الإجهاد وتسهيل الصيانة.</w:t>
      </w:r>
    </w:p>
    <w:p>
      <w:pPr>
        <w:jc w:val="left"/>
      </w:pPr>
      <w:r>
        <w:rPr>
          <w:rFonts w:ascii="Times New Roman" w:hAnsi="Times New Roman" w:eastAsia="Times New Roman"/>
          <w:sz w:val="24"/>
        </w:rPr>
        <w:t>تفصيل إضافي: تم توضيح توصيل المحرك بالجيربوكس عبر Collet Clamping Hub داخلي بالجيربوكس، وربط الجيربوكس بالكوبلينج الشفهي (Flange coupling) بمجرى مفتاح Ø14 mm. الاتصال بين عمود المثقاب واللولب يُنفذ عبر J-slot مع دبوس عرضي للتثبيت. يجب التركيز على أبعاد الفتحات والمسامير والفتحات العرضية لتقليل تركيز الإجهاد وتسهيل الصيانة.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إجراءات المعايرة والاختبار</w:t>
      </w:r>
    </w:p>
    <w:p>
      <w:pPr>
        <w:jc w:val="left"/>
      </w:pPr>
      <w:r>
        <w:rPr>
          <w:rFonts w:ascii="Times New Roman" w:hAnsi="Times New Roman" w:eastAsia="Times New Roman"/>
          <w:sz w:val="24"/>
        </w:rPr>
        <w:t>يوصى بإجراء اختبارات معايرة لعامل الملء η_v بواسطة وضع سلاسل تجريبية مع أنواع المادة المختلفة (ملح جاف، قهوة، سكر). يتم تسجيل مخرجات كل دورة، وحساب الانحرافات، ومعايرة نظام التحكم لضبط عدد الدورات بدقة. كما تُجرى اختبارات تشغيل طويلة للتحقق من استقرار العزم وتشتت الجرعات.</w:t>
      </w:r>
    </w:p>
    <w:p>
      <w:pPr>
        <w:jc w:val="left"/>
      </w:pPr>
      <w:r>
        <w:rPr>
          <w:rFonts w:ascii="Times New Roman" w:hAnsi="Times New Roman" w:eastAsia="Times New Roman"/>
          <w:sz w:val="24"/>
        </w:rPr>
        <w:t>تفصيل إضافي: يوصى بإجراء اختبارات معايرة لعامل الملء η_v بواسطة وضع سلاسل تجريبية مع أنواع المادة المختلفة (ملح جاف، قهوة، سكر). يتم تسجيل مخرجات كل دورة، وحساب الانحرافات، ومعايرة نظام التحكم لضبط عدد الدورات بدقة. كما تُجرى اختبارات تشغيل طويلة للتحقق من استقرار العزم وتشتت الجرعات.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الاعتبارات الصحية والصناعية</w:t>
      </w:r>
    </w:p>
    <w:p>
      <w:pPr>
        <w:jc w:val="left"/>
      </w:pPr>
      <w:r>
        <w:rPr>
          <w:rFonts w:ascii="Times New Roman" w:hAnsi="Times New Roman" w:eastAsia="Times New Roman"/>
          <w:sz w:val="24"/>
        </w:rPr>
        <w:t>يجب أن تلتزم الماكينة بمعايير النظافة الغذائية: اختيار مواد مقاومة للصدأ، سهولة فك الأجزاء للتنظيف، منع تجاويف ميتة تجمع المواد. كما يجب استخدام تشطيبات ناعمة وتجنّب الزوايا الحادة. توجيه الهواء المضغوط لغسيل أجزاء الهوبّر، واستخدام طلاءات غذائية إن لزم الأمر.</w:t>
      </w:r>
    </w:p>
    <w:p>
      <w:pPr>
        <w:jc w:val="left"/>
      </w:pPr>
      <w:r>
        <w:rPr>
          <w:rFonts w:ascii="Times New Roman" w:hAnsi="Times New Roman" w:eastAsia="Times New Roman"/>
          <w:sz w:val="24"/>
        </w:rPr>
        <w:t>تفصيل إضافي: يجب أن تلتزم الماكينة بمعايير النظافة الغذائية: اختيار مواد مقاومة للصدأ، سهولة فك الأجزاء للتنظيف، منع تجاويف ميتة تجمع المواد. كما يجب استخدام تشطيبات ناعمة وتجنّب الزوايا الحادة. توجيه الهواء المضغوط لغسيل أجزاء الهوبّر، واستخدام طلاءات غذائية إن لزم الأمر.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المتانة والسلامة والاعتمادية</w:t>
      </w:r>
    </w:p>
    <w:p>
      <w:pPr>
        <w:jc w:val="left"/>
      </w:pPr>
      <w:r>
        <w:rPr>
          <w:rFonts w:ascii="Times New Roman" w:hAnsi="Times New Roman" w:eastAsia="Times New Roman"/>
          <w:sz w:val="24"/>
        </w:rPr>
        <w:t>حددنا معامل أمان ≥2 للجزء الحساس و≥3 لبعض المكونات الحرجة. كما تضمّن التصميم إمكانية الوصول للصيانة الدورية، وفصل الدارة الكهربائية عند فتح الحاويات، وتتبع درجات الحرارة للعناصر الكهربائية. تم اقتراح مواد تحمل وتحمّل تدوير عالي وعمر افتراضي يتجاوز 5 سنوات في ظروف تشغيل نموذجية.</w:t>
      </w:r>
    </w:p>
    <w:p>
      <w:pPr>
        <w:jc w:val="left"/>
      </w:pPr>
      <w:r>
        <w:rPr>
          <w:rFonts w:ascii="Times New Roman" w:hAnsi="Times New Roman" w:eastAsia="Times New Roman"/>
          <w:sz w:val="24"/>
        </w:rPr>
        <w:t>تفصيل إضافي: حددنا معامل أمان ≥2 للجزء الحساس و≥3 لبعض المكونات الحرجة. كما تضمّن التصميم إمكانية الوصول للصيانة الدورية، وفصل الدارة الكهربائية عند فتح الحاويات، وتتبع درجات الحرارة للعناصر الكهربائية. تم اقتراح مواد تحمل وتحمّل تدوير عالي وعمر افتراضي يتجاوز 5 سنوات في ظروف تشغيل نموذجية.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إمكانية التصنيع والتوافر المحلي في اليمن</w:t>
      </w:r>
    </w:p>
    <w:p>
      <w:pPr>
        <w:jc w:val="left"/>
      </w:pPr>
      <w:r>
        <w:rPr>
          <w:rFonts w:ascii="Times New Roman" w:hAnsi="Times New Roman" w:eastAsia="Times New Roman"/>
          <w:sz w:val="24"/>
        </w:rPr>
        <w:t>تم اختيار مكونات قابلة للتصنيع محلياً كلما أمكن: فولاذ SS304 متوفر في الأسواق اليمنية، محامل قياسية، وصواميل ومسامير معيارية. أما المحرك والجيربوكس فقد يحتاجان إلى استيراد؛ لذلك يفضل شراء من موزعين إقليميين لضمان الدعم الفني. يراعى تبسيط التركيبات لتقليل الحاجة لآلات دقيقة متقدمة محليًا.</w:t>
      </w:r>
    </w:p>
    <w:p>
      <w:pPr>
        <w:jc w:val="left"/>
      </w:pPr>
      <w:r>
        <w:rPr>
          <w:rFonts w:ascii="Times New Roman" w:hAnsi="Times New Roman" w:eastAsia="Times New Roman"/>
          <w:sz w:val="24"/>
        </w:rPr>
        <w:t>تفصيل إضافي: تم اختيار مكونات قابلة للتصنيع محلياً كلما أمكن: فولاذ SS304 متوفر في الأسواق اليمنية، محامل قياسية، وصواميل ومسامير معيارية. أما المحرك والجيربوكس فقد يحتاجان إلى استيراد؛ لذلك يفضل شراء من موزعين إقليميين لضمان الدعم الفني. يراعى تبسيط التركيبات لتقليل الحاجة لآلات دقيقة متقدمة محليًا.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خطة التنفيذ والاختبارات الميدانية</w:t>
      </w:r>
    </w:p>
    <w:p>
      <w:pPr>
        <w:jc w:val="left"/>
      </w:pPr>
      <w:r>
        <w:rPr>
          <w:rFonts w:ascii="Times New Roman" w:hAnsi="Times New Roman" w:eastAsia="Times New Roman"/>
          <w:sz w:val="24"/>
        </w:rPr>
        <w:t>تتضمن خطة التنفيذ: تصنيع نموذج أولي للمرحلة 1، إجراء اختبارات تعبئة عملية مع المواد المقصودة، معايرة عامل الملء والبرمجة، تحسينات على التصميم عند الحاجة، ثم إنتاج نموذج 'Beta' للتجارب الميدانية. تُوثق البيانات وتُعد تقارير عن الأخطاء والصيانة.</w:t>
      </w:r>
    </w:p>
    <w:p>
      <w:pPr>
        <w:jc w:val="left"/>
      </w:pPr>
      <w:r>
        <w:rPr>
          <w:rFonts w:ascii="Times New Roman" w:hAnsi="Times New Roman" w:eastAsia="Times New Roman"/>
          <w:sz w:val="24"/>
        </w:rPr>
        <w:t>تفصيل إضافي: تتضمن خطة التنفيذ: تصنيع نموذج أولي للمرحلة 1، إجراء اختبارات تعبئة عملية مع المواد المقصودة، معايرة عامل الملء والبرمجة، تحسينات على التصميم عند الحاجة، ثم إنتاج نموذج 'Beta' للتجارب الميدانية. تُوثق البيانات وتُعد تقارير عن الأخطاء والصيانة. يتم توثيق هذه النقاط لإعطاء مرجع واضح لتنفيذ التصميم والتحليل.</w:t>
      </w:r>
    </w:p>
    <w:p>
      <w:r>
        <w:br w:type="page"/>
      </w:r>
    </w:p>
    <w:p>
      <w:pPr>
        <w:pStyle w:val="Heading2"/>
      </w:pPr>
      <w:r>
        <w:rPr>
          <w:rFonts w:ascii="Times New Roman" w:hAnsi="Times New Roman" w:eastAsia="Times New Roman"/>
          <w:b/>
          <w:sz w:val="28"/>
        </w:rPr>
        <w:t>الملحق: ملخص الأبعاد والمعادلات الأساسية</w:t>
      </w:r>
    </w:p>
    <w:p>
      <w:pPr>
        <w:jc w:val="left"/>
      </w:pPr>
      <w:r>
        <w:rPr>
          <w:rFonts w:ascii="Times New Roman" w:hAnsi="Times New Roman" w:eastAsia="Times New Roman"/>
          <w:sz w:val="24"/>
        </w:rPr>
        <w:t>يتضمن الملحق جدول الأبعاد الرئيسي، معادلات الحجم الأساسية (A, V_th, V_rev، m_rev)، معادلات العزوم (τ = T·r/J، σ_vm) وقيم المواد. هذه المراجع تُسلم مع ملف CAD وملف Excel للحسابات.</w:t>
      </w:r>
    </w:p>
    <w:p>
      <w:pPr>
        <w:jc w:val="left"/>
      </w:pPr>
      <w:r>
        <w:rPr>
          <w:rFonts w:ascii="Times New Roman" w:hAnsi="Times New Roman" w:eastAsia="Times New Roman"/>
          <w:sz w:val="24"/>
        </w:rPr>
        <w:t>تفصيل إضافي: يتضمن الملحق جدول الأبعاد الرئيسي، معادلات الحجم الأساسية (A, V_th, V_rev، m_rev)، معادلات العزوم (τ = T·r/J، σ_vm) وقيم المواد. هذه المراجع تُسلم مع ملف CAD وملف Excel للحسابات. يتم توثيق هذه النقاط لإعطاء مرجع واضح لتنفيذ التصميم والتحليل.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مقدمة تفصيلية - آلة التعبئة باللولب (Auger Filling Machine)</dc:title>
  <dc:subject/>
  <dc:creator>Prepared by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