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C1E2F" w:rsidRDefault="008C1E2F" w:rsidP="008C1E2F">
      <w:pPr>
        <w:spacing w:after="400" w:line="360" w:lineRule="auto"/>
        <w:jc w:val="center"/>
        <w:rPr>
          <w:rFonts w:cs="Times New Roman"/>
          <w:color w:val="8B2942"/>
          <w:spacing w:val="60"/>
          <w:sz w:val="48"/>
          <w:szCs w:val="48"/>
        </w:rPr>
      </w:pPr>
      <w:r>
        <w:rPr>
          <w:rFonts w:eastAsia="Times New Roman" w:cs="Times New Roman"/>
          <w:color w:val="8B2942"/>
          <w:spacing w:val="60"/>
          <w:sz w:val="48"/>
        </w:rPr>
        <w:t>CHAPTER TWO</w:t>
      </w:r>
    </w:p>
    <w:p w:rsidR="008C1E2F" w:rsidRDefault="008C1E2F" w:rsidP="008C1E2F">
      <w:pPr>
        <w:spacing w:after="600" w:line="360" w:lineRule="auto"/>
        <w:jc w:val="center"/>
        <w:rPr>
          <w:rFonts w:cs="Times New Roman"/>
        </w:rPr>
      </w:pPr>
      <w:r>
        <w:rPr>
          <w:rFonts w:eastAsia="Times New Roman" w:cs="Times New Roman"/>
          <w:b/>
          <w:color w:val="1E3A5F"/>
          <w:sz w:val="56"/>
        </w:rPr>
        <w:t>LITERATURE REVIEW</w:t>
      </w:r>
    </w:p>
    <w:p w:rsidR="008C1E2F" w:rsidRDefault="008C1E2F" w:rsidP="008C1E2F">
      <w:pPr>
        <w:spacing w:after="800" w:line="360" w:lineRule="auto"/>
        <w:jc w:val="center"/>
        <w:rPr>
          <w:rFonts w:cs="Times New Roman"/>
        </w:rPr>
      </w:pPr>
      <w:r>
        <w:rPr>
          <w:rFonts w:eastAsia="Times New Roman" w:cs="Times New Roman"/>
          <w:color w:val="8B2942"/>
        </w:rPr>
        <w:t>────────────────────</w:t>
      </w:r>
    </w:p>
    <w:p w:rsidR="008C1E2F" w:rsidRDefault="008C1E2F" w:rsidP="008C1E2F">
      <w:pPr>
        <w:spacing w:line="360" w:lineRule="auto"/>
        <w:jc w:val="center"/>
        <w:rPr>
          <w:rFonts w:cs="Times New Roman"/>
        </w:rPr>
      </w:pPr>
      <w:r>
        <w:rPr>
          <w:rFonts w:eastAsia="Times New Roman" w:cs="Times New Roman"/>
          <w:color w:val="4A4A4A"/>
        </w:rPr>
        <w:t>A Comprehensive Survey of VFFS Technology,</w:t>
      </w:r>
    </w:p>
    <w:p w:rsidR="008C1E2F" w:rsidRDefault="008C1E2F" w:rsidP="008C1E2F">
      <w:pPr>
        <w:spacing w:line="360" w:lineRule="auto"/>
        <w:jc w:val="center"/>
        <w:rPr>
          <w:rFonts w:cs="Times New Roman"/>
        </w:rPr>
      </w:pPr>
      <w:r>
        <w:rPr>
          <w:rFonts w:eastAsia="Times New Roman" w:cs="Times New Roman"/>
          <w:color w:val="4A4A4A"/>
        </w:rPr>
        <w:t>Powder Rheology, and Auger Filling Systems</w:t>
      </w:r>
    </w:p>
    <w:p w:rsidR="008C1E2F" w:rsidRDefault="008C1E2F" w:rsidP="008C1E2F">
      <w:pPr>
        <w:spacing w:line="360" w:lineRule="auto"/>
        <w:rPr>
          <w:rFonts w:cs="Times New Roman"/>
        </w:rPr>
      </w:pPr>
      <w:r>
        <w:rPr>
          <w:rFonts w:eastAsia="Times New Roman" w:cs="Times New Roman"/>
        </w:rPr>
        <w:br w:type="page" w:clear="all"/>
      </w:r>
    </w:p>
    <w:p w:rsidR="008C1E2F" w:rsidRDefault="008C1E2F" w:rsidP="008C1E2F">
      <w:pPr>
        <w:spacing w:line="360" w:lineRule="auto"/>
        <w:rPr>
          <w:rFonts w:cs="Times New Roman"/>
        </w:rPr>
      </w:pPr>
      <w:r>
        <w:rPr>
          <w:rFonts w:eastAsia="Times New Roman" w:cs="Times New Roman"/>
          <w:b/>
          <w:bCs/>
        </w:rPr>
        <w:lastRenderedPageBreak/>
        <w:t>CHAPTER TWO: LITERATURE REVIEW</w:t>
      </w:r>
    </w:p>
    <w:p w:rsidR="008C1E2F" w:rsidRDefault="008C1E2F" w:rsidP="008C1E2F">
      <w:pPr>
        <w:spacing w:line="360" w:lineRule="auto"/>
        <w:rPr>
          <w:rFonts w:cs="Times New Roman"/>
        </w:rPr>
      </w:pPr>
      <w:r>
        <w:rPr>
          <w:rFonts w:eastAsia="Times New Roman" w:cs="Times New Roman"/>
        </w:rPr>
        <w:t>The development of automated packaging systems for powdered materials represents a sophisticated convergence of mechanical design, granular mechanics, and mechatronic control engineering. This chapter presents a critical review of the fundamental engineering principles and state-of-the-art advancements in Vertical Form-Fill-Seal (VFFS) technology and auger-driven dosing mechanisms, establishing the theoretical foundation for the mechatronic system developed in this project.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2.1 VFFS and Dosing Technologies</w:t>
      </w:r>
    </w:p>
    <w:p w:rsidR="008C1E2F" w:rsidRDefault="008C1E2F" w:rsidP="008C1E2F">
      <w:pPr>
        <w:spacing w:line="360" w:lineRule="auto"/>
        <w:rPr>
          <w:rFonts w:cs="Times New Roman"/>
        </w:rPr>
      </w:pPr>
      <w:r>
        <w:rPr>
          <w:rFonts w:eastAsia="Times New Roman" w:cs="Times New Roman"/>
        </w:rPr>
        <w:t>Vertical Form-Fill-Seal (VFFS) technology represents a cornerstone in modern automated packaging, particularly for granular, powdered, and liquid products. Its efficiency stems from the integrated process of forming a bag from a roll of film, filling it with the product, and then sealing it, all within a continuous vertical motion. The efficacy of a VFFS system is intrinsically linked to the precision and reliability of its dosing mechanism, which dictates product consistency and economic viability. This section delineates the operational principles of VFFS machines and provides a comparative analysis of volumetric versus gravimetric dosing technologies, highlighting their respective advantages, limitations, and suitability for various industrial applications.</w:t>
      </w:r>
    </w:p>
    <w:p w:rsidR="008C1E2F" w:rsidRDefault="008C1E2F" w:rsidP="008C1E2F">
      <w:pPr>
        <w:spacing w:line="360" w:lineRule="auto"/>
        <w:rPr>
          <w:rFonts w:cs="Times New Roman"/>
          <w:b/>
          <w:rtl/>
        </w:rPr>
      </w:pPr>
    </w:p>
    <w:p w:rsidR="008C1E2F" w:rsidRDefault="008C1E2F" w:rsidP="008C1E2F">
      <w:pPr>
        <w:spacing w:line="360" w:lineRule="auto"/>
        <w:rPr>
          <w:rFonts w:cs="Times New Roman"/>
          <w:b/>
        </w:rPr>
      </w:pPr>
      <w:r>
        <w:rPr>
          <w:rFonts w:eastAsia="Times New Roman" w:cs="Times New Roman"/>
          <w:b/>
          <w:bCs/>
        </w:rPr>
        <w:t>2.1.1 Operating Principles of Vertical Form-Fill-Seal Machines</w:t>
      </w:r>
    </w:p>
    <w:p w:rsidR="008C1E2F" w:rsidRDefault="008C1E2F" w:rsidP="008C1E2F">
      <w:pPr>
        <w:spacing w:line="360" w:lineRule="auto"/>
        <w:rPr>
          <w:rFonts w:cs="Times New Roman"/>
        </w:rPr>
      </w:pPr>
      <w:r>
        <w:rPr>
          <w:rFonts w:eastAsia="Times New Roman" w:cs="Times New Roman"/>
        </w:rPr>
        <w:t>The Vertical Form-Fill-Seal (VFFS) machine constitutes a cornerstone technology in modern automated packaging, integrating three distinct yet kinematically synchronized operations—forming, filling, and sealing</w:t>
      </w:r>
      <w:r>
        <w:rPr>
          <w:rFonts w:eastAsia="Times New Roman" w:cs="Times New Roman" w:hint="cs"/>
          <w:rtl/>
        </w:rPr>
        <w:t xml:space="preserve"> </w:t>
      </w:r>
      <w:r>
        <w:rPr>
          <w:rFonts w:eastAsia="Times New Roman" w:cs="Times New Roman"/>
        </w:rPr>
        <w:t>into a single continuous production cycle [1]. Since its commercial introduction in the mid-20th century, VFFS technology has evolved from simple mechanical cam-driven systems to sophisticated mechatronic architectures incorporating advanced servo control, real-time process monitoring, and adaptive adjustment capabilities [2].</w:t>
      </w: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r>
        <w:rPr>
          <w:rFonts w:eastAsia="Times New Roman" w:cs="Times New Roman"/>
          <w:b/>
          <w:bCs/>
        </w:rPr>
        <w:lastRenderedPageBreak/>
        <w:t>Kinematic Sequence and Film Handling</w:t>
      </w:r>
    </w:p>
    <w:p w:rsidR="008C1E2F" w:rsidRDefault="008C1E2F" w:rsidP="008C1E2F">
      <w:pPr>
        <w:spacing w:line="360" w:lineRule="auto"/>
        <w:rPr>
          <w:rFonts w:cs="Times New Roman"/>
          <w:rtl/>
        </w:rPr>
      </w:pPr>
      <w:r>
        <w:rPr>
          <w:rFonts w:eastAsia="Times New Roman" w:cs="Times New Roman"/>
        </w:rPr>
        <w:t>The operational sequence of a VFFS system initiates with the tension-controlled unwinding of flexible packaging film from a supply reel. The film web is drawn through the machine via motor-driven friction belts or vacuum pull mechanisms, with precise tension regulation maintained through dancer roller assemblies and electronic feedback systems to prevent wrinkles, stretching, or misalignment that would compromise package integrity [3]. The film subsequently passes over a forming collar (forming shoulder), a geometrically optimized component that transforms the two-dimensional web into a cylindrical configuration around the central forming tube. The design of the forming collar</w:t>
      </w:r>
      <w:r>
        <w:rPr>
          <w:rFonts w:eastAsia="Times New Roman" w:cs="Times New Roman" w:hint="cs"/>
          <w:rtl/>
        </w:rPr>
        <w:t xml:space="preserve"> </w:t>
      </w:r>
      <w:r>
        <w:rPr>
          <w:rFonts w:eastAsia="Times New Roman" w:cs="Times New Roman"/>
        </w:rPr>
        <w:t>particularly its bending angles and surface curvature</w:t>
      </w:r>
      <w:r>
        <w:rPr>
          <w:rFonts w:eastAsia="Times New Roman" w:cs="Times New Roman" w:hint="cs"/>
          <w:rtl/>
        </w:rPr>
        <w:t xml:space="preserve"> </w:t>
      </w:r>
      <w:r>
        <w:rPr>
          <w:rFonts w:eastAsia="Times New Roman" w:cs="Times New Roman"/>
        </w:rPr>
        <w:t>requires precise reverse engineering to minimize film stress and ensure consistent bag geometry [4].</w:t>
      </w:r>
    </w:p>
    <w:p w:rsidR="008C1E2F" w:rsidRDefault="008C1E2F" w:rsidP="008C1E2F">
      <w:pPr>
        <w:spacing w:line="360" w:lineRule="auto"/>
        <w:rPr>
          <w:rFonts w:cs="Times New Roman"/>
          <w:rtl/>
        </w:rPr>
      </w:pPr>
    </w:p>
    <w:p w:rsidR="008C1E2F" w:rsidRDefault="008C1E2F" w:rsidP="008C1E2F">
      <w:pPr>
        <w:spacing w:line="360" w:lineRule="auto"/>
        <w:rPr>
          <w:rFonts w:cs="Times New Roman"/>
          <w:rtl/>
        </w:rPr>
      </w:pPr>
      <w:r>
        <w:rPr>
          <w:rFonts w:eastAsia="Times New Roman" w:cs="Times New Roman"/>
          <w:noProof/>
          <w:rtl/>
          <w:lang w:val="ar-SA"/>
        </w:rPr>
        <w:lastRenderedPageBreak/>
        <w:drawing>
          <wp:inline distT="0" distB="0" distL="0" distR="0" wp14:anchorId="1841DFCB" wp14:editId="323324D8">
            <wp:extent cx="5486400" cy="560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3728" name="Picture 1"/>
                    <pic:cNvPicPr>
                      <a:picLocks noChangeAspect="1"/>
                    </pic:cNvPicPr>
                  </pic:nvPicPr>
                  <pic:blipFill rotWithShape="1">
                    <a:blip r:embed="rId5"/>
                    <a:stretch/>
                  </pic:blipFill>
                  <pic:spPr bwMode="auto">
                    <a:xfrm>
                      <a:off x="0" y="0"/>
                      <a:ext cx="5486400" cy="5600698"/>
                    </a:xfrm>
                    <a:prstGeom prst="rect">
                      <a:avLst/>
                    </a:prstGeom>
                  </pic:spPr>
                </pic:pic>
              </a:graphicData>
            </a:graphic>
          </wp:inline>
        </w:drawing>
      </w:r>
    </w:p>
    <w:p w:rsidR="008C1E2F" w:rsidRDefault="008C1E2F" w:rsidP="008C1E2F">
      <w:pPr>
        <w:numPr>
          <w:ilvl w:val="0"/>
          <w:numId w:val="36"/>
        </w:numPr>
        <w:spacing w:line="360" w:lineRule="auto"/>
        <w:rPr>
          <w:rFonts w:cs="Times New Roman"/>
        </w:rPr>
      </w:pPr>
      <w:r>
        <w:rPr>
          <w:rFonts w:eastAsia="Times New Roman" w:cs="Times New Roman"/>
          <w:b/>
          <w:bCs/>
        </w:rPr>
        <w:t>Figure 2.1:</w:t>
      </w:r>
      <w:r>
        <w:rPr>
          <w:rFonts w:eastAsia="Times New Roman" w:cs="Times New Roman"/>
        </w:rPr>
        <w:t xml:space="preserve"> Schematic representation of the Vertical Form-Fill-Seal (VFFS) operational cycle, highlighting the forming, filling, and sealing stages.</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rPr>
        <w:t>Upon formation of the cylindrical tube, a longitudinal sealing jaw creates a continuous vertical seam (overlap or fin seal), while the horizontal cross-sealing jaws execute two simultaneous functions: forming the bottom seal of the current bag and the top seal of the preceding bag. The sealing operation involves precise thermodynamic control of temperature, pressure, and dwell time to achieve hermetic seals without thermal degradation of the film [5].</w:t>
      </w:r>
    </w:p>
    <w:p w:rsidR="008C1E2F" w:rsidRDefault="008C1E2F" w:rsidP="008C1E2F">
      <w:pPr>
        <w:spacing w:line="360" w:lineRule="auto"/>
        <w:rPr>
          <w:rFonts w:cs="Times New Roman"/>
        </w:rPr>
      </w:pPr>
      <w:r>
        <w:rPr>
          <w:rFonts w:eastAsia="Times New Roman" w:cs="Times New Roman"/>
        </w:rPr>
        <w:lastRenderedPageBreak/>
        <w:t>Furthermore, precise web tracking is continuously monitored and corrected by photoelectric edge-guide sensors to prevent lateral drift during high-speed unwinding. Following the cross-sealing phase, an integrated mechanical or pneumatic guillotine separates the continuous web into individual packages</w:t>
      </w:r>
      <w:r>
        <w:rPr>
          <w:rFonts w:eastAsia="Times New Roman" w:cs="Times New Roman" w:hint="cs"/>
          <w:rtl/>
        </w:rPr>
        <w:t xml:space="preserve"> </w:t>
      </w:r>
      <w:r>
        <w:rPr>
          <w:rFonts w:eastAsia="Times New Roman" w:cs="Times New Roman"/>
        </w:rPr>
        <w:t>accommodating various geometries such as standard pillow bags, gusseted bags, or block-bottom pouches</w:t>
      </w:r>
      <w:r>
        <w:rPr>
          <w:rFonts w:eastAsia="Times New Roman" w:cs="Times New Roman" w:hint="cs"/>
          <w:rtl/>
        </w:rPr>
        <w:t xml:space="preserve"> </w:t>
      </w:r>
      <w:r>
        <w:rPr>
          <w:rFonts w:eastAsia="Times New Roman" w:cs="Times New Roman"/>
        </w:rPr>
        <w:t>which are subsequently discharged onto synchronized conveyors for secondary packaging operations.</w:t>
      </w: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r>
        <w:rPr>
          <w:rFonts w:eastAsia="Times New Roman" w:cs="Times New Roman"/>
          <w:b/>
          <w:bCs/>
        </w:rPr>
        <w:t>Critical Synchronization Requirements</w:t>
      </w:r>
    </w:p>
    <w:p w:rsidR="008C1E2F" w:rsidRDefault="008C1E2F" w:rsidP="008C1E2F">
      <w:pPr>
        <w:spacing w:line="360" w:lineRule="auto"/>
        <w:rPr>
          <w:rFonts w:cs="Times New Roman"/>
        </w:rPr>
      </w:pPr>
      <w:r>
        <w:rPr>
          <w:rFonts w:eastAsia="Times New Roman" w:cs="Times New Roman"/>
        </w:rPr>
        <w:t>The efficiency of the VFFS process is fundamentally governed by the synchronization between the film transport mechanism and the dosing unit. The "Filling Window" defined as the strict temporal interval during which the product must be completely discharged into the formed tube without contaminating the horizontal seal area represents the primary kinematic constraint in high-speed applications. In modern industrial systems operating at cycle times below 2.0 seconds, this synchronization necessitates the replacement of traditional mechanical clutches with high-precision AC Servo motors, enabling millisecond-accurate control over film pull-rate and dwell time while eliminating inertial errors associated with mechanical indexing [6]. This mechatronic evolution is particularly critical for handling abrasive or hygroscopic materials such as Sodium Chloride (NaCl), where misalignment between the dosing pulse termination and jaw opening results in "product-in-seal" contamination and package rejection [7].</w:t>
      </w: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r>
        <w:rPr>
          <w:rFonts w:eastAsia="Times New Roman" w:cs="Times New Roman"/>
          <w:b/>
          <w:bCs/>
        </w:rPr>
        <w:t>Motion Architecture: Intermittent vs. Continuous</w:t>
      </w:r>
    </w:p>
    <w:p w:rsidR="008C1E2F" w:rsidRDefault="008C1E2F" w:rsidP="008C1E2F">
      <w:pPr>
        <w:spacing w:line="360" w:lineRule="auto"/>
        <w:rPr>
          <w:rFonts w:cs="Times New Roman"/>
        </w:rPr>
      </w:pPr>
      <w:r>
        <w:rPr>
          <w:rFonts w:eastAsia="Times New Roman" w:cs="Times New Roman"/>
        </w:rPr>
        <w:t xml:space="preserve">Contemporary VFFS systems employ two distinct motion architectures. Intermittent motion systems, characterized by discrete stopping periods for filling and sealing operations, offer superior precision for applications requiring gravimetric verification but limit maximum throughput. Continuous motion systems, wherein sealing jaws track the moving film during the sealing cycle, achieve higher production rates (exceeding 12 packs per minute) but demand complex control algorithms for maintaining seal integrity during relative motion [8]. The selection between these </w:t>
      </w:r>
      <w:r>
        <w:rPr>
          <w:rFonts w:eastAsia="Times New Roman" w:cs="Times New Roman"/>
        </w:rPr>
        <w:lastRenderedPageBreak/>
        <w:t>architectures involves trade-offs between speed, precision, and mechanical complexity, with intermittent systems predominating in applications requiring high dosing accuracy.</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2.1.2 Volumetric vs. Gravimetric Dosing: A Comparative Analysis</w:t>
      </w:r>
    </w:p>
    <w:p w:rsidR="008C1E2F" w:rsidRDefault="008C1E2F" w:rsidP="008C1E2F">
      <w:pPr>
        <w:spacing w:line="360" w:lineRule="auto"/>
        <w:rPr>
          <w:rFonts w:cs="Times New Roman"/>
        </w:rPr>
      </w:pPr>
      <w:r>
        <w:rPr>
          <w:rFonts w:eastAsia="Times New Roman" w:cs="Times New Roman"/>
        </w:rPr>
        <w:t>The dosing unit constitutes the critical precision determining subsystem within the VFFS architecture. In industrial bulk solids handling, two fundamental technical philosophies govern product metering: gravimetric dosing, which measures mass directly, and volumetric dosing, which measures geometric displacement. The selection between these methodologies represents a strategic engineering decision based on the trade-off between throughput speed (Packs Per Minute, PPM) and absolute mass accuracy</w:t>
      </w:r>
      <w:r>
        <w:rPr>
          <w:rFonts w:eastAsia="Times New Roman" w:cs="Times New Roman" w:hint="cs"/>
          <w:rtl/>
        </w:rPr>
        <w:t xml:space="preserve"> </w:t>
      </w:r>
      <m:oMath>
        <m:d>
          <m:dPr>
            <m:ctrlPr>
              <w:rPr>
                <w:rFonts w:ascii="Cambria Math" w:eastAsia="Cambria Math" w:hAnsi="Cambria Math" w:cs="Cambria Math"/>
              </w:rPr>
            </m:ctrlPr>
          </m:dPr>
          <m:e>
            <m:r>
              <m:rPr>
                <m:sty m:val="p"/>
              </m:rPr>
              <w:rPr>
                <w:rFonts w:ascii="Cambria Math" w:eastAsia="Cambria Math" w:hAnsi="Cambria Math" w:cs="Cambria Math"/>
              </w:rPr>
              <m:t>±σ</m:t>
            </m:r>
          </m:e>
        </m:d>
      </m:oMath>
      <w:r>
        <w:rPr>
          <w:rFonts w:eastAsia="Times New Roman" w:cs="Times New Roman"/>
        </w:rPr>
        <w:t xml:space="preserve"> [9].</w:t>
      </w:r>
    </w:p>
    <w:p w:rsidR="008C1E2F" w:rsidRDefault="008C1E2F" w:rsidP="008C1E2F">
      <w:pPr>
        <w:spacing w:line="360" w:lineRule="auto"/>
        <w:rPr>
          <w:rFonts w:cs="Times New Roman"/>
        </w:rPr>
      </w:pPr>
      <w:r>
        <w:rPr>
          <w:rFonts w:eastAsia="Times New Roman" w:cs="Times New Roman"/>
        </w:rPr>
        <w:t>While volumetric metering encompasses various mechanisms including cup fillers for free-flowing solids and piston fillers for viscous liquids the vertical auger filler remains the predominant standard for powdered and granular materials. Conversely, gravimetric systems, primarily realized through linear scales and multi head weighers, offer significant economic advantages by drastically minimizing "product give-away" (overfilling). This reduction in material waste is highly desirable for expensive commodities, albeit achieved at the cost of increased mechanical complexity and reduced maximum throughput.</w:t>
      </w: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r>
        <w:rPr>
          <w:rFonts w:eastAsia="Times New Roman" w:cs="Times New Roman"/>
          <w:b/>
          <w:bCs/>
        </w:rPr>
        <w:t>Gravimetric Dosing (Weight-Based Systems)</w:t>
      </w:r>
    </w:p>
    <w:p w:rsidR="008C1E2F" w:rsidRDefault="008C1E2F" w:rsidP="008C1E2F">
      <w:pPr>
        <w:spacing w:line="360" w:lineRule="auto"/>
        <w:rPr>
          <w:rFonts w:cs="Times New Roman"/>
        </w:rPr>
      </w:pPr>
      <w:r>
        <w:rPr>
          <w:rFonts w:eastAsia="Times New Roman" w:cs="Times New Roman"/>
        </w:rPr>
        <w:t xml:space="preserve">Gravimetric dosing systems employ high-precision load cells to measure product mass directly, either through checkweighing of completed packages or net-weight control during the filling process. The fundamental advantage of this approach lies in its independence from material bulk density variation, enabling consistent achievement of </w:t>
      </w:r>
      <m:oMath>
        <m:r>
          <m:rPr>
            <m:sty m:val="p"/>
          </m:rPr>
          <w:rPr>
            <w:rFonts w:ascii="Cambria Math" w:eastAsia="Cambria Math" w:hAnsi="Cambria Math" w:cs="Cambria Math"/>
          </w:rPr>
          <m:t>( 0.1%-0.5% )</m:t>
        </m:r>
      </m:oMath>
      <w:r>
        <w:rPr>
          <w:rFonts w:eastAsia="Times New Roman" w:cs="Times New Roman"/>
        </w:rPr>
        <w:t>accuracy regardless of changes in material compaction, moisture content, or particle size distribution [10].</w:t>
      </w:r>
    </w:p>
    <w:p w:rsidR="008C1E2F" w:rsidRDefault="008C1E2F" w:rsidP="008C1E2F">
      <w:pPr>
        <w:spacing w:line="360" w:lineRule="auto"/>
        <w:rPr>
          <w:rFonts w:cs="Times New Roman"/>
        </w:rPr>
      </w:pPr>
      <w:r>
        <w:rPr>
          <w:rFonts w:eastAsia="Times New Roman" w:cs="Times New Roman"/>
        </w:rPr>
        <w:t xml:space="preserve">Advanced gravimetric implementations utilize two speed filling strategies (bulk and dribble/drip phases): rapid dispensing to a predetermined threshold (typically 90-95% </w:t>
      </w:r>
      <w:r>
        <w:rPr>
          <w:rFonts w:eastAsia="Times New Roman" w:cs="Times New Roman"/>
        </w:rPr>
        <w:lastRenderedPageBreak/>
        <w:t>of target mass), followed by slow, controlled filling to the final target weight. However, gravimetric systems are inherently constrained by the mechanical settling time required for load cell signal stabilization and the associated control system latency. These dynamic limitations render purely gravimetric systems unsuitable for high-speed VFFS lines operating at cycle times below 3.0 seconds, where the stabilization delay creates a severe production bottleneck [11]. Additionally, the complexity of load cell integration, calibration requirements, and environmental vibration isolation increases both initial capital cost and ongoing maintenance demands [12].</w:t>
      </w: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r>
        <w:rPr>
          <w:rFonts w:eastAsia="Times New Roman" w:cs="Times New Roman"/>
          <w:b/>
          <w:bCs/>
        </w:rPr>
        <w:t>Volumetric Dosing (Auger Filling Systems)</w:t>
      </w:r>
    </w:p>
    <w:p w:rsidR="008C1E2F" w:rsidRDefault="008C1E2F" w:rsidP="008C1E2F">
      <w:pPr>
        <w:spacing w:line="360" w:lineRule="auto"/>
        <w:rPr>
          <w:rFonts w:cs="Times New Roman"/>
        </w:rPr>
      </w:pPr>
      <w:r>
        <w:rPr>
          <w:rFonts w:eastAsia="Times New Roman" w:cs="Times New Roman"/>
        </w:rPr>
        <w:t>Volumetric dosing systems, predominantly realized through vertical Archimedean screw (auger) mechanisms, operate on the principle of geometric displacement. The system assumes that each revolution of the helical auger displaces a constant, mathematically defined volume of material. The theoretical mass delivered per revolution (</w:t>
      </w:r>
      <m:oMath>
        <m:sSub>
          <m:sSubPr>
            <m:ctrlPr>
              <w:rPr>
                <w:rFonts w:ascii="Cambria Math" w:eastAsia="Cambria Math" w:hAnsi="Cambria Math" w:cs="Cambria Math"/>
              </w:rPr>
            </m:ctrlPr>
          </m:sSubPr>
          <m:e>
            <m:r>
              <m:rPr>
                <m:sty m:val="p"/>
              </m:rPr>
              <w:rPr>
                <w:rFonts w:ascii="Cambria Math" w:eastAsia="Cambria Math" w:hAnsi="Cambria Math" w:cs="Cambria Math"/>
              </w:rPr>
              <m:t>m</m:t>
            </m:r>
          </m:e>
          <m:sub>
            <m:r>
              <m:rPr>
                <m:sty m:val="p"/>
              </m:rPr>
              <w:rPr>
                <w:rFonts w:ascii="Cambria Math" w:eastAsia="Cambria Math" w:hAnsi="Cambria Math" w:cs="Cambria Math"/>
              </w:rPr>
              <m:t>rev</m:t>
            </m:r>
          </m:sub>
        </m:sSub>
      </m:oMath>
      <w:r>
        <w:rPr>
          <w:rFonts w:eastAsia="Times New Roman" w:cs="Times New Roman"/>
        </w:rPr>
        <w:t>) is determined by the product of the effective flight volume (</w:t>
      </w:r>
      <m:oMath>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eff</m:t>
            </m:r>
          </m:sub>
        </m:sSub>
      </m:oMath>
      <w:r>
        <w:rPr>
          <w:rFonts w:eastAsia="Times New Roman" w:cs="Times New Roman"/>
        </w:rPr>
        <w:t>) and the operational bulk density (</w:t>
      </w:r>
      <m:oMath>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oMath>
      <w:r>
        <w:rPr>
          <w:rFonts w:eastAsia="Times New Roman" w:cs="Times New Roman"/>
        </w:rPr>
        <w:t>):</w:t>
      </w:r>
    </w:p>
    <w:p w:rsidR="008C1E2F" w:rsidRDefault="008C1E2F" w:rsidP="008C1E2F">
      <w:pPr>
        <w:spacing w:line="360" w:lineRule="auto"/>
        <w:rPr>
          <w:rFonts w:cs="Times New Roman"/>
        </w:rPr>
      </w:pPr>
      <m:oMathPara>
        <m:oMath>
          <m:sSub>
            <m:sSubPr>
              <m:ctrlPr>
                <w:rPr>
                  <w:rFonts w:ascii="Cambria Math" w:eastAsia="Cambria Math" w:hAnsi="Cambria Math" w:cs="Cambria Math"/>
                </w:rPr>
              </m:ctrlPr>
            </m:sSubPr>
            <m:e>
              <m:r>
                <m:rPr>
                  <m:sty m:val="p"/>
                </m:rPr>
                <w:rPr>
                  <w:rFonts w:ascii="Cambria Math" w:eastAsia="Cambria Math" w:hAnsi="Cambria Math" w:cs="Cambria Math"/>
                </w:rPr>
                <m:t>m</m:t>
              </m:r>
            </m:e>
            <m:sub>
              <m:r>
                <m:rPr>
                  <m:sty m:val="p"/>
                </m:rPr>
                <w:rPr>
                  <w:rFonts w:ascii="Cambria Math" w:eastAsia="Cambria Math" w:hAnsi="Cambria Math" w:cs="Cambria Math"/>
                </w:rPr>
                <m:t>rev</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eff</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π</m:t>
              </m:r>
            </m:num>
            <m:den>
              <m:r>
                <m:rPr>
                  <m:sty m:val="p"/>
                </m:rPr>
                <w:rPr>
                  <w:rFonts w:ascii="Cambria Math" w:eastAsia="Cambria Math" w:hAnsi="Cambria Math" w:cs="Cambria Math"/>
                </w:rPr>
                <m:t>4</m:t>
              </m:r>
            </m:den>
          </m:f>
          <m:r>
            <m:rPr>
              <m:sty m:val="p"/>
            </m:rPr>
            <w:rPr>
              <w:rFonts w:ascii="Cambria Math" w:eastAsia="Cambria Math" w:hAnsi="Cambria Math" w:cs="Cambria Math"/>
            </w:rPr>
            <m:t>×(</m:t>
          </m:r>
          <m:sSup>
            <m:sSupPr>
              <m:ctrlPr>
                <w:rPr>
                  <w:rFonts w:ascii="Cambria Math" w:eastAsia="Cambria Math" w:hAnsi="Cambria Math" w:cs="Cambria Math"/>
                </w:rPr>
              </m:ctrlPr>
            </m:sSupPr>
            <m:e>
              <m:r>
                <m:rPr>
                  <m:sty m:val="p"/>
                </m:rPr>
                <w:rPr>
                  <w:rFonts w:ascii="Cambria Math" w:eastAsia="Cambria Math" w:hAnsi="Cambria Math" w:cs="Cambria Math"/>
                </w:rPr>
                <m:t>D</m:t>
              </m:r>
            </m:e>
            <m:sup>
              <m:r>
                <m:rPr>
                  <m:sty m:val="p"/>
                </m:rPr>
                <w:rPr>
                  <w:rFonts w:ascii="Cambria Math" w:eastAsia="Cambria Math" w:hAnsi="Cambria Math" w:cs="Cambria Math"/>
                </w:rPr>
                <m:t>2</m:t>
              </m:r>
            </m:sup>
          </m:sSup>
          <m:r>
            <m:rPr>
              <m:sty m:val="p"/>
            </m:rPr>
            <w:rPr>
              <w:rFonts w:ascii="Cambria Math" w:eastAsia="Cambria Math" w:hAnsi="Cambria Math" w:cs="Cambria Math"/>
            </w:rPr>
            <m:t>-</m:t>
          </m:r>
          <m:sSubSup>
            <m:sSubSupPr>
              <m:ctrlPr>
                <w:rPr>
                  <w:rFonts w:ascii="Cambria Math" w:eastAsia="Cambria Math" w:hAnsi="Cambria Math" w:cs="Cambria Math"/>
                </w:rPr>
              </m:ctrlPr>
            </m:sSubSupPr>
            <m:e>
              <m:r>
                <m:rPr>
                  <m:sty m:val="p"/>
                </m:rPr>
                <w:rPr>
                  <w:rFonts w:ascii="Cambria Math" w:eastAsia="Cambria Math" w:hAnsi="Cambria Math" w:cs="Cambria Math"/>
                </w:rPr>
                <m:t>D</m:t>
              </m:r>
            </m:e>
            <m:sub>
              <m:r>
                <m:rPr>
                  <m:sty m:val="p"/>
                </m:rPr>
                <w:rPr>
                  <w:rFonts w:ascii="Cambria Math" w:eastAsia="Cambria Math" w:hAnsi="Cambria Math" w:cs="Cambria Math"/>
                </w:rPr>
                <m:t>s</m:t>
              </m:r>
            </m:sub>
            <m:sup>
              <m:r>
                <m:rPr>
                  <m:sty m:val="p"/>
                </m:rPr>
                <w:rPr>
                  <w:rFonts w:ascii="Cambria Math" w:eastAsia="Cambria Math" w:hAnsi="Cambria Math" w:cs="Cambria Math"/>
                </w:rPr>
                <m:t>2</m:t>
              </m:r>
            </m:sup>
          </m:sSubSup>
          <m:r>
            <m:rPr>
              <m:sty m:val="p"/>
            </m:rPr>
            <w:rPr>
              <w:rFonts w:ascii="Cambria Math" w:eastAsia="Cambria Math" w:hAnsi="Cambria Math" w:cs="Cambria Math"/>
            </w:rPr>
            <m:t>)×P×</m:t>
          </m:r>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oMath>
      </m:oMathPara>
    </w:p>
    <w:p w:rsidR="008C1E2F" w:rsidRDefault="008C1E2F" w:rsidP="008C1E2F">
      <w:pPr>
        <w:spacing w:line="360" w:lineRule="auto"/>
        <w:rPr>
          <w:rFonts w:cs="Times New Roman"/>
        </w:rPr>
      </w:pPr>
      <w:r>
        <w:rPr>
          <w:rFonts w:eastAsia="Times New Roman" w:cs="Times New Roman"/>
        </w:rPr>
        <w:t xml:space="preserve">Where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r>
          <m:rPr>
            <m:sty m:val="p"/>
          </m:rPr>
          <w:rPr>
            <w:rFonts w:ascii="Cambria Math" w:eastAsia="Cambria Math" w:hAnsi="Cambria Math" w:cs="Cambria Math"/>
          </w:rPr>
          <m:t xml:space="preserve"> </m:t>
        </m:r>
      </m:oMath>
      <w:r>
        <w:rPr>
          <w:rFonts w:eastAsia="Times New Roman" w:cs="Times New Roman"/>
        </w:rPr>
        <w:t xml:space="preserve">represents the volumetric efficiency, </w:t>
      </w:r>
      <m:oMath>
        <m:r>
          <m:rPr>
            <m:sty m:val="p"/>
          </m:rPr>
          <w:rPr>
            <w:rFonts w:ascii="Cambria Math" w:eastAsia="Cambria Math" w:hAnsi="Cambria Math" w:cs="Cambria Math"/>
          </w:rPr>
          <m:t>D</m:t>
        </m:r>
      </m:oMath>
      <w:r>
        <w:rPr>
          <w:rFonts w:eastAsia="Times New Roman" w:cs="Times New Roman"/>
        </w:rPr>
        <w:t xml:space="preserve"> the auger outer diameter, </w:t>
      </w:r>
      <m:oMath>
        <m:sSub>
          <m:sSubPr>
            <m:ctrlPr>
              <w:rPr>
                <w:rFonts w:ascii="Cambria Math" w:eastAsia="Cambria Math" w:hAnsi="Cambria Math" w:cs="Cambria Math"/>
              </w:rPr>
            </m:ctrlPr>
          </m:sSubPr>
          <m:e>
            <m:r>
              <m:rPr>
                <m:sty m:val="p"/>
              </m:rPr>
              <w:rPr>
                <w:rFonts w:ascii="Cambria Math" w:eastAsia="Cambria Math" w:hAnsi="Cambria Math" w:cs="Cambria Math"/>
              </w:rPr>
              <m:t>D</m:t>
            </m:r>
          </m:e>
          <m:sub>
            <m:r>
              <m:rPr>
                <m:sty m:val="p"/>
              </m:rPr>
              <w:rPr>
                <w:rFonts w:ascii="Cambria Math" w:eastAsia="Cambria Math" w:hAnsi="Cambria Math" w:cs="Cambria Math"/>
              </w:rPr>
              <m:t>s</m:t>
            </m:r>
          </m:sub>
        </m:sSub>
      </m:oMath>
      <w:r>
        <w:rPr>
          <w:rFonts w:eastAsia="Times New Roman" w:cs="Times New Roman"/>
        </w:rPr>
        <w:t xml:space="preserve"> the shaft diameter, and </w:t>
      </w:r>
      <m:oMath>
        <m:r>
          <m:rPr>
            <m:sty m:val="p"/>
          </m:rPr>
          <w:rPr>
            <w:rFonts w:ascii="Cambria Math" w:eastAsia="Cambria Math" w:hAnsi="Cambria Math" w:cs="Cambria Math"/>
          </w:rPr>
          <m:t>P</m:t>
        </m:r>
      </m:oMath>
      <w:r>
        <w:rPr>
          <w:rFonts w:eastAsia="Times New Roman" w:cs="Times New Roman"/>
        </w:rPr>
        <w:t xml:space="preserve"> the pitch [13].</w:t>
      </w:r>
    </w:p>
    <w:p w:rsidR="008C1E2F" w:rsidRDefault="008C1E2F" w:rsidP="008C1E2F">
      <w:pPr>
        <w:spacing w:line="360" w:lineRule="auto"/>
        <w:rPr>
          <w:rFonts w:cs="Times New Roman"/>
        </w:rPr>
      </w:pPr>
      <w:r>
        <w:rPr>
          <w:rFonts w:eastAsia="Times New Roman" w:cs="Times New Roman"/>
        </w:rPr>
        <w:t xml:space="preserve">The primary advantages of auger filling include exceptional kinematic speed (achieving up to more than 120 PPM), mechanical simplicity with minimal moving parts, continuous flow control through direct servo motor coupling, and hygienic design suitable for food-grade applications. The direct coupling of the auger shaft to high-torque servo motors enables precise angular displacement control </w:t>
      </w:r>
      <m:oMath>
        <m:d>
          <m:dPr>
            <m:ctrlPr>
              <w:rPr>
                <w:rFonts w:ascii="Cambria Math" w:eastAsia="Cambria Math" w:hAnsi="Cambria Math" w:cs="Cambria Math"/>
              </w:rPr>
            </m:ctrlPr>
          </m:dPr>
          <m:e>
            <m:r>
              <m:rPr>
                <m:sty m:val="p"/>
              </m:rPr>
              <w:rPr>
                <w:rFonts w:ascii="Cambria Math" w:eastAsia="Cambria Math" w:hAnsi="Cambria Math" w:cs="Cambria Math"/>
              </w:rPr>
              <m:t>θ</m:t>
            </m:r>
          </m:e>
        </m:d>
        <m:r>
          <m:rPr>
            <m:sty m:val="p"/>
          </m:rPr>
          <w:rPr>
            <w:rFonts w:ascii="Cambria Math" w:eastAsia="Cambria Math" w:hAnsi="Cambria Math" w:cs="Cambria Math"/>
          </w:rPr>
          <m:t xml:space="preserve"> </m:t>
        </m:r>
      </m:oMath>
      <w:r>
        <w:rPr>
          <w:rFonts w:eastAsia="Times New Roman" w:cs="Times New Roman"/>
        </w:rPr>
        <w:t>with instantaneous start-stop functionality, eliminating the latency inherent in weight-based measurement systems [14].</w:t>
      </w:r>
    </w:p>
    <w:p w:rsidR="008C1E2F" w:rsidRDefault="008C1E2F" w:rsidP="008C1E2F">
      <w:pPr>
        <w:spacing w:line="360" w:lineRule="auto"/>
        <w:rPr>
          <w:rFonts w:cs="Times New Roman"/>
        </w:rPr>
      </w:pPr>
      <w:r>
        <w:rPr>
          <w:rFonts w:eastAsia="Times New Roman" w:cs="Times New Roman"/>
        </w:rPr>
        <w:t xml:space="preserve">However, the critical vulnerability of volumetric dosing lies in its fundamental assumption of bulk density constancy. For granular materials such as Sodium </w:t>
      </w:r>
      <w:r>
        <w:rPr>
          <w:rFonts w:eastAsia="Times New Roman" w:cs="Times New Roman"/>
        </w:rPr>
        <w:lastRenderedPageBreak/>
        <w:t xml:space="preserve">Chloride </w:t>
      </w:r>
      <m:oMath>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r>
          <m:rPr>
            <m:sty m:val="p"/>
          </m:rPr>
          <w:rPr>
            <w:rFonts w:ascii="Cambria Math" w:eastAsia="Cambria Math" w:hAnsi="Cambria Math" w:cs="Cambria Math"/>
          </w:rPr>
          <m:t xml:space="preserve">≈1300 </m:t>
        </m:r>
        <m:f>
          <m:fPr>
            <m:ctrlPr>
              <w:rPr>
                <w:rFonts w:ascii="Cambria Math" w:eastAsia="Cambria Math" w:hAnsi="Cambria Math" w:cs="Cambria Math"/>
              </w:rPr>
            </m:ctrlPr>
          </m:fPr>
          <m:num>
            <m:r>
              <m:rPr>
                <m:sty m:val="p"/>
              </m:rPr>
              <w:rPr>
                <w:rFonts w:ascii="Cambria Math" w:eastAsia="Cambria Math" w:hAnsi="Cambria Math" w:cs="Cambria Math"/>
              </w:rPr>
              <m:t>kg</m:t>
            </m:r>
          </m:num>
          <m:den>
            <m:sSup>
              <m:sSupPr>
                <m:ctrlPr>
                  <w:rPr>
                    <w:rFonts w:ascii="Cambria Math" w:eastAsia="Cambria Math" w:hAnsi="Cambria Math" w:cs="Cambria Math"/>
                  </w:rPr>
                </m:ctrlPr>
              </m:sSupPr>
              <m:e>
                <m:r>
                  <m:rPr>
                    <m:sty m:val="p"/>
                  </m:rPr>
                  <w:rPr>
                    <w:rFonts w:ascii="Cambria Math" w:eastAsia="Cambria Math" w:hAnsi="Cambria Math" w:cs="Cambria Math"/>
                  </w:rPr>
                  <m:t>m</m:t>
                </m:r>
              </m:e>
              <m:sup>
                <m:r>
                  <m:rPr>
                    <m:sty m:val="p"/>
                  </m:rPr>
                  <w:rPr>
                    <w:rFonts w:ascii="Cambria Math" w:eastAsia="Cambria Math" w:hAnsi="Cambria Math" w:cs="Cambria Math"/>
                  </w:rPr>
                  <m:t>3</m:t>
                </m:r>
              </m:sup>
            </m:sSup>
          </m:den>
        </m:f>
        <m:r>
          <m:rPr>
            <m:sty m:val="p"/>
          </m:rPr>
          <w:rPr>
            <w:rFonts w:ascii="Cambria Math" w:eastAsia="Cambria Math" w:hAnsi="Cambria Math" w:cs="Cambria Math"/>
          </w:rPr>
          <m:t xml:space="preserve"> )</m:t>
        </m:r>
      </m:oMath>
      <w:r>
        <w:rPr>
          <w:rFonts w:cs="Times New Roman"/>
        </w:rPr>
        <w:t>,</w:t>
      </w:r>
      <w:r>
        <w:rPr>
          <w:rFonts w:eastAsia="Times New Roman" w:cs="Times New Roman"/>
        </w:rPr>
        <w:t xml:space="preserve"> aeration during hopper discharge, vibration-induced compaction, and particle segregation can cause density fluctuations of </w:t>
      </w:r>
      <m:oMath>
        <m:r>
          <m:rPr>
            <m:sty m:val="p"/>
          </m:rPr>
          <w:rPr>
            <w:rFonts w:ascii="Cambria Math" w:eastAsia="Cambria Math" w:hAnsi="Cambria Math" w:cs="Cambria Math"/>
          </w:rPr>
          <m:t>±5-10%</m:t>
        </m:r>
      </m:oMath>
      <w:r>
        <w:rPr>
          <w:rFonts w:cs="Times New Roman"/>
        </w:rPr>
        <w:t>,</w:t>
      </w:r>
      <w:r>
        <w:rPr>
          <w:rFonts w:eastAsia="Times New Roman" w:cs="Times New Roman"/>
        </w:rPr>
        <w:t xml:space="preserve"> directly propagating to mass dosing errors. This "mass-drift" phenomenon, extensively documented in powder handling literature, historically limited volumetric system accuracy to </w:t>
      </w:r>
      <m:oMath>
        <m:r>
          <m:rPr>
            <m:sty m:val="p"/>
          </m:rPr>
          <w:rPr>
            <w:rFonts w:ascii="Cambria Math" w:eastAsia="Cambria Math" w:hAnsi="Cambria Math" w:cs="Cambria Math"/>
          </w:rPr>
          <m:t>±0.5-2.0%</m:t>
        </m:r>
      </m:oMath>
      <w:r>
        <w:rPr>
          <w:rFonts w:eastAsia="Times New Roman" w:cs="Times New Roman"/>
        </w:rPr>
        <w:t xml:space="preserve"> without external compensation [15].</w:t>
      </w:r>
    </w:p>
    <w:p w:rsidR="008C1E2F" w:rsidRDefault="008C1E2F" w:rsidP="008C1E2F">
      <w:pPr>
        <w:spacing w:line="360" w:lineRule="auto"/>
        <w:rPr>
          <w:rFonts w:cs="Times New Roman"/>
          <w:b/>
        </w:rPr>
      </w:pP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r>
        <w:rPr>
          <w:rFonts w:eastAsia="Times New Roman" w:cs="Times New Roman"/>
          <w:b/>
          <w:bCs/>
        </w:rPr>
        <w:t>Comparative Summary and Hybrid Approaches</w:t>
      </w:r>
    </w:p>
    <w:p w:rsidR="008C1E2F" w:rsidRDefault="008C1E2F" w:rsidP="008C1E2F">
      <w:pPr>
        <w:spacing w:line="360" w:lineRule="auto"/>
        <w:rPr>
          <w:rFonts w:cs="Times New Roman"/>
        </w:rPr>
      </w:pPr>
      <w:r>
        <w:rPr>
          <w:rFonts w:eastAsia="Times New Roman" w:cs="Times New Roman"/>
        </w:rPr>
        <w:t>Table 2.1 presents a systematic comparison of dosing methodologies:</w:t>
      </w:r>
    </w:p>
    <w:tbl>
      <w:tblPr>
        <w:tblW w:w="0" w:type="auto"/>
        <w:tblCellSpacing w:w="15" w:type="dxa"/>
        <w:tblCellMar>
          <w:left w:w="0" w:type="dxa"/>
          <w:right w:w="0" w:type="dxa"/>
        </w:tblCellMar>
        <w:tblLook w:val="04A0" w:firstRow="1" w:lastRow="0" w:firstColumn="1" w:lastColumn="0" w:noHBand="0" w:noVBand="1"/>
      </w:tblPr>
      <w:tblGrid>
        <w:gridCol w:w="2316"/>
        <w:gridCol w:w="2870"/>
        <w:gridCol w:w="3104"/>
      </w:tblGrid>
      <w:tr w:rsidR="008C1E2F" w:rsidTr="00F561AD">
        <w:trPr>
          <w:tblHeade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Characteristic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Volumetric (Auger)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b/>
                <w:bCs/>
              </w:rPr>
              <w:t>Gravimetric (Net-Weigh)</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Operating Principle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Geometric Displacement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Direct Mass Measurement</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Accuracy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m:oMath>
              <m:r>
                <m:rPr>
                  <m:sty m:val="p"/>
                </m:rPr>
                <w:rPr>
                  <w:rFonts w:ascii="Cambria Math" w:eastAsia="Cambria Math" w:hAnsi="Cambria Math" w:cs="Cambria Math"/>
                </w:rPr>
                <m:t>±0.5-2.0%</m:t>
              </m:r>
            </m:oMath>
            <w:r>
              <w:rPr>
                <w:rFonts w:eastAsia="Times New Roman" w:cs="Times New Roman"/>
              </w:rPr>
              <w:t xml:space="preserve"> (density-dependent)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m:oMath>
              <m:r>
                <m:rPr>
                  <m:sty m:val="p"/>
                </m:rPr>
                <w:rPr>
                  <w:rFonts w:ascii="Cambria Math" w:eastAsia="Cambria Math" w:hAnsi="Cambria Math" w:cs="Cambria Math"/>
                </w:rPr>
                <m:t xml:space="preserve">0.1%-0.5% </m:t>
              </m:r>
            </m:oMath>
            <w:r>
              <w:rPr>
                <w:rFonts w:eastAsia="Times New Roman" w:cs="Times New Roman"/>
              </w:rPr>
              <w:t xml:space="preserve"> (absolute)</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Throughput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High (up to 150 PPM)</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Moderate (up to 40 PPM)</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Density Sensitivity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High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None</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Initial Cost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Lower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Higher</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Maintenance Complexity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Low (minimal moving parts)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High (load cell calibration)</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lastRenderedPageBreak/>
              <w:t>Material Suitability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Free-flowing powders &amp; granules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Variable density materials, precision chemicals</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Control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Open-loop or compensated closed-loop</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Inherent closed-loop feedback</w:t>
            </w:r>
          </w:p>
        </w:tc>
      </w:tr>
    </w:tbl>
    <w:p w:rsidR="008C1E2F" w:rsidRDefault="008C1E2F" w:rsidP="008C1E2F">
      <w:pPr>
        <w:spacing w:line="360" w:lineRule="auto"/>
        <w:rPr>
          <w:rFonts w:cs="Times New Roman"/>
        </w:rPr>
      </w:pPr>
      <w:r>
        <w:rPr>
          <w:rFonts w:eastAsia="Times New Roman" w:cs="Times New Roman"/>
        </w:rPr>
        <w:t>Table 2.1: Comparative Analysis of Volumetric and Gravimetric Dosing Technologies</w:t>
      </w:r>
    </w:p>
    <w:p w:rsidR="008C1E2F" w:rsidRDefault="008C1E2F" w:rsidP="008C1E2F">
      <w:pPr>
        <w:spacing w:line="360" w:lineRule="auto"/>
        <w:rPr>
          <w:rFonts w:cs="Times New Roman"/>
          <w:rtl/>
        </w:rPr>
      </w:pPr>
    </w:p>
    <w:p w:rsidR="008C1E2F" w:rsidRDefault="008C1E2F" w:rsidP="008C1E2F">
      <w:pPr>
        <w:spacing w:line="360" w:lineRule="auto"/>
        <w:rPr>
          <w:rFonts w:cs="Times New Roman"/>
          <w:rtl/>
        </w:rPr>
      </w:pPr>
      <w:r>
        <w:rPr>
          <w:rFonts w:eastAsia="Times New Roman" w:cs="Times New Roman"/>
        </w:rPr>
        <w:t>Table 2.2: Advantages and Limitations of Volumetric vs. Gravimetric Dosing</w:t>
      </w:r>
    </w:p>
    <w:tbl>
      <w:tblPr>
        <w:tblW w:w="0" w:type="auto"/>
        <w:jc w:val="center"/>
        <w:tblCellSpacing w:w="15" w:type="dxa"/>
        <w:tblCellMar>
          <w:left w:w="0" w:type="dxa"/>
          <w:right w:w="0" w:type="dxa"/>
        </w:tblCellMar>
        <w:tblLook w:val="04A0" w:firstRow="1" w:lastRow="0" w:firstColumn="1" w:lastColumn="0" w:noHBand="0" w:noVBand="1"/>
      </w:tblPr>
      <w:tblGrid>
        <w:gridCol w:w="1928"/>
        <w:gridCol w:w="3131"/>
        <w:gridCol w:w="3231"/>
      </w:tblGrid>
      <w:tr w:rsidR="008C1E2F" w:rsidTr="00F561AD">
        <w:trPr>
          <w:tblHeader/>
          <w:tblCellSpacing w:w="15" w:type="dxa"/>
          <w:jc w:val="center"/>
        </w:trPr>
        <w:tc>
          <w:tcPr>
            <w:tcW w:w="188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Dosing Technology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Advantages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b/>
                <w:bCs/>
              </w:rPr>
              <w:t>Limitations (Disadvantages)</w:t>
            </w:r>
          </w:p>
        </w:tc>
      </w:tr>
      <w:tr w:rsidR="008C1E2F" w:rsidTr="00F561AD">
        <w:trPr>
          <w:tblCellSpacing w:w="15" w:type="dxa"/>
          <w:jc w:val="center"/>
        </w:trPr>
        <w:tc>
          <w:tcPr>
            <w:tcW w:w="188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Volumetric Dosing</w:t>
            </w:r>
            <w:r>
              <w:rPr>
                <w:rFonts w:eastAsia="Times New Roman" w:cs="Times New Roman"/>
              </w:rPr>
              <w:t xml:space="preserve"> (e.g., Auger Fillers)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 High Speed:</w:t>
            </w:r>
            <w:r>
              <w:rPr>
                <w:rFonts w:eastAsia="Times New Roman" w:cs="Times New Roman"/>
              </w:rPr>
              <w:t xml:space="preserve"> Achieves very high production rates due to continuous operation and simple control logic.</w:t>
            </w:r>
          </w:p>
          <w:p w:rsidR="008C1E2F" w:rsidRDefault="008C1E2F" w:rsidP="00F561AD">
            <w:pPr>
              <w:spacing w:line="360" w:lineRule="auto"/>
              <w:jc w:val="center"/>
              <w:rPr>
                <w:rFonts w:cs="Times New Roman"/>
              </w:rPr>
            </w:pPr>
            <w:r>
              <w:rPr>
                <w:rFonts w:eastAsia="Times New Roman" w:cs="Times New Roman"/>
              </w:rPr>
              <w:br/>
            </w:r>
          </w:p>
          <w:p w:rsidR="008C1E2F" w:rsidRDefault="008C1E2F" w:rsidP="00F561AD">
            <w:pPr>
              <w:spacing w:line="360" w:lineRule="auto"/>
              <w:jc w:val="center"/>
              <w:rPr>
                <w:rFonts w:cs="Times New Roman"/>
              </w:rPr>
            </w:pPr>
            <w:r>
              <w:rPr>
                <w:rFonts w:eastAsia="Times New Roman" w:cs="Times New Roman"/>
                <w:b/>
                <w:bCs/>
              </w:rPr>
              <w:t>• Cost-Effective:</w:t>
            </w:r>
            <w:r>
              <w:rPr>
                <w:rFonts w:eastAsia="Times New Roman" w:cs="Times New Roman"/>
              </w:rPr>
              <w:t xml:space="preserve"> Lower initial capital and maintenance costs, ideal for high-volume/lower-value products.</w:t>
            </w:r>
          </w:p>
          <w:p w:rsidR="008C1E2F" w:rsidRDefault="008C1E2F" w:rsidP="00F561AD">
            <w:pPr>
              <w:spacing w:line="360" w:lineRule="auto"/>
              <w:jc w:val="center"/>
              <w:rPr>
                <w:rFonts w:cs="Times New Roman"/>
              </w:rPr>
            </w:pPr>
            <w:r>
              <w:rPr>
                <w:rFonts w:eastAsia="Times New Roman" w:cs="Times New Roman"/>
              </w:rPr>
              <w:lastRenderedPageBreak/>
              <w:br/>
            </w:r>
          </w:p>
          <w:p w:rsidR="008C1E2F" w:rsidRDefault="008C1E2F" w:rsidP="00F561AD">
            <w:pPr>
              <w:spacing w:line="360" w:lineRule="auto"/>
              <w:jc w:val="center"/>
              <w:rPr>
                <w:rFonts w:cs="Times New Roman"/>
              </w:rPr>
            </w:pPr>
            <w:r>
              <w:rPr>
                <w:rFonts w:eastAsia="Times New Roman" w:cs="Times New Roman"/>
                <w:b/>
                <w:bCs/>
              </w:rPr>
              <w:t>• Simplicity:</w:t>
            </w:r>
            <w:r>
              <w:rPr>
                <w:rFonts w:eastAsia="Times New Roman" w:cs="Times New Roman"/>
              </w:rPr>
              <w:t xml:space="preserve"> Straightforward operational principle requiring less complex calibration for materials with stable density.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b/>
                <w:bCs/>
              </w:rPr>
              <w:lastRenderedPageBreak/>
              <w:t>• Bulk Density Dependence:</w:t>
            </w:r>
            <w:r>
              <w:rPr>
                <w:rFonts w:eastAsia="Times New Roman" w:cs="Times New Roman"/>
              </w:rPr>
              <w:t xml:space="preserve"> Highly susceptible to variations in material compaction, particle size, and moisture.</w:t>
            </w:r>
          </w:p>
          <w:p w:rsidR="008C1E2F" w:rsidRDefault="008C1E2F" w:rsidP="00F561AD">
            <w:pPr>
              <w:spacing w:line="360" w:lineRule="auto"/>
              <w:jc w:val="center"/>
              <w:rPr>
                <w:rFonts w:cs="Times New Roman"/>
              </w:rPr>
            </w:pPr>
            <w:r>
              <w:rPr>
                <w:rFonts w:eastAsia="Times New Roman" w:cs="Times New Roman"/>
              </w:rPr>
              <w:br/>
            </w:r>
          </w:p>
          <w:p w:rsidR="008C1E2F" w:rsidRDefault="008C1E2F" w:rsidP="00F561AD">
            <w:pPr>
              <w:spacing w:line="360" w:lineRule="auto"/>
              <w:jc w:val="center"/>
              <w:rPr>
                <w:rFonts w:cs="Times New Roman"/>
              </w:rPr>
            </w:pPr>
            <w:r>
              <w:rPr>
                <w:rFonts w:eastAsia="Times New Roman" w:cs="Times New Roman"/>
                <w:b/>
                <w:bCs/>
              </w:rPr>
              <w:t>• Limited Accuracy:</w:t>
            </w:r>
            <w:r>
              <w:rPr>
                <w:rFonts w:eastAsia="Times New Roman" w:cs="Times New Roman"/>
              </w:rPr>
              <w:t xml:space="preserve"> Potential weight inaccuracies make it unsuitable for products with fluctuating densities or strict weight requirements.</w:t>
            </w:r>
          </w:p>
        </w:tc>
      </w:tr>
      <w:tr w:rsidR="008C1E2F" w:rsidTr="00F561AD">
        <w:trPr>
          <w:tblCellSpacing w:w="15" w:type="dxa"/>
          <w:jc w:val="center"/>
        </w:trPr>
        <w:tc>
          <w:tcPr>
            <w:tcW w:w="188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Gravimetric Dosing</w:t>
            </w:r>
            <w:r>
              <w:rPr>
                <w:rFonts w:eastAsia="Times New Roman" w:cs="Times New Roman"/>
              </w:rPr>
              <w:t xml:space="preserve"> (e.g., Multi-head Weighers)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 High Accuracy:</w:t>
            </w:r>
            <w:r>
              <w:rPr>
                <w:rFonts w:eastAsia="Times New Roman" w:cs="Times New Roman"/>
              </w:rPr>
              <w:t xml:space="preserve"> Measures mass directly, making it completely independent of bulk density variations.</w:t>
            </w:r>
          </w:p>
          <w:p w:rsidR="008C1E2F" w:rsidRDefault="008C1E2F" w:rsidP="00F561AD">
            <w:pPr>
              <w:spacing w:line="360" w:lineRule="auto"/>
              <w:jc w:val="center"/>
              <w:rPr>
                <w:rFonts w:cs="Times New Roman"/>
              </w:rPr>
            </w:pPr>
            <w:r>
              <w:rPr>
                <w:rFonts w:eastAsia="Times New Roman" w:cs="Times New Roman"/>
              </w:rPr>
              <w:br/>
            </w:r>
          </w:p>
          <w:p w:rsidR="008C1E2F" w:rsidRDefault="008C1E2F" w:rsidP="00F561AD">
            <w:pPr>
              <w:spacing w:line="360" w:lineRule="auto"/>
              <w:jc w:val="center"/>
              <w:rPr>
                <w:rFonts w:cs="Times New Roman"/>
              </w:rPr>
            </w:pPr>
            <w:r>
              <w:rPr>
                <w:rFonts w:eastAsia="Times New Roman" w:cs="Times New Roman"/>
                <w:b/>
                <w:bCs/>
              </w:rPr>
              <w:t>• Versatility:</w:t>
            </w:r>
            <w:r>
              <w:rPr>
                <w:rFonts w:eastAsia="Times New Roman" w:cs="Times New Roman"/>
              </w:rPr>
              <w:t xml:space="preserve"> Highly precise for a wide range of materials, including those with irregular shapes or fragile compositions.</w:t>
            </w:r>
          </w:p>
          <w:p w:rsidR="008C1E2F" w:rsidRDefault="008C1E2F" w:rsidP="00F561AD">
            <w:pPr>
              <w:spacing w:line="360" w:lineRule="auto"/>
              <w:jc w:val="center"/>
              <w:rPr>
                <w:rFonts w:cs="Times New Roman"/>
              </w:rPr>
            </w:pPr>
            <w:r>
              <w:rPr>
                <w:rFonts w:eastAsia="Times New Roman" w:cs="Times New Roman"/>
              </w:rPr>
              <w:br/>
            </w:r>
          </w:p>
          <w:p w:rsidR="008C1E2F" w:rsidRDefault="008C1E2F" w:rsidP="00F561AD">
            <w:pPr>
              <w:spacing w:line="360" w:lineRule="auto"/>
              <w:jc w:val="center"/>
              <w:rPr>
                <w:rFonts w:cs="Times New Roman"/>
              </w:rPr>
            </w:pPr>
            <w:r>
              <w:rPr>
                <w:rFonts w:eastAsia="Times New Roman" w:cs="Times New Roman"/>
                <w:b/>
                <w:bCs/>
              </w:rPr>
              <w:t>• Reduced Product Give-Away:</w:t>
            </w:r>
            <w:r>
              <w:rPr>
                <w:rFonts w:eastAsia="Times New Roman" w:cs="Times New Roman"/>
              </w:rPr>
              <w:t xml:space="preserve"> Minimizes overfilling, leading to significant long-</w:t>
            </w:r>
            <w:r>
              <w:rPr>
                <w:rFonts w:eastAsia="Times New Roman" w:cs="Times New Roman"/>
              </w:rPr>
              <w:lastRenderedPageBreak/>
              <w:t>term cost savings for high-value products.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b/>
                <w:bCs/>
              </w:rPr>
              <w:lastRenderedPageBreak/>
              <w:t>• Lower Speed:</w:t>
            </w:r>
            <w:r>
              <w:rPr>
                <w:rFonts w:eastAsia="Times New Roman" w:cs="Times New Roman"/>
              </w:rPr>
              <w:t xml:space="preserve"> Generally slower due to the mechanical settling time required for weighing and stabilization.</w:t>
            </w:r>
          </w:p>
          <w:p w:rsidR="008C1E2F" w:rsidRDefault="008C1E2F" w:rsidP="00F561AD">
            <w:pPr>
              <w:spacing w:line="360" w:lineRule="auto"/>
              <w:jc w:val="center"/>
              <w:rPr>
                <w:rFonts w:cs="Times New Roman"/>
              </w:rPr>
            </w:pPr>
            <w:r>
              <w:rPr>
                <w:rFonts w:eastAsia="Times New Roman" w:cs="Times New Roman"/>
              </w:rPr>
              <w:br/>
            </w:r>
          </w:p>
          <w:p w:rsidR="008C1E2F" w:rsidRDefault="008C1E2F" w:rsidP="00F561AD">
            <w:pPr>
              <w:spacing w:line="360" w:lineRule="auto"/>
              <w:jc w:val="center"/>
              <w:rPr>
                <w:rFonts w:cs="Times New Roman"/>
              </w:rPr>
            </w:pPr>
            <w:r>
              <w:rPr>
                <w:rFonts w:eastAsia="Times New Roman" w:cs="Times New Roman"/>
                <w:b/>
                <w:bCs/>
              </w:rPr>
              <w:t>• Higher Cost:</w:t>
            </w:r>
            <w:r>
              <w:rPr>
                <w:rFonts w:eastAsia="Times New Roman" w:cs="Times New Roman"/>
              </w:rPr>
              <w:t xml:space="preserve"> More expensive to acquire and maintain due to complex load cells and control algorithms.</w:t>
            </w:r>
          </w:p>
          <w:p w:rsidR="008C1E2F" w:rsidRDefault="008C1E2F" w:rsidP="00F561AD">
            <w:pPr>
              <w:spacing w:line="360" w:lineRule="auto"/>
              <w:jc w:val="center"/>
              <w:rPr>
                <w:rFonts w:cs="Times New Roman"/>
              </w:rPr>
            </w:pPr>
            <w:r>
              <w:rPr>
                <w:rFonts w:eastAsia="Times New Roman" w:cs="Times New Roman"/>
              </w:rPr>
              <w:br/>
            </w:r>
          </w:p>
          <w:p w:rsidR="008C1E2F" w:rsidRDefault="008C1E2F" w:rsidP="00F561AD">
            <w:pPr>
              <w:spacing w:line="360" w:lineRule="auto"/>
              <w:jc w:val="center"/>
              <w:rPr>
                <w:rFonts w:cs="Times New Roman"/>
              </w:rPr>
            </w:pPr>
            <w:r>
              <w:rPr>
                <w:rFonts w:eastAsia="Times New Roman" w:cs="Times New Roman"/>
                <w:b/>
                <w:bCs/>
              </w:rPr>
              <w:t>• High Complexity:</w:t>
            </w:r>
            <w:r>
              <w:rPr>
                <w:rFonts w:eastAsia="Times New Roman" w:cs="Times New Roman"/>
              </w:rPr>
              <w:t xml:space="preserve"> Demands sophisticated calibration, regular maintenance, and strict </w:t>
            </w:r>
            <w:r>
              <w:rPr>
                <w:rFonts w:eastAsia="Times New Roman" w:cs="Times New Roman"/>
              </w:rPr>
              <w:lastRenderedPageBreak/>
              <w:t>environmental control (e.g., vibration isolation).</w:t>
            </w:r>
          </w:p>
        </w:tc>
      </w:tr>
    </w:tbl>
    <w:p w:rsidR="008C1E2F" w:rsidRDefault="008C1E2F" w:rsidP="008C1E2F">
      <w:pPr>
        <w:spacing w:line="360" w:lineRule="auto"/>
        <w:rPr>
          <w:rFonts w:cs="Times New Roman"/>
          <w:rtl/>
        </w:rPr>
      </w:pPr>
    </w:p>
    <w:p w:rsidR="008C1E2F" w:rsidRDefault="008C1E2F" w:rsidP="008C1E2F">
      <w:pPr>
        <w:spacing w:line="360" w:lineRule="auto"/>
        <w:rPr>
          <w:rFonts w:cs="Times New Roman"/>
        </w:rPr>
      </w:pPr>
      <w:r>
        <w:rPr>
          <w:rFonts w:eastAsia="Times New Roman" w:cs="Times New Roman"/>
        </w:rPr>
        <w:t>Recent advancements in mechatronic engineering have addressed the traditional speed-accuracy trade-off through hybrid dosing strategies. Rather than replacing the mechanical auger, modern systems upgrade the control layer through the integration of adaptive microcontrollers (such as ESP32 architectures) implementing real-time "Volumetric Correction Factors." By periodically calibrating bulk density via offline sampling or integrating closed-loop feedback from auxiliary load cells, these systems dynamically adjust the required number of motor revolutions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req</m:t>
            </m:r>
          </m:sub>
        </m:sSub>
      </m:oMath>
      <w:r>
        <w:rPr>
          <w:rFonts w:eastAsia="Times New Roman" w:cs="Times New Roman"/>
        </w:rPr>
        <w:t>), effectively synthesizing the speed advantages of volumetric filling with the accuracy characteristics of gravimetric measurement [16].</w:t>
      </w:r>
    </w:p>
    <w:p w:rsidR="008C1E2F" w:rsidRDefault="008C1E2F" w:rsidP="008C1E2F">
      <w:pPr>
        <w:spacing w:line="360" w:lineRule="auto"/>
        <w:rPr>
          <w:rFonts w:cs="Times New Roman"/>
        </w:rPr>
      </w:pPr>
      <w:r>
        <w:rPr>
          <w:rFonts w:eastAsia="Times New Roman" w:cs="Times New Roman"/>
        </w:rPr>
        <w:t xml:space="preserve">The "Bulk and Trim" filling strategy represents a particularly effective hybrid approach: the auger operates at high speed to dispense </w:t>
      </w:r>
      <m:oMath>
        <m:r>
          <m:rPr>
            <m:sty m:val="p"/>
          </m:rPr>
          <w:rPr>
            <w:rFonts w:ascii="Cambria Math" w:eastAsia="Cambria Math" w:hAnsi="Cambria Math" w:cs="Cambria Math"/>
          </w:rPr>
          <m:t>90-95%</m:t>
        </m:r>
      </m:oMath>
      <w:r>
        <w:rPr>
          <w:rFonts w:eastAsia="Times New Roman" w:cs="Times New Roman"/>
        </w:rPr>
        <w:t xml:space="preserve"> of the target mass (volumetric mode), subsequently reducing to low speed for final weight adjustment based on instantaneous feedback from a load cell (gravimetric mode). This mechatronic integration enables achievement of high production throughput (30-35 bags/minute) while maintaining strict accuracy tolerances of </w:t>
      </w:r>
      <m:oMath>
        <m:r>
          <m:rPr>
            <m:sty m:val="p"/>
          </m:rPr>
          <w:rPr>
            <w:rFonts w:ascii="Cambria Math" w:eastAsia="Cambria Math" w:hAnsi="Cambria Math" w:cs="Cambria Math"/>
          </w:rPr>
          <m:t>±1.5%,</m:t>
        </m:r>
      </m:oMath>
      <w:r>
        <w:rPr>
          <w:rFonts w:eastAsia="Times New Roman" w:cs="Times New Roman"/>
        </w:rPr>
        <w:t xml:space="preserve"> bridging the historical gap between volumetric speed and gravimetric precision [17].</w:t>
      </w: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r>
        <w:rPr>
          <w:rFonts w:eastAsia="Times New Roman" w:cs="Times New Roman"/>
          <w:b/>
          <w:bCs/>
        </w:rPr>
        <w:t>Justification for Volumetric Auger Selection in This Project</w:t>
      </w:r>
    </w:p>
    <w:p w:rsidR="008C1E2F" w:rsidRDefault="008C1E2F" w:rsidP="008C1E2F">
      <w:pPr>
        <w:spacing w:line="360" w:lineRule="auto"/>
        <w:rPr>
          <w:rFonts w:cs="Times New Roman"/>
        </w:rPr>
      </w:pPr>
      <w:r>
        <w:rPr>
          <w:rFonts w:eastAsia="Times New Roman" w:cs="Times New Roman"/>
        </w:rPr>
        <w:t xml:space="preserve">For the current application targeting 500g salt packages at 20 bags per minute with </w:t>
      </w:r>
      <m:oMath>
        <m:r>
          <m:rPr>
            <m:sty m:val="p"/>
          </m:rPr>
          <w:rPr>
            <w:rFonts w:ascii="Cambria Math" w:eastAsia="Cambria Math" w:hAnsi="Cambria Math" w:cs="Cambria Math"/>
          </w:rPr>
          <m:t>1.5%</m:t>
        </m:r>
      </m:oMath>
      <w:r>
        <w:rPr>
          <w:rFonts w:eastAsia="Times New Roman" w:cs="Times New Roman"/>
        </w:rPr>
        <w:t xml:space="preserve"> accuracy, the volumetric auger filler with servo motor control and density compensation represents the optimal engineering solution. This selection is justified by: (1) the relatively consistent bulk density of crystalline Sodium Chloride; (2) the moderate speed requirements that align with volumetric system capabilities; (3) the </w:t>
      </w:r>
      <w:r>
        <w:rPr>
          <w:rFonts w:eastAsia="Times New Roman" w:cs="Times New Roman"/>
        </w:rPr>
        <w:lastRenderedPageBreak/>
        <w:t>lower capital and maintenance costs compared to gravimetric alternatives; (4) the mechanical compatibility with VFFS architecture; and (5) the demonstrated effectiveness of microcontroller-based compensation algorithms in addressing density-induced errors without sacrificing throughput [18].</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b/>
          <w:bCs/>
        </w:rPr>
        <w:t>2.2 Powder Rheology and Handling</w:t>
      </w:r>
    </w:p>
    <w:p w:rsidR="008C1E2F" w:rsidRDefault="008C1E2F" w:rsidP="008C1E2F">
      <w:pPr>
        <w:spacing w:line="360" w:lineRule="auto"/>
        <w:rPr>
          <w:rFonts w:cs="Times New Roman"/>
        </w:rPr>
      </w:pPr>
      <w:r>
        <w:rPr>
          <w:rFonts w:eastAsia="Times New Roman" w:cs="Times New Roman"/>
        </w:rPr>
        <w:t>The design of high-precision mechatronic dosing systems necessitates a profound understanding of bulk solids mechanics</w:t>
      </w:r>
      <w:r>
        <w:rPr>
          <w:rFonts w:eastAsia="Times New Roman" w:cs="Times New Roman" w:hint="cs"/>
          <w:rtl/>
        </w:rPr>
        <w:t xml:space="preserve"> </w:t>
      </w:r>
      <w:r>
        <w:rPr>
          <w:rFonts w:eastAsia="Times New Roman" w:cs="Times New Roman"/>
        </w:rPr>
        <w:t>a field that diverges fundamentally from both Newtonian fluid dynamics and continuum solid mechanics. Unlike fluids, powders and granular materials exhibit yield strength and can sustain shear stresses when at rest; unlike continuous solids, they flow plastically when subjected to stresses exceeding their yield locus, transmitting forces through complex inter-particle contact networks rather than continuous strain fields [</w:t>
      </w:r>
      <w:r w:rsidRPr="00B52433">
        <w:rPr>
          <w:rFonts w:eastAsia="Times New Roman" w:cs="Times New Roman"/>
        </w:rPr>
        <w:t>19</w:t>
      </w:r>
      <w:r>
        <w:rPr>
          <w:rFonts w:eastAsia="Times New Roman" w:cs="Times New Roman"/>
        </w:rPr>
        <w:t>]. This dual nature, characterized by the coexistence of solid-like and fluid-like behaviors, renders classical hydrodynamic and elastostatic analyses inadequate for predicting powder flow phenomena.</w:t>
      </w:r>
    </w:p>
    <w:p w:rsidR="008C1E2F" w:rsidRDefault="008C1E2F" w:rsidP="008C1E2F">
      <w:pPr>
        <w:spacing w:line="360" w:lineRule="auto"/>
        <w:rPr>
          <w:rFonts w:cs="Times New Roman"/>
        </w:rPr>
      </w:pPr>
      <w:r>
        <w:rPr>
          <w:rFonts w:eastAsia="Times New Roman" w:cs="Times New Roman"/>
        </w:rPr>
        <w:t>In the context of Vertical Form-Fill-Seal (VFFS) auger filling systems, the rheological behavior of the target material</w:t>
      </w:r>
      <w:r>
        <w:rPr>
          <w:rFonts w:eastAsia="Times New Roman" w:cs="Times New Roman" w:hint="cs"/>
          <w:rtl/>
        </w:rPr>
        <w:t xml:space="preserve"> </w:t>
      </w:r>
      <w:r>
        <w:rPr>
          <w:rFonts w:eastAsia="Times New Roman" w:cs="Times New Roman"/>
        </w:rPr>
        <w:t>specifically Sodium Chloride (NaCl)</w:t>
      </w:r>
      <w:r>
        <w:rPr>
          <w:rFonts w:eastAsia="Times New Roman" w:cs="Times New Roman" w:hint="cs"/>
          <w:rtl/>
        </w:rPr>
        <w:t xml:space="preserve"> </w:t>
      </w:r>
      <w:r>
        <w:rPr>
          <w:rFonts w:eastAsia="Times New Roman" w:cs="Times New Roman"/>
        </w:rPr>
        <w:t>directly governs volumetric efficiency, motor torque requirements, dosing precision, and the susceptibility to flow obstructions. This section establishes the theoretical foundation for powder characterization and analyzes the complex transport dynamics within helical screw conveyors.</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2.2.1 Material Characteristics: Bulk Density, Flowability, and Cohesiveness</w:t>
      </w:r>
    </w:p>
    <w:p w:rsidR="008C1E2F" w:rsidRDefault="008C1E2F" w:rsidP="008C1E2F">
      <w:pPr>
        <w:spacing w:line="360" w:lineRule="auto"/>
        <w:rPr>
          <w:rFonts w:cs="Times New Roman"/>
          <w:rtl/>
        </w:rPr>
      </w:pPr>
      <w:r>
        <w:rPr>
          <w:rFonts w:eastAsia="Times New Roman" w:cs="Times New Roman"/>
        </w:rPr>
        <w:t>The successful transport and metering of granular material through an auger system is fundamentally dictated by three primary physicochemical properties: bulk density, flowability, and cohesiveness. These characteristics are not intrinsic material constants but rather emergent behaviors dependent on environmental conditions, stress history, and particle-level interactions.</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A. Bulk Density and Compressibility</w:t>
      </w:r>
    </w:p>
    <w:p w:rsidR="008C1E2F" w:rsidRDefault="008C1E2F" w:rsidP="008C1E2F">
      <w:pPr>
        <w:spacing w:line="360" w:lineRule="auto"/>
        <w:rPr>
          <w:rFonts w:cs="Times New Roman"/>
        </w:rPr>
      </w:pPr>
      <w:r>
        <w:rPr>
          <w:rFonts w:eastAsia="Times New Roman" w:cs="Times New Roman"/>
        </w:rPr>
        <w:t>Bulk density (</w:t>
      </w:r>
      <m:oMath>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oMath>
      <w:r>
        <w:rPr>
          <w:rFonts w:eastAsia="Times New Roman" w:cs="Times New Roman"/>
        </w:rPr>
        <w:t>) is defined as the ratio of powder mass to the total occupied volume, inclusive of interstitial voids between particles:</w:t>
      </w:r>
    </w:p>
    <w:p w:rsidR="008C1E2F" w:rsidRDefault="008C1E2F" w:rsidP="008C1E2F">
      <w:pPr>
        <w:spacing w:line="360" w:lineRule="auto"/>
        <w:rPr>
          <w:rFonts w:cs="Times New Roman"/>
        </w:rPr>
      </w:pPr>
      <m:oMathPara>
        <m:oMath>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r>
            <m:rPr>
              <m:sty m:val="p"/>
            </m:rP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m:rPr>
                      <m:sty m:val="p"/>
                    </m:rPr>
                    <w:rPr>
                      <w:rFonts w:ascii="Cambria Math" w:eastAsia="Cambria Math" w:hAnsi="Cambria Math" w:cs="Cambria Math"/>
                    </w:rPr>
                    <m:t>M</m:t>
                  </m:r>
                </m:e>
                <m:sub>
                  <m:r>
                    <m:rPr>
                      <m:sty m:val="p"/>
                    </m:rPr>
                    <w:rPr>
                      <w:rFonts w:ascii="Cambria Math" w:eastAsia="Cambria Math" w:hAnsi="Cambria Math" w:cs="Cambria Math"/>
                    </w:rPr>
                    <m:t>powder</m:t>
                  </m:r>
                </m:sub>
              </m:sSub>
            </m:num>
            <m:den>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total</m:t>
                  </m:r>
                </m:sub>
              </m:sSub>
            </m:den>
          </m:f>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practical</m:t>
              </m:r>
            </m:sub>
          </m:sSub>
          <m:r>
            <m:rPr>
              <m:sty m:val="p"/>
            </m:rPr>
            <w:rPr>
              <w:rFonts w:ascii="Cambria Math" w:eastAsia="Cambria Math" w:hAnsi="Cambria Math" w:cs="Cambria Math"/>
            </w:rPr>
            <m:t>(1-ε)</m:t>
          </m:r>
        </m:oMath>
      </m:oMathPara>
    </w:p>
    <w:p w:rsidR="008C1E2F" w:rsidRDefault="008C1E2F" w:rsidP="008C1E2F">
      <w:pPr>
        <w:spacing w:line="360" w:lineRule="auto"/>
        <w:rPr>
          <w:rFonts w:cs="Times New Roman"/>
        </w:rPr>
      </w:pPr>
      <w:r>
        <w:rPr>
          <w:rFonts w:eastAsia="Times New Roman" w:cs="Times New Roman"/>
        </w:rPr>
        <w:t xml:space="preserve">where </w:t>
      </w:r>
      <m:oMath>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oMath>
      <w:r>
        <w:rPr>
          <w:rFonts w:eastAsia="Times New Roman" w:cs="Times New Roman"/>
        </w:rPr>
        <w:t xml:space="preserve"> represents the true particle density (approximately 2165 kg/m³ for crystalline NaCl) and </w:t>
      </w:r>
      <m:oMath>
        <m:r>
          <m:rPr>
            <m:sty m:val="p"/>
          </m:rPr>
          <w:rPr>
            <w:rFonts w:ascii="Cambria Math" w:eastAsia="Cambria Math" w:hAnsi="Cambria Math" w:cs="Cambria Math"/>
          </w:rPr>
          <m:t xml:space="preserve">ε </m:t>
        </m:r>
      </m:oMath>
      <w:r>
        <w:rPr>
          <w:rFonts w:eastAsia="Times New Roman" w:cs="Times New Roman"/>
        </w:rPr>
        <w:t>denotes the void fraction [</w:t>
      </w:r>
      <w:r w:rsidRPr="00B52433">
        <w:rPr>
          <w:rFonts w:eastAsia="Times New Roman" w:cs="Times New Roman"/>
        </w:rPr>
        <w:t>20</w:t>
      </w:r>
      <w:r>
        <w:rPr>
          <w:rFonts w:eastAsia="Times New Roman" w:cs="Times New Roman"/>
        </w:rPr>
        <w:t>]. It is essential to distinguish between true density and operational bulk density: while the former is an intrinsic material property, the latter varies significantly with consolidation stress, vibration, and aeration state.</w:t>
      </w:r>
    </w:p>
    <w:p w:rsidR="008C1E2F" w:rsidRDefault="008C1E2F" w:rsidP="008C1E2F">
      <w:pPr>
        <w:spacing w:line="360" w:lineRule="auto"/>
        <w:rPr>
          <w:rFonts w:cs="Times New Roman"/>
        </w:rPr>
      </w:pPr>
      <w:r>
        <w:rPr>
          <w:rFonts w:eastAsia="Times New Roman" w:cs="Times New Roman"/>
        </w:rPr>
        <w:t>For granular table salt, operational bulk density typically ranges between 1100 and 1300 kg/m³, with the lower bound corresponding to loosely poured material and the upper bound representing vibrationally consolidated states [</w:t>
      </w:r>
      <w:r w:rsidRPr="00B52433">
        <w:rPr>
          <w:rFonts w:eastAsia="Times New Roman" w:cs="Times New Roman"/>
        </w:rPr>
        <w:t>21</w:t>
      </w:r>
      <w:r>
        <w:rPr>
          <w:rFonts w:eastAsia="Times New Roman" w:cs="Times New Roman"/>
        </w:rPr>
        <w:t>]. This compressibility phenomenon—wherein bulk density increases with consolidation pressure and vibration—represents the primary source of dosing deviations in volumetric auger systems. The degree of compressibility is quantified through the Hausner Ratio:</w:t>
      </w:r>
    </w:p>
    <w:p w:rsidR="008C1E2F" w:rsidRDefault="008C1E2F" w:rsidP="008C1E2F">
      <w:pPr>
        <w:spacing w:line="360" w:lineRule="auto"/>
        <w:rPr>
          <w:rFonts w:cs="Times New Roman"/>
        </w:rPr>
      </w:pPr>
      <m:oMathPara>
        <m:oMath>
          <m:r>
            <m:rPr>
              <m:sty m:val="p"/>
            </m:rPr>
            <w:rPr>
              <w:rFonts w:ascii="Cambria Math" w:eastAsia="Cambria Math" w:hAnsi="Cambria Math" w:cs="Cambria Math"/>
            </w:rPr>
            <m:t>HR=</m:t>
          </m:r>
          <m:f>
            <m:fPr>
              <m:ctrlPr>
                <w:rPr>
                  <w:rFonts w:ascii="Cambria Math" w:eastAsia="Cambria Math" w:hAnsi="Cambria Math" w:cs="Cambria Math"/>
                </w:rPr>
              </m:ctrlPr>
            </m:fPr>
            <m:num>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tapped</m:t>
                  </m:r>
                </m:sub>
              </m:sSub>
            </m:num>
            <m:den>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bulk</m:t>
                  </m:r>
                </m:sub>
              </m:sSub>
            </m:den>
          </m:f>
        </m:oMath>
      </m:oMathPara>
    </w:p>
    <w:p w:rsidR="008C1E2F" w:rsidRDefault="008C1E2F" w:rsidP="008C1E2F">
      <w:pPr>
        <w:spacing w:line="360" w:lineRule="auto"/>
        <w:rPr>
          <w:rFonts w:cs="Times New Roman"/>
        </w:rPr>
      </w:pPr>
      <w:r>
        <w:rPr>
          <w:rFonts w:eastAsia="Times New Roman" w:cs="Times New Roman"/>
        </w:rPr>
        <w:t>Hausner ratios below 1.2 indicate free-flowing materials, while ratios exceeding 1.4 suggest cohesive, poorly flowing powders. Granular salt typically exhibits Hausner ratios of 1.1–1.2, consistent with its classification as a free-flowing material [</w:t>
      </w:r>
      <w:r w:rsidRPr="00B52433">
        <w:rPr>
          <w:rFonts w:eastAsia="Times New Roman" w:cs="Times New Roman"/>
        </w:rPr>
        <w:t>22</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The variation in bulk density is not merely a static concern but a dynamic process variable. Within the confines of a VFFS hopper, the material column generates hydrostatic-like pressure that increases consolidation toward the discharge orifice. Furthermore, mechanical vibrations from the auger drive and adjacent machinery induce progressive compaction, altering the mass-to-volume relationship in real-time. This necessitates the integration of mechanical agitation systems to maintain a consistent density regime prior to auger entry, thereby mitigating mass-drift phenomena [</w:t>
      </w:r>
      <w:r w:rsidRPr="00B52433">
        <w:rPr>
          <w:rFonts w:eastAsia="Times New Roman" w:cs="Times New Roman"/>
        </w:rPr>
        <w:t>23</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B. Cohesiveness and the Mohr-Coulomb Failure Criterion</w:t>
      </w:r>
    </w:p>
    <w:p w:rsidR="008C1E2F" w:rsidRDefault="008C1E2F" w:rsidP="008C1E2F">
      <w:pPr>
        <w:spacing w:line="360" w:lineRule="auto"/>
        <w:rPr>
          <w:rFonts w:cs="Times New Roman"/>
        </w:rPr>
      </w:pPr>
      <w:r>
        <w:rPr>
          <w:rFonts w:eastAsia="Times New Roman" w:cs="Times New Roman"/>
        </w:rPr>
        <w:t>The stress state within bulk solids is mathematically described using the Mohr-Coulomb yield criterion, which defines the shear stress required to initiate plastic flow:</w:t>
      </w:r>
    </w:p>
    <w:p w:rsidR="008C1E2F" w:rsidRDefault="008C1E2F" w:rsidP="008C1E2F">
      <w:pPr>
        <w:spacing w:line="360" w:lineRule="auto"/>
        <w:rPr>
          <w:rFonts w:cs="Times New Roman"/>
        </w:rPr>
      </w:pPr>
      <m:oMathPara>
        <m:oMath>
          <m:r>
            <m:rPr>
              <m:sty m:val="p"/>
            </m:rPr>
            <w:rPr>
              <w:rFonts w:ascii="Cambria Math" w:eastAsia="Cambria Math" w:hAnsi="Cambria Math" w:cs="Cambria Math"/>
            </w:rPr>
            <m:t>τ=σ×</m:t>
          </m:r>
          <m:func>
            <m:funcPr>
              <m:ctrlPr>
                <w:rPr>
                  <w:rFonts w:ascii="Cambria Math" w:eastAsia="Cambria Math" w:hAnsi="Cambria Math" w:cs="Cambria Math"/>
                </w:rPr>
              </m:ctrlPr>
            </m:funcPr>
            <m:fName>
              <m:r>
                <m:rPr>
                  <m:sty m:val="p"/>
                </m:rPr>
                <w:rPr>
                  <w:rFonts w:ascii="Cambria Math" w:eastAsia="Cambria Math" w:hAnsi="Cambria Math" w:cs="Cambria Math"/>
                </w:rPr>
                <m:t>tan</m:t>
              </m:r>
            </m:fName>
            <m:e>
              <m:d>
                <m:dPr>
                  <m:ctrlPr>
                    <w:rPr>
                      <w:rFonts w:ascii="Cambria Math" w:eastAsia="Cambria Math" w:hAnsi="Cambria Math" w:cs="Cambria Math"/>
                    </w:rPr>
                  </m:ctrlPr>
                </m:dPr>
                <m:e>
                  <m:sSub>
                    <m:sSubPr>
                      <m:ctrlPr>
                        <w:rPr>
                          <w:rFonts w:ascii="Cambria Math" w:eastAsia="Cambria Math" w:hAnsi="Cambria Math" w:cs="Cambria Math"/>
                        </w:rPr>
                      </m:ctrlPr>
                    </m:sSubPr>
                    <m:e>
                      <m:r>
                        <m:rPr>
                          <m:sty m:val="p"/>
                        </m:rPr>
                        <w:rPr>
                          <w:rFonts w:ascii="Cambria Math" w:eastAsia="Cambria Math" w:hAnsi="Cambria Math" w:cs="Cambria Math"/>
                        </w:rPr>
                        <m:t>Q</m:t>
                      </m:r>
                    </m:e>
                    <m:sub>
                      <m:r>
                        <m:rPr>
                          <m:sty m:val="p"/>
                        </m:rPr>
                        <w:rPr>
                          <w:rFonts w:ascii="Cambria Math" w:eastAsia="Cambria Math" w:hAnsi="Cambria Math" w:cs="Cambria Math"/>
                        </w:rPr>
                        <m:t>i</m:t>
                      </m:r>
                    </m:sub>
                  </m:sSub>
                </m:e>
              </m:d>
            </m:e>
          </m:func>
          <m:r>
            <m:rPr>
              <m:sty m:val="p"/>
            </m:rPr>
            <w:rPr>
              <w:rFonts w:ascii="Cambria Math" w:eastAsia="Cambria Math" w:hAnsi="Cambria Math" w:cs="Cambria Math"/>
            </w:rPr>
            <m:t>+c</m:t>
          </m:r>
        </m:oMath>
      </m:oMathPara>
    </w:p>
    <w:p w:rsidR="008C1E2F" w:rsidRDefault="008C1E2F" w:rsidP="008C1E2F">
      <w:pPr>
        <w:spacing w:line="360" w:lineRule="auto"/>
        <w:rPr>
          <w:rFonts w:cs="Times New Roman"/>
        </w:rPr>
      </w:pPr>
      <w:r>
        <w:rPr>
          <w:rFonts w:eastAsia="Times New Roman" w:cs="Times New Roman"/>
        </w:rPr>
        <w:t xml:space="preserve">where </w:t>
      </w:r>
      <m:oMath>
        <m:r>
          <m:rPr>
            <m:sty m:val="p"/>
          </m:rPr>
          <w:rPr>
            <w:rFonts w:ascii="Cambria Math" w:eastAsia="Cambria Math" w:hAnsi="Cambria Math" w:cs="Cambria Math"/>
          </w:rPr>
          <m:t>τ</m:t>
        </m:r>
      </m:oMath>
      <w:r>
        <w:rPr>
          <w:rFonts w:eastAsia="Times New Roman" w:cs="Times New Roman"/>
        </w:rPr>
        <w:t xml:space="preserve"> represents the shear stress at failure, </w:t>
      </w:r>
      <m:oMath>
        <m:r>
          <m:rPr>
            <m:sty m:val="p"/>
          </m:rPr>
          <w:rPr>
            <w:rFonts w:ascii="Cambria Math" w:eastAsia="Cambria Math" w:hAnsi="Cambria Math" w:cs="Cambria Math"/>
          </w:rPr>
          <m:t>σ</m:t>
        </m:r>
      </m:oMath>
      <w:r>
        <w:rPr>
          <w:rFonts w:eastAsia="Times New Roman" w:cs="Times New Roman"/>
        </w:rPr>
        <w:t xml:space="preserve"> is the normal stress, </w:t>
      </w:r>
      <m:oMath>
        <m:sSub>
          <m:sSubPr>
            <m:ctrlPr>
              <w:rPr>
                <w:rFonts w:ascii="Cambria Math" w:eastAsia="Cambria Math" w:hAnsi="Cambria Math" w:cs="Cambria Math"/>
              </w:rPr>
            </m:ctrlPr>
          </m:sSubPr>
          <m:e>
            <m:r>
              <m:rPr>
                <m:sty m:val="p"/>
              </m:rPr>
              <w:rPr>
                <w:rFonts w:ascii="Cambria Math" w:eastAsia="Cambria Math" w:hAnsi="Cambria Math" w:cs="Cambria Math"/>
              </w:rPr>
              <m:t>Q</m:t>
            </m:r>
          </m:e>
          <m:sub>
            <m:r>
              <m:rPr>
                <m:sty m:val="p"/>
              </m:rPr>
              <w:rPr>
                <w:rFonts w:ascii="Cambria Math" w:eastAsia="Cambria Math" w:hAnsi="Cambria Math" w:cs="Cambria Math"/>
              </w:rPr>
              <m:t>i</m:t>
            </m:r>
          </m:sub>
        </m:sSub>
      </m:oMath>
      <w:r>
        <w:rPr>
          <w:rFonts w:eastAsia="Times New Roman" w:cs="Times New Roman"/>
        </w:rPr>
        <w:t xml:space="preserve"> is the angle of internal friction, and </w:t>
      </w:r>
      <m:oMath>
        <m:r>
          <m:rPr>
            <m:sty m:val="p"/>
          </m:rPr>
          <w:rPr>
            <w:rFonts w:ascii="Cambria Math" w:eastAsia="Cambria Math" w:hAnsi="Cambria Math" w:cs="Cambria Math"/>
          </w:rPr>
          <m:t>c</m:t>
        </m:r>
      </m:oMath>
      <w:r>
        <w:rPr>
          <w:rFonts w:eastAsia="Times New Roman" w:cs="Times New Roman"/>
        </w:rPr>
        <w:t xml:space="preserve"> is the cohesion intercept [</w:t>
      </w:r>
      <w:r w:rsidRPr="00B52433">
        <w:rPr>
          <w:rFonts w:eastAsia="Times New Roman" w:cs="Times New Roman"/>
        </w:rPr>
        <w:t>24</w:t>
      </w:r>
      <w:r>
        <w:rPr>
          <w:rFonts w:eastAsia="Times New Roman" w:cs="Times New Roman"/>
        </w:rPr>
        <w:t>]. This framework distinguishes between free-flowing materials (</w:t>
      </w:r>
      <m:oMath>
        <m:r>
          <m:rPr>
            <m:sty m:val="p"/>
          </m:rPr>
          <w:rPr>
            <w:rFonts w:ascii="Cambria Math" w:eastAsia="Cambria Math" w:hAnsi="Cambria Math" w:cs="Cambria Math"/>
          </w:rPr>
          <m:t>c≈0</m:t>
        </m:r>
      </m:oMath>
      <w:r>
        <w:rPr>
          <w:rFonts w:eastAsia="Times New Roman" w:cs="Times New Roman"/>
        </w:rPr>
        <w:t>) and cohesive materials (c &gt; 0).</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rPr>
        <w:t>Dry, crystalline sodium chloride is classified as free-flowing, with internal friction angles ranging between 25° and 35° and negligible cohesion under standard atmospheric conditions [</w:t>
      </w:r>
      <w:r w:rsidRPr="00B52433">
        <w:rPr>
          <w:rFonts w:eastAsia="Times New Roman" w:cs="Times New Roman"/>
        </w:rPr>
        <w:t>25</w:t>
      </w:r>
      <w:r>
        <w:rPr>
          <w:rFonts w:eastAsia="Times New Roman" w:cs="Times New Roman"/>
        </w:rPr>
        <w:t>]. However, NaCl exhibits pronounced hygroscopicity, readily absorbing atmospheric moisture to form liquid bridges between crystals. Upon subsequent drying, these bridges solidify into robust particle-particle bonds, dramatically increasing cohesive forces (</w:t>
      </w:r>
      <m:oMath>
        <m:r>
          <m:rPr>
            <m:sty m:val="p"/>
          </m:rPr>
          <w:rPr>
            <w:rFonts w:ascii="Cambria Math" w:eastAsia="Cambria Math" w:hAnsi="Cambria Math" w:cs="Cambria Math"/>
          </w:rPr>
          <m:t>c &gt; 0</m:t>
        </m:r>
      </m:oMath>
      <w:r>
        <w:rPr>
          <w:rFonts w:eastAsia="Times New Roman" w:cs="Times New Roman"/>
        </w:rPr>
        <w:t>) and necessitating substantially higher shear stresses—and consequently, greater motor torque to overcome flow resistance [</w:t>
      </w:r>
      <w:r w:rsidRPr="00B52433">
        <w:rPr>
          <w:rFonts w:eastAsia="Times New Roman" w:cs="Times New Roman"/>
        </w:rPr>
        <w:t>26</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The transition from free-flowing to cohesive behavior has profound implications for system design. Cohesive arching (bridging) above the auger intake and ratholing within the hopper represent critical failure modes that disrupt continuous feeding and introduce dosing irregularities. The mechanical design must therefore incorporate sufficient dynamic shearing capability to break cohesive bonds during operation, alongside hopper geometries that promote mass flow (wherein all particles are in simultaneous motion) rather than funnel flow (which creates stagnant zones and erratic density) [</w:t>
      </w:r>
      <w:r w:rsidRPr="00B52433">
        <w:rPr>
          <w:rFonts w:eastAsia="Times New Roman" w:cs="Times New Roman"/>
        </w:rPr>
        <w:t>27</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C. Flowability and Angle of Repose</w:t>
      </w:r>
    </w:p>
    <w:p w:rsidR="008C1E2F" w:rsidRDefault="008C1E2F" w:rsidP="008C1E2F">
      <w:pPr>
        <w:spacing w:line="360" w:lineRule="auto"/>
        <w:rPr>
          <w:rFonts w:cs="Times New Roman"/>
        </w:rPr>
      </w:pPr>
      <w:r>
        <w:rPr>
          <w:rFonts w:eastAsia="Times New Roman" w:cs="Times New Roman"/>
        </w:rPr>
        <w:lastRenderedPageBreak/>
        <w:t>Flowability describes the macroscopic response of a powder to applied stress, governed by microscopic particulate interactions. It is quantified through the Flow Function (</w:t>
      </w:r>
      <m:oMath>
        <m:sSub>
          <m:sSubPr>
            <m:ctrlPr>
              <w:rPr>
                <w:rFonts w:ascii="Cambria Math" w:eastAsia="Cambria Math" w:hAnsi="Cambria Math" w:cstheme="majorBidi"/>
              </w:rPr>
            </m:ctrlPr>
          </m:sSubPr>
          <m:e>
            <m:r>
              <m:rPr>
                <m:sty m:val="p"/>
              </m:rPr>
              <w:rPr>
                <w:rFonts w:ascii="Cambria Math" w:eastAsia="Cambria Math" w:hAnsi="Cambria Math" w:cs="Cambria Math"/>
              </w:rPr>
              <m:t>ff</m:t>
            </m:r>
          </m:e>
          <m:sub>
            <m:r>
              <m:rPr>
                <m:sty m:val="p"/>
              </m:rPr>
              <w:rPr>
                <w:rFonts w:ascii="Cambria Math" w:eastAsia="Cambria Math" w:hAnsi="Cambria Math" w:cs="Cambria Math"/>
              </w:rPr>
              <m:t>c</m:t>
            </m:r>
          </m:sub>
        </m:sSub>
      </m:oMath>
      <w:r>
        <w:rPr>
          <w:rFonts w:eastAsia="Times New Roman" w:cs="Times New Roman"/>
        </w:rPr>
        <w:t>), defined as the ratio of major consolidation stress (</w:t>
      </w:r>
      <m:oMath>
        <m:sSub>
          <m:sSubPr>
            <m:ctrlPr>
              <w:rPr>
                <w:rFonts w:ascii="Cambria Math" w:eastAsia="Cambria Math" w:hAnsi="Cambria Math" w:cs="Cambria Math"/>
              </w:rPr>
            </m:ctrlPr>
          </m:sSubPr>
          <m:e>
            <m:r>
              <m:rPr>
                <m:sty m:val="p"/>
              </m:rPr>
              <w:rPr>
                <w:rFonts w:ascii="Cambria Math" w:eastAsia="Cambria Math" w:hAnsi="Cambria Math" w:cs="Cambria Math"/>
              </w:rPr>
              <m:t>σ</m:t>
            </m:r>
          </m:e>
          <m:sub>
            <m:r>
              <m:rPr>
                <m:sty m:val="p"/>
              </m:rPr>
              <w:rPr>
                <w:rFonts w:ascii="Cambria Math" w:eastAsia="Cambria Math" w:hAnsi="Cambria Math" w:cs="Cambria Math"/>
              </w:rPr>
              <m:t>1</m:t>
            </m:r>
          </m:sub>
        </m:sSub>
      </m:oMath>
      <w:r>
        <w:rPr>
          <w:rFonts w:eastAsia="Times New Roman" w:cs="Times New Roman"/>
        </w:rPr>
        <w:t>) to unconfined yield strength (</w:t>
      </w:r>
      <m:oMath>
        <m:sSub>
          <m:sSubPr>
            <m:ctrlPr>
              <w:rPr>
                <w:rFonts w:ascii="Cambria Math" w:eastAsia="Cambria Math" w:hAnsi="Cambria Math" w:cs="Cambria Math"/>
              </w:rPr>
            </m:ctrlPr>
          </m:sSubPr>
          <m:e>
            <m:r>
              <m:rPr>
                <m:sty m:val="p"/>
              </m:rPr>
              <w:rPr>
                <w:rFonts w:ascii="Cambria Math" w:eastAsia="Cambria Math" w:hAnsi="Cambria Math" w:cs="Cambria Math"/>
              </w:rPr>
              <m:t>σ</m:t>
            </m:r>
          </m:e>
          <m:sub>
            <m:r>
              <m:rPr>
                <m:sty m:val="p"/>
              </m:rPr>
              <w:rPr>
                <w:rFonts w:ascii="Cambria Math" w:eastAsia="Cambria Math" w:hAnsi="Cambria Math" w:cs="Cambria Math"/>
              </w:rPr>
              <m:t>c</m:t>
            </m:r>
          </m:sub>
        </m:sSub>
      </m:oMath>
      <w:r>
        <w:rPr>
          <w:rFonts w:eastAsia="Times New Roman" w:cs="Times New Roman"/>
        </w:rPr>
        <w:t>):</w:t>
      </w:r>
    </w:p>
    <w:p w:rsidR="008C1E2F" w:rsidRDefault="008C1E2F" w:rsidP="008C1E2F">
      <w:pPr>
        <w:bidi/>
        <w:spacing w:line="360" w:lineRule="auto"/>
        <w:rPr>
          <w:rFonts w:cs="Times New Roman"/>
        </w:rPr>
      </w:pPr>
      <m:oMathPara>
        <m:oMath>
          <m:sSub>
            <m:sSubPr>
              <m:ctrlPr>
                <w:rPr>
                  <w:rFonts w:ascii="Cambria Math" w:eastAsia="Cambria Math" w:hAnsi="Cambria Math" w:cstheme="majorBidi"/>
                </w:rPr>
              </m:ctrlPr>
            </m:sSubPr>
            <m:e>
              <m:r>
                <m:rPr>
                  <m:sty m:val="p"/>
                </m:rPr>
                <w:rPr>
                  <w:rFonts w:ascii="Cambria Math" w:eastAsia="Cambria Math" w:hAnsi="Cambria Math" w:cs="Cambria Math"/>
                </w:rPr>
                <m:t>ff</m:t>
              </m:r>
            </m:e>
            <m:sub>
              <m:r>
                <m:rPr>
                  <m:sty m:val="p"/>
                </m:rPr>
                <w:rPr>
                  <w:rFonts w:ascii="Cambria Math" w:eastAsia="Cambria Math" w:hAnsi="Cambria Math" w:cs="Cambria Math"/>
                </w:rPr>
                <m:t>c</m:t>
              </m:r>
            </m:sub>
          </m:sSub>
          <m:r>
            <m:rPr>
              <m:sty m:val="p"/>
            </m:rPr>
            <w:rPr>
              <w:rFonts w:ascii="Cambria Math" w:eastAsia="Cambria Math" w:hAnsi="Cambria Math" w:cs="Cambria Math"/>
            </w:rPr>
            <m:t>=</m:t>
          </m:r>
          <m:f>
            <m:fPr>
              <m:ctrlPr>
                <w:rPr>
                  <w:rFonts w:ascii="Cambria Math" w:eastAsia="Cambria Math" w:hAnsi="Cambria Math" w:cstheme="majorBidi"/>
                </w:rPr>
              </m:ctrlPr>
            </m:fPr>
            <m:num>
              <m:sSub>
                <m:sSubPr>
                  <m:ctrlPr>
                    <w:rPr>
                      <w:rFonts w:ascii="Cambria Math" w:eastAsia="Cambria Math" w:hAnsi="Cambria Math" w:cstheme="majorBidi"/>
                    </w:rPr>
                  </m:ctrlPr>
                </m:sSubPr>
                <m:e>
                  <m:r>
                    <m:rPr>
                      <m:sty m:val="p"/>
                    </m:rPr>
                    <w:rPr>
                      <w:rFonts w:ascii="Cambria Math" w:eastAsia="Cambria Math" w:hAnsi="Cambria Math" w:cs="Cambria Math"/>
                    </w:rPr>
                    <m:t>σ</m:t>
                  </m:r>
                </m:e>
                <m:sub>
                  <m:r>
                    <m:rPr>
                      <m:sty m:val="p"/>
                    </m:rPr>
                    <w:rPr>
                      <w:rFonts w:ascii="Cambria Math" w:eastAsia="Cambria Math" w:hAnsi="Cambria Math" w:cs="Cambria Math"/>
                    </w:rPr>
                    <m:t>1</m:t>
                  </m:r>
                </m:sub>
              </m:sSub>
            </m:num>
            <m:den>
              <m:sSub>
                <m:sSubPr>
                  <m:ctrlPr>
                    <w:rPr>
                      <w:rFonts w:ascii="Cambria Math" w:eastAsia="Cambria Math" w:hAnsi="Cambria Math" w:cstheme="majorBidi"/>
                    </w:rPr>
                  </m:ctrlPr>
                </m:sSubPr>
                <m:e>
                  <m:r>
                    <m:rPr>
                      <m:sty m:val="p"/>
                    </m:rPr>
                    <w:rPr>
                      <w:rFonts w:ascii="Cambria Math" w:eastAsia="Cambria Math" w:hAnsi="Cambria Math" w:cs="Cambria Math"/>
                    </w:rPr>
                    <m:t>σ</m:t>
                  </m:r>
                </m:e>
                <m:sub>
                  <m:r>
                    <m:rPr>
                      <m:sty m:val="p"/>
                    </m:rPr>
                    <w:rPr>
                      <w:rFonts w:ascii="Cambria Math" w:eastAsia="Cambria Math" w:hAnsi="Cambria Math" w:cs="Cambria Math"/>
                    </w:rPr>
                    <m:t>c</m:t>
                  </m:r>
                </m:sub>
              </m:sSub>
            </m:den>
          </m:f>
        </m:oMath>
      </m:oMathPara>
    </w:p>
    <w:p w:rsidR="008C1E2F" w:rsidRDefault="008C1E2F" w:rsidP="008C1E2F">
      <w:pPr>
        <w:spacing w:line="360" w:lineRule="auto"/>
        <w:rPr>
          <w:rFonts w:cs="Times New Roman"/>
        </w:rPr>
      </w:pPr>
      <w:r>
        <w:rPr>
          <w:rFonts w:eastAsia="Times New Roman" w:cs="Times New Roman"/>
        </w:rPr>
        <w:t xml:space="preserve">Jenike's classification framework establishes the following criteria: </w:t>
      </w:r>
      <m:oMath>
        <m:sSub>
          <m:sSubPr>
            <m:ctrlPr>
              <w:rPr>
                <w:rFonts w:ascii="Cambria Math" w:eastAsia="Cambria Math" w:hAnsi="Cambria Math" w:cstheme="majorBidi"/>
              </w:rPr>
            </m:ctrlPr>
          </m:sSubPr>
          <m:e>
            <m:r>
              <m:rPr>
                <m:sty m:val="p"/>
              </m:rPr>
              <w:rPr>
                <w:rFonts w:ascii="Cambria Math" w:eastAsia="Cambria Math" w:hAnsi="Cambria Math" w:cs="Cambria Math"/>
              </w:rPr>
              <m:t>ff</m:t>
            </m:r>
          </m:e>
          <m:sub>
            <m:r>
              <m:rPr>
                <m:sty m:val="p"/>
              </m:rPr>
              <w:rPr>
                <w:rFonts w:ascii="Cambria Math" w:eastAsia="Cambria Math" w:hAnsi="Cambria Math" w:cs="Cambria Math"/>
              </w:rPr>
              <m:t>c</m:t>
            </m:r>
          </m:sub>
        </m:sSub>
        <m:r>
          <m:rPr>
            <m:sty m:val="p"/>
          </m:rPr>
          <w:rPr>
            <w:rFonts w:ascii="Cambria Math" w:eastAsia="Cambria Math" w:hAnsi="Cambria Math" w:cs="Cambria Math"/>
            <w:rtl/>
          </w:rPr>
          <m:t xml:space="preserve"> &gt;</m:t>
        </m:r>
        <m:r>
          <m:rPr>
            <m:sty m:val="p"/>
          </m:rPr>
          <w:rPr>
            <w:rFonts w:ascii="Cambria Math" w:eastAsia="Cambria Math" w:hAnsi="Cambria Math" w:cs="Cambria Math"/>
          </w:rPr>
          <m:t>10</m:t>
        </m:r>
      </m:oMath>
      <w:r>
        <w:rPr>
          <w:rFonts w:eastAsia="Times New Roman" w:cs="Times New Roman"/>
        </w:rPr>
        <w:t xml:space="preserve"> indicates free-flowing material; </w:t>
      </w:r>
      <m:oMath>
        <m:r>
          <m:rPr>
            <m:sty m:val="p"/>
          </m:rPr>
          <w:rPr>
            <w:rFonts w:ascii="Cambria Math" w:eastAsia="Cambria Math" w:hAnsi="Cambria Math" w:cs="Cambria Math"/>
            <w:rtl/>
          </w:rPr>
          <m:t xml:space="preserve">4 </m:t>
        </m:r>
        <m:r>
          <m:rPr>
            <m:sty m:val="p"/>
          </m:rPr>
          <w:rPr>
            <w:rFonts w:ascii="Cambria Math" w:eastAsia="Cambria Math" w:hAnsi="Cambria Math" w:cs="Cambria Math"/>
          </w:rPr>
          <m:t>&lt;</m:t>
        </m:r>
        <m:sSub>
          <m:sSubPr>
            <m:ctrlPr>
              <w:rPr>
                <w:rFonts w:ascii="Cambria Math" w:eastAsia="Cambria Math" w:hAnsi="Cambria Math" w:cstheme="majorBidi"/>
              </w:rPr>
            </m:ctrlPr>
          </m:sSubPr>
          <m:e>
            <m:r>
              <m:rPr>
                <m:sty m:val="p"/>
              </m:rPr>
              <w:rPr>
                <w:rFonts w:ascii="Cambria Math" w:eastAsia="Cambria Math" w:hAnsi="Cambria Math" w:cs="Cambria Math"/>
              </w:rPr>
              <m:t>ff</m:t>
            </m:r>
          </m:e>
          <m:sub>
            <m:r>
              <m:rPr>
                <m:sty m:val="p"/>
              </m:rPr>
              <w:rPr>
                <w:rFonts w:ascii="Cambria Math" w:eastAsia="Cambria Math" w:hAnsi="Cambria Math" w:cs="Cambria Math"/>
              </w:rPr>
              <m:t>c</m:t>
            </m:r>
          </m:sub>
        </m:sSub>
        <m:r>
          <m:rPr>
            <m:sty m:val="p"/>
          </m:rPr>
          <w:rPr>
            <w:rFonts w:ascii="Cambria Math" w:eastAsia="Cambria Math" w:hAnsi="Cambria Math" w:cs="Cambria Math"/>
          </w:rPr>
          <m:t>&lt;10</m:t>
        </m:r>
      </m:oMath>
      <w:r>
        <w:rPr>
          <w:rFonts w:eastAsia="Times New Roman" w:cs="Times New Roman"/>
        </w:rPr>
        <w:t xml:space="preserve"> indicates easy-flowing; </w:t>
      </w:r>
      <m:oMath>
        <m:r>
          <m:rPr>
            <m:sty m:val="p"/>
          </m:rPr>
          <w:rPr>
            <w:rFonts w:ascii="Cambria Math" w:eastAsia="Cambria Math" w:hAnsi="Cambria Math" w:cs="Cambria Math"/>
          </w:rPr>
          <m:t>2</m:t>
        </m:r>
        <m:r>
          <m:rPr>
            <m:sty m:val="p"/>
          </m:rPr>
          <w:rPr>
            <w:rFonts w:ascii="Cambria Math" w:eastAsia="Cambria Math" w:hAnsi="Cambria Math" w:cs="Cambria Math"/>
            <w:rtl/>
          </w:rPr>
          <m:t xml:space="preserve"> &lt;</m:t>
        </m:r>
        <m:sSub>
          <m:sSubPr>
            <m:ctrlPr>
              <w:rPr>
                <w:rFonts w:ascii="Cambria Math" w:eastAsia="Cambria Math" w:hAnsi="Cambria Math" w:cstheme="majorBidi"/>
              </w:rPr>
            </m:ctrlPr>
          </m:sSubPr>
          <m:e>
            <m:r>
              <m:rPr>
                <m:sty m:val="p"/>
              </m:rPr>
              <w:rPr>
                <w:rFonts w:ascii="Cambria Math" w:eastAsia="Cambria Math" w:hAnsi="Cambria Math" w:cs="Cambria Math"/>
              </w:rPr>
              <m:t>ff</m:t>
            </m:r>
          </m:e>
          <m:sub>
            <m:r>
              <m:rPr>
                <m:sty m:val="p"/>
              </m:rPr>
              <w:rPr>
                <w:rFonts w:ascii="Cambria Math" w:eastAsia="Cambria Math" w:hAnsi="Cambria Math" w:cs="Cambria Math"/>
              </w:rPr>
              <m:t>c</m:t>
            </m:r>
          </m:sub>
        </m:sSub>
        <m:r>
          <m:rPr>
            <m:sty m:val="p"/>
          </m:rPr>
          <w:rPr>
            <w:rFonts w:ascii="Cambria Math" w:eastAsia="Cambria Math" w:hAnsi="Cambria Math" w:cs="Cambria Math"/>
            <w:rtl/>
          </w:rPr>
          <m:t xml:space="preserve"> &lt; </m:t>
        </m:r>
        <m:r>
          <m:rPr>
            <m:sty m:val="p"/>
          </m:rPr>
          <w:rPr>
            <w:rFonts w:ascii="Cambria Math" w:eastAsia="Cambria Math" w:hAnsi="Cambria Math" w:cs="Cambria Math"/>
          </w:rPr>
          <m:t>4</m:t>
        </m:r>
      </m:oMath>
      <w:r>
        <w:rPr>
          <w:rFonts w:eastAsia="Times New Roman" w:cs="Times New Roman"/>
        </w:rPr>
        <w:t xml:space="preserve"> indicates cohesive; and </w:t>
      </w:r>
      <m:oMath>
        <m:r>
          <m:rPr>
            <m:sty m:val="p"/>
          </m:rPr>
          <w:rPr>
            <w:rFonts w:ascii="Cambria Math" w:eastAsia="Cambria Math" w:hAnsi="Cambria Math" w:cs="Cambria Math"/>
          </w:rPr>
          <m:t>1</m:t>
        </m:r>
        <m:r>
          <m:rPr>
            <m:sty m:val="p"/>
          </m:rPr>
          <w:rPr>
            <w:rFonts w:ascii="Cambria Math" w:eastAsia="Cambria Math" w:hAnsi="Cambria Math" w:cs="Cambria Math"/>
            <w:rtl/>
          </w:rPr>
          <m:t xml:space="preserve"> &lt;</m:t>
        </m:r>
        <m:sSub>
          <m:sSubPr>
            <m:ctrlPr>
              <w:rPr>
                <w:rFonts w:ascii="Cambria Math" w:eastAsia="Cambria Math" w:hAnsi="Cambria Math" w:cstheme="majorBidi"/>
              </w:rPr>
            </m:ctrlPr>
          </m:sSubPr>
          <m:e>
            <m:r>
              <m:rPr>
                <m:sty m:val="p"/>
              </m:rPr>
              <w:rPr>
                <w:rFonts w:ascii="Cambria Math" w:eastAsia="Cambria Math" w:hAnsi="Cambria Math" w:cs="Cambria Math"/>
              </w:rPr>
              <m:t>ff</m:t>
            </m:r>
          </m:e>
          <m:sub>
            <m:r>
              <m:rPr>
                <m:sty m:val="p"/>
              </m:rPr>
              <w:rPr>
                <w:rFonts w:ascii="Cambria Math" w:eastAsia="Cambria Math" w:hAnsi="Cambria Math" w:cs="Cambria Math"/>
              </w:rPr>
              <m:t>c</m:t>
            </m:r>
          </m:sub>
        </m:sSub>
        <m:r>
          <m:rPr>
            <m:sty m:val="p"/>
          </m:rPr>
          <w:rPr>
            <w:rFonts w:ascii="Cambria Math" w:eastAsia="Cambria Math" w:hAnsi="Cambria Math" w:cs="Cambria Math"/>
            <w:rtl/>
          </w:rPr>
          <m:t xml:space="preserve"> &lt; 2</m:t>
        </m:r>
      </m:oMath>
      <w:r>
        <w:rPr>
          <w:rFonts w:eastAsia="Times New Roman" w:cs="Times New Roman"/>
        </w:rPr>
        <w:t xml:space="preserve"> indicates very cohesive or non-flowing behavior [10]. While dry salt typically falls within the free-flowing category (</w:t>
      </w:r>
      <m:oMath>
        <m:sSub>
          <m:sSubPr>
            <m:ctrlPr>
              <w:rPr>
                <w:rFonts w:ascii="Cambria Math" w:eastAsia="Cambria Math" w:hAnsi="Cambria Math" w:cs="Cambria Math"/>
              </w:rPr>
            </m:ctrlPr>
          </m:sSubPr>
          <m:e>
            <m:r>
              <m:rPr>
                <m:sty m:val="p"/>
              </m:rPr>
              <w:rPr>
                <w:rFonts w:ascii="Cambria Math" w:eastAsia="Cambria Math" w:hAnsi="Cambria Math" w:cs="Cambria Math"/>
              </w:rPr>
              <m:t>ff</m:t>
            </m:r>
          </m:e>
          <m:sub>
            <m:r>
              <m:rPr>
                <m:sty m:val="p"/>
              </m:rPr>
              <w:rPr>
                <w:rFonts w:ascii="Cambria Math" w:eastAsia="Cambria Math" w:hAnsi="Cambria Math" w:cs="Cambria Math"/>
              </w:rPr>
              <m:t>c</m:t>
            </m:r>
          </m:sub>
        </m:sSub>
        <m:r>
          <m:rPr>
            <m:sty m:val="p"/>
          </m:rPr>
          <w:rPr>
            <w:rFonts w:ascii="Cambria Math" w:eastAsia="Cambria Math" w:hAnsi="Cambria Math" w:cs="Cambria Math"/>
          </w:rPr>
          <m:t>≥4</m:t>
        </m:r>
      </m:oMath>
      <w:r>
        <w:rPr>
          <w:rFonts w:eastAsia="Times New Roman" w:cs="Times New Roman"/>
        </w:rPr>
        <w:t>), moisture ingress can degrade it to cohesive states, necessitating continuous monitoring of environmental humidity.</w:t>
      </w:r>
    </w:p>
    <w:p w:rsidR="008C1E2F" w:rsidRDefault="008C1E2F" w:rsidP="008C1E2F">
      <w:pPr>
        <w:spacing w:line="360" w:lineRule="auto"/>
        <w:rPr>
          <w:rFonts w:cs="Times New Roman"/>
        </w:rPr>
      </w:pPr>
      <w:r>
        <w:rPr>
          <w:rFonts w:eastAsia="Times New Roman" w:cs="Times New Roman"/>
        </w:rPr>
        <w:t>The angle of repose—the maximum stable slope angle of a poured powder heap—provides an empirical flowability indicator complementary to shear testing. For granular salt, this angle typically ranges between 30° and 45°, with lower values indicating superior flowability [</w:t>
      </w:r>
      <w:r w:rsidRPr="00B52433">
        <w:rPr>
          <w:rFonts w:eastAsia="Times New Roman" w:cs="Times New Roman"/>
        </w:rPr>
        <w:t>28</w:t>
      </w:r>
      <w:r>
        <w:rPr>
          <w:rFonts w:eastAsia="Times New Roman" w:cs="Times New Roman"/>
        </w:rPr>
        <w:t>]. This geometric property is critical for hopper design: wall angles must exceed 60° (significantly steeper than the angle of repose) to enforce mass flow and prevent arching. Furthermore, the angle of repose validates the engineering necessity of the spinner plate (dribble collector) mechanism at the discharge nozzle, which prevents gravitational leakage and uncontrolled flow after auger rotation cessation [</w:t>
      </w:r>
      <w:r w:rsidRPr="00B52433">
        <w:rPr>
          <w:rFonts w:eastAsia="Times New Roman" w:cs="Times New Roman"/>
        </w:rPr>
        <w:t>29</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D. Janssen's Effect and Pressure Distribution</w:t>
      </w:r>
    </w:p>
    <w:p w:rsidR="008C1E2F" w:rsidRDefault="008C1E2F" w:rsidP="008C1E2F">
      <w:pPr>
        <w:spacing w:line="360" w:lineRule="auto"/>
        <w:rPr>
          <w:rFonts w:cs="Times New Roman"/>
        </w:rPr>
      </w:pPr>
      <w:r>
        <w:rPr>
          <w:rFonts w:eastAsia="Times New Roman" w:cs="Times New Roman"/>
        </w:rPr>
        <w:t>A fundamental distinction between powder statics and fluid hydrostatics is articulated through Janssen's theory (1895), which demonstrates that vertical pressure within granular columns does not increase linearly with depth. Instead, frictional interaction between the powder and container walls supports a portion of the material weight, causing vertical pressure to asymptotically approach a saturation value:</w:t>
      </w:r>
    </w:p>
    <w:p w:rsidR="008C1E2F" w:rsidRDefault="008C1E2F" w:rsidP="008C1E2F">
      <w:pPr>
        <w:spacing w:line="360" w:lineRule="auto"/>
        <w:rPr>
          <w:rFonts w:cs="Times New Roman"/>
        </w:rPr>
      </w:pPr>
      <m:oMathPara>
        <m:oMath>
          <m:sSub>
            <m:sSubPr>
              <m:ctrlPr>
                <w:rPr>
                  <w:rFonts w:ascii="Cambria Math" w:eastAsia="Cambria Math" w:hAnsi="Cambria Math" w:cs="Cambria Math"/>
                </w:rPr>
              </m:ctrlPr>
            </m:sSubPr>
            <m:e>
              <m:r>
                <m:rPr>
                  <m:sty m:val="p"/>
                </m:rPr>
                <w:rPr>
                  <w:rFonts w:ascii="Cambria Math" w:eastAsia="Cambria Math" w:hAnsi="Cambria Math" w:cs="Cambria Math"/>
                </w:rPr>
                <m:t>σ</m:t>
              </m:r>
            </m:e>
            <m:sub>
              <m:r>
                <m:rPr>
                  <m:sty m:val="p"/>
                </m:rPr>
                <w:rPr>
                  <w:rFonts w:ascii="Cambria Math" w:eastAsia="Cambria Math" w:hAnsi="Cambria Math" w:cs="Cambria Math"/>
                </w:rPr>
                <m:t>v</m:t>
              </m:r>
            </m:sub>
          </m:sSub>
          <m:r>
            <m:rPr>
              <m:sty m:val="p"/>
            </m:rP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b</m:t>
                  </m:r>
                </m:sub>
              </m:sSub>
              <m:r>
                <m:rPr>
                  <m:sty m:val="p"/>
                </m:rPr>
                <w:rPr>
                  <w:rFonts w:ascii="Cambria Math" w:eastAsia="Cambria Math" w:hAnsi="Cambria Math" w:cs="Cambria Math"/>
                </w:rPr>
                <m:t>×g×D</m:t>
              </m:r>
            </m:num>
            <m:den>
              <m:r>
                <m:rPr>
                  <m:sty m:val="p"/>
                </m:rPr>
                <w:rPr>
                  <w:rFonts w:ascii="Cambria Math" w:eastAsia="Cambria Math" w:hAnsi="Cambria Math" w:cs="Cambria Math"/>
                </w:rPr>
                <m:t>4</m:t>
              </m:r>
              <m:sSub>
                <m:sSubPr>
                  <m:ctrlPr>
                    <w:rPr>
                      <w:rFonts w:ascii="Cambria Math" w:eastAsia="Cambria Math" w:hAnsi="Cambria Math" w:cs="Cambria Math"/>
                    </w:rPr>
                  </m:ctrlPr>
                </m:sSubPr>
                <m:e>
                  <m:r>
                    <m:rPr>
                      <m:sty m:val="p"/>
                    </m:rPr>
                    <w:rPr>
                      <w:rFonts w:ascii="Cambria Math" w:eastAsia="Cambria Math" w:hAnsi="Cambria Math" w:cs="Cambria Math"/>
                    </w:rPr>
                    <m:t>μ</m:t>
                  </m:r>
                </m:e>
                <m:sub>
                  <m:r>
                    <m:rPr>
                      <m:sty m:val="p"/>
                    </m:rPr>
                    <w:rPr>
                      <w:rFonts w:ascii="Cambria Math" w:eastAsia="Cambria Math" w:hAnsi="Cambria Math" w:cs="Cambria Math"/>
                    </w:rPr>
                    <m:t>ω</m:t>
                  </m:r>
                </m:sub>
              </m:sSub>
              <m:r>
                <m:rPr>
                  <m:sty m:val="p"/>
                </m:rPr>
                <w:rPr>
                  <w:rFonts w:ascii="Cambria Math" w:eastAsia="Cambria Math" w:hAnsi="Cambria Math" w:cs="Cambria Math"/>
                </w:rPr>
                <m:t>×K</m:t>
              </m:r>
            </m:den>
          </m:f>
          <m:r>
            <m:rPr>
              <m:sty m:val="p"/>
            </m:rPr>
            <w:rPr>
              <w:rFonts w:ascii="Cambria Math" w:eastAsia="Cambria Math" w:hAnsi="Cambria Math" w:cs="Cambria Math"/>
            </w:rPr>
            <m:t>(1-</m:t>
          </m:r>
          <m:sSup>
            <m:sSupPr>
              <m:ctrlPr>
                <w:rPr>
                  <w:rFonts w:ascii="Cambria Math" w:eastAsia="Cambria Math" w:hAnsi="Cambria Math" w:cs="Cambria Math"/>
                </w:rPr>
              </m:ctrlPr>
            </m:sSupPr>
            <m:e>
              <m:r>
                <m:rPr>
                  <m:sty m:val="p"/>
                </m:rPr>
                <w:rPr>
                  <w:rFonts w:ascii="Cambria Math" w:eastAsia="Cambria Math" w:hAnsi="Cambria Math" w:cs="Cambria Math"/>
                </w:rPr>
                <m:t>e</m:t>
              </m:r>
            </m:e>
            <m:sup>
              <m:r>
                <m:rPr>
                  <m:sty m:val="p"/>
                </m:rPr>
                <w:rPr>
                  <w:rFonts w:ascii="Cambria Math" w:eastAsia="Cambria Math" w:hAnsi="Cambria Math" w:cs="Cambria Math"/>
                </w:rPr>
                <m:t>4</m:t>
              </m:r>
              <m:sSub>
                <m:sSubPr>
                  <m:ctrlPr>
                    <w:rPr>
                      <w:rFonts w:ascii="Cambria Math" w:eastAsia="Cambria Math" w:hAnsi="Cambria Math" w:cs="Cambria Math"/>
                    </w:rPr>
                  </m:ctrlPr>
                </m:sSubPr>
                <m:e>
                  <m:r>
                    <m:rPr>
                      <m:sty m:val="p"/>
                    </m:rPr>
                    <w:rPr>
                      <w:rFonts w:ascii="Cambria Math" w:eastAsia="Cambria Math" w:hAnsi="Cambria Math" w:cs="Cambria Math"/>
                    </w:rPr>
                    <m:t>μ</m:t>
                  </m:r>
                </m:e>
                <m:sub>
                  <m:r>
                    <m:rPr>
                      <m:sty m:val="p"/>
                    </m:rPr>
                    <w:rPr>
                      <w:rFonts w:ascii="Cambria Math" w:eastAsia="Cambria Math" w:hAnsi="Cambria Math" w:cs="Cambria Math"/>
                    </w:rPr>
                    <m:t>ω</m:t>
                  </m:r>
                </m:sub>
              </m:sSub>
              <m:r>
                <m:rPr>
                  <m:sty m:val="p"/>
                </m:rPr>
                <w:rPr>
                  <w:rFonts w:ascii="Cambria Math" w:eastAsia="Cambria Math" w:hAnsi="Cambria Math" w:cs="Cambria Math"/>
                </w:rPr>
                <m:t>×K×</m:t>
              </m:r>
              <m:f>
                <m:fPr>
                  <m:ctrlPr>
                    <w:rPr>
                      <w:rFonts w:ascii="Cambria Math" w:eastAsia="Cambria Math" w:hAnsi="Cambria Math" w:cs="Cambria Math"/>
                    </w:rPr>
                  </m:ctrlPr>
                </m:fPr>
                <m:num>
                  <m:r>
                    <m:rPr>
                      <m:sty m:val="p"/>
                    </m:rPr>
                    <w:rPr>
                      <w:rFonts w:ascii="Cambria Math" w:eastAsia="Cambria Math" w:hAnsi="Cambria Math" w:cs="Cambria Math"/>
                    </w:rPr>
                    <m:t>h</m:t>
                  </m:r>
                </m:num>
                <m:den>
                  <m:r>
                    <m:rPr>
                      <m:sty m:val="p"/>
                    </m:rPr>
                    <w:rPr>
                      <w:rFonts w:ascii="Cambria Math" w:eastAsia="Cambria Math" w:hAnsi="Cambria Math" w:cs="Cambria Math"/>
                    </w:rPr>
                    <m:t>D</m:t>
                  </m:r>
                </m:den>
              </m:f>
            </m:sup>
          </m:sSup>
          <m:r>
            <m:rPr>
              <m:sty m:val="p"/>
            </m:rPr>
            <w:rPr>
              <w:rFonts w:ascii="Cambria Math" w:eastAsia="Cambria Math" w:hAnsi="Cambria Math" w:cs="Cambria Math"/>
            </w:rPr>
            <m:t>)</m:t>
          </m:r>
        </m:oMath>
      </m:oMathPara>
    </w:p>
    <w:p w:rsidR="008C1E2F" w:rsidRDefault="008C1E2F" w:rsidP="008C1E2F">
      <w:pPr>
        <w:spacing w:line="360" w:lineRule="auto"/>
        <w:rPr>
          <w:rFonts w:cs="Times New Roman"/>
          <w:rtl/>
        </w:rPr>
      </w:pPr>
      <w:r>
        <w:rPr>
          <w:rFonts w:eastAsia="Times New Roman" w:cs="Times New Roman"/>
        </w:rPr>
        <w:lastRenderedPageBreak/>
        <w:t xml:space="preserve">where D is the hopper diameter, </w:t>
      </w:r>
      <m:oMath>
        <m:sSub>
          <m:sSubPr>
            <m:ctrlPr>
              <w:rPr>
                <w:rFonts w:ascii="Cambria Math" w:eastAsia="Cambria Math" w:hAnsi="Cambria Math" w:cs="Cambria Math"/>
              </w:rPr>
            </m:ctrlPr>
          </m:sSubPr>
          <m:e>
            <m:r>
              <m:rPr>
                <m:sty m:val="p"/>
              </m:rPr>
              <w:rPr>
                <w:rFonts w:ascii="Cambria Math" w:eastAsia="Cambria Math" w:hAnsi="Cambria Math" w:cs="Cambria Math"/>
              </w:rPr>
              <m:t>μ</m:t>
            </m:r>
          </m:e>
          <m:sub>
            <m:r>
              <m:rPr>
                <m:sty m:val="p"/>
              </m:rPr>
              <w:rPr>
                <w:rFonts w:ascii="Cambria Math" w:eastAsia="Cambria Math" w:hAnsi="Cambria Math" w:cs="Cambria Math"/>
              </w:rPr>
              <m:t>ω</m:t>
            </m:r>
          </m:sub>
        </m:sSub>
      </m:oMath>
      <w:r>
        <w:rPr>
          <w:rFonts w:eastAsia="Times New Roman" w:cs="Times New Roman"/>
        </w:rPr>
        <w:t xml:space="preserve"> is the wall friction coefficient, K is the lateral pressure ratio, and h is the fill depth [3</w:t>
      </w:r>
      <w:r w:rsidRPr="00B52433">
        <w:rPr>
          <w:rFonts w:eastAsia="Times New Roman" w:cs="Times New Roman"/>
        </w:rPr>
        <w:t>0</w:t>
      </w:r>
      <w:r>
        <w:rPr>
          <w:rFonts w:eastAsia="Times New Roman" w:cs="Times New Roman"/>
        </w:rPr>
        <w:t>]. This pressure saturation ensures that material at the auger intake is not subjected to crushing pressures proportional to total hopper height, thereby preserving particle integrity and flowability.</w:t>
      </w:r>
    </w:p>
    <w:p w:rsidR="008C1E2F" w:rsidRDefault="008C1E2F" w:rsidP="008C1E2F">
      <w:pPr>
        <w:spacing w:line="360" w:lineRule="auto"/>
        <w:rPr>
          <w:rFonts w:cs="Times New Roman"/>
          <w:rtl/>
        </w:rPr>
      </w:pPr>
    </w:p>
    <w:p w:rsidR="008C1E2F" w:rsidRDefault="008C1E2F" w:rsidP="008C1E2F">
      <w:pPr>
        <w:spacing w:line="360" w:lineRule="auto"/>
        <w:jc w:val="center"/>
        <w:rPr>
          <w:rFonts w:cs="Times New Roman"/>
          <w:rtl/>
        </w:rPr>
      </w:pPr>
      <w:r>
        <w:rPr>
          <w:rFonts w:eastAsia="Times New Roman" w:cs="Times New Roman"/>
          <w:noProof/>
          <w:rtl/>
          <w:lang w:val="ar-SA"/>
        </w:rPr>
        <w:drawing>
          <wp:inline distT="0" distB="0" distL="0" distR="0" wp14:anchorId="6F1951DA" wp14:editId="3965FACD">
            <wp:extent cx="2124075" cy="3590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3980" name="Picture 2"/>
                    <pic:cNvPicPr>
                      <a:picLocks noChangeAspect="1"/>
                    </pic:cNvPicPr>
                  </pic:nvPicPr>
                  <pic:blipFill rotWithShape="1">
                    <a:blip r:embed="rId6"/>
                    <a:srcRect l="57986" r="1"/>
                    <a:stretch/>
                  </pic:blipFill>
                  <pic:spPr bwMode="auto">
                    <a:xfrm>
                      <a:off x="0" y="0"/>
                      <a:ext cx="2124074" cy="3590924"/>
                    </a:xfrm>
                    <a:prstGeom prst="rect">
                      <a:avLst/>
                    </a:prstGeom>
                    <a:ln>
                      <a:noFill/>
                    </a:ln>
                  </pic:spPr>
                </pic:pic>
              </a:graphicData>
            </a:graphic>
          </wp:inline>
        </w:drawing>
      </w:r>
    </w:p>
    <w:p w:rsidR="008C1E2F" w:rsidRDefault="008C1E2F" w:rsidP="008C1E2F">
      <w:pPr>
        <w:numPr>
          <w:ilvl w:val="0"/>
          <w:numId w:val="37"/>
        </w:numPr>
        <w:spacing w:line="360" w:lineRule="auto"/>
        <w:rPr>
          <w:rFonts w:cs="Times New Roman"/>
        </w:rPr>
      </w:pPr>
      <w:r>
        <w:rPr>
          <w:rFonts w:eastAsia="Times New Roman" w:cs="Times New Roman"/>
          <w:b/>
          <w:bCs/>
        </w:rPr>
        <w:t>Figure 2.2:</w:t>
      </w:r>
      <w:r>
        <w:rPr>
          <w:rFonts w:eastAsia="Times New Roman" w:cs="Times New Roman"/>
        </w:rPr>
        <w:t xml:space="preserve"> Stress distribution and characteristic flow behavior of bulk cohesive solids within a standard hopper.</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2.2.2 Dynamics of Screw-Driven Material Transport</w:t>
      </w:r>
    </w:p>
    <w:p w:rsidR="008C1E2F" w:rsidRDefault="008C1E2F" w:rsidP="008C1E2F">
      <w:pPr>
        <w:spacing w:line="360" w:lineRule="auto"/>
        <w:rPr>
          <w:rFonts w:cs="Times New Roman"/>
        </w:rPr>
      </w:pPr>
      <w:r>
        <w:rPr>
          <w:rFonts w:eastAsia="Times New Roman" w:cs="Times New Roman"/>
        </w:rPr>
        <w:t>The kinematic transport of granular material through a helical screw represents a complex multiphase flow phenomenon significantly more intricate than the ideal rigid-plug flow model implies. The auger does not function as a positive-displacement pump in the hydraulic sense; rather, axial transport emerges from the tribological interaction between particles, the rotating screw surface, and the stationary casing wall.</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lastRenderedPageBreak/>
        <w:t>A. Tribological Balance and Axial Transport Mechanism</w:t>
      </w:r>
    </w:p>
    <w:p w:rsidR="008C1E2F" w:rsidRDefault="008C1E2F" w:rsidP="008C1E2F">
      <w:pPr>
        <w:spacing w:line="360" w:lineRule="auto"/>
        <w:rPr>
          <w:rFonts w:cs="Times New Roman"/>
        </w:rPr>
      </w:pPr>
      <w:r>
        <w:rPr>
          <w:rFonts w:eastAsia="Times New Roman" w:cs="Times New Roman"/>
        </w:rPr>
        <w:t>Effective axial conveying depends upon a delicate balance between friction forces acting on particles. For forward transport to occur, the friction force against the stationary wall (</w:t>
      </w:r>
      <m:oMath>
        <m:sSub>
          <m:sSubPr>
            <m:ctrlPr>
              <w:rPr>
                <w:rFonts w:ascii="Cambria Math" w:eastAsia="Cambria Math" w:hAnsi="Cambria Math" w:cs="Cambria Math"/>
              </w:rPr>
            </m:ctrlPr>
          </m:sSubPr>
          <m:e>
            <m:r>
              <m:rPr>
                <m:sty m:val="p"/>
              </m:rPr>
              <w:rPr>
                <w:rFonts w:ascii="Cambria Math" w:eastAsia="Cambria Math" w:hAnsi="Cambria Math" w:cs="Cambria Math"/>
              </w:rPr>
              <m:t>F</m:t>
            </m:r>
          </m:e>
          <m:sub>
            <m:r>
              <m:rPr>
                <m:sty m:val="p"/>
              </m:rPr>
              <w:rPr>
                <w:rFonts w:ascii="Cambria Math" w:eastAsia="Cambria Math" w:hAnsi="Cambria Math" w:cs="Cambria Math"/>
              </w:rPr>
              <m:t>wall</m:t>
            </m:r>
          </m:sub>
        </m:sSub>
      </m:oMath>
      <w:r>
        <w:rPr>
          <w:rFonts w:eastAsia="Times New Roman" w:cs="Times New Roman"/>
        </w:rPr>
        <w:t>) must exceed the friction force against the rotating screw surface (</w:t>
      </w:r>
      <m:oMath>
        <m:sSub>
          <m:sSubPr>
            <m:ctrlPr>
              <w:rPr>
                <w:rFonts w:ascii="Cambria Math" w:eastAsia="Cambria Math" w:hAnsi="Cambria Math" w:cs="Cambria Math"/>
              </w:rPr>
            </m:ctrlPr>
          </m:sSubPr>
          <m:e>
            <m:r>
              <m:rPr>
                <m:sty m:val="p"/>
              </m:rPr>
              <w:rPr>
                <w:rFonts w:ascii="Cambria Math" w:eastAsia="Cambria Math" w:hAnsi="Cambria Math" w:cs="Cambria Math"/>
              </w:rPr>
              <m:t>F</m:t>
            </m:r>
          </m:e>
          <m:sub>
            <m:r>
              <m:rPr>
                <m:sty m:val="p"/>
              </m:rPr>
              <w:rPr>
                <w:rFonts w:ascii="Cambria Math" w:eastAsia="Cambria Math" w:hAnsi="Cambria Math" w:cs="Cambria Math"/>
              </w:rPr>
              <m:t>screw</m:t>
            </m:r>
          </m:sub>
        </m:sSub>
      </m:oMath>
      <w:r>
        <w:rPr>
          <w:rFonts w:eastAsia="Times New Roman" w:cs="Times New Roman"/>
        </w:rPr>
        <w:t>). If the material possesses excessive internal friction or adheres preferentially to the screw surface (</w:t>
      </w:r>
      <m:oMath>
        <m:sSub>
          <m:sSubPr>
            <m:ctrlPr>
              <w:rPr>
                <w:rFonts w:ascii="Cambria Math" w:eastAsia="Cambria Math" w:hAnsi="Cambria Math" w:cs="Cambria Math"/>
              </w:rPr>
            </m:ctrlPr>
          </m:sSubPr>
          <m:e>
            <m:r>
              <m:rPr>
                <m:sty m:val="p"/>
              </m:rPr>
              <w:rPr>
                <w:rFonts w:ascii="Cambria Math" w:eastAsia="Cambria Math" w:hAnsi="Cambria Math" w:cs="Cambria Math"/>
              </w:rPr>
              <m:t>F</m:t>
            </m:r>
          </m:e>
          <m:sub>
            <m:r>
              <m:rPr>
                <m:sty m:val="p"/>
              </m:rPr>
              <w:rPr>
                <w:rFonts w:ascii="Cambria Math" w:eastAsia="Cambria Math" w:hAnsi="Cambria Math" w:cs="Cambria Math"/>
              </w:rPr>
              <m:t>screw</m:t>
            </m:r>
          </m:sub>
        </m:sSub>
        <m:r>
          <m:rPr>
            <m:sty m:val="p"/>
          </m:rPr>
          <w:rPr>
            <w:rFonts w:ascii="Cambria Math" w:eastAsia="Cambria Math" w:hAnsi="Cambria Math" w:cs="Cambria Math"/>
          </w:rPr>
          <m:t>&gt;</m:t>
        </m:r>
        <m:sSub>
          <m:sSubPr>
            <m:ctrlPr>
              <w:rPr>
                <w:rFonts w:ascii="Cambria Math" w:eastAsia="Cambria Math" w:hAnsi="Cambria Math" w:cs="Cambria Math"/>
              </w:rPr>
            </m:ctrlPr>
          </m:sSubPr>
          <m:e>
            <m:r>
              <m:rPr>
                <m:sty m:val="p"/>
              </m:rPr>
              <w:rPr>
                <w:rFonts w:ascii="Cambria Math" w:eastAsia="Cambria Math" w:hAnsi="Cambria Math" w:cs="Cambria Math"/>
              </w:rPr>
              <m:t>F</m:t>
            </m:r>
          </m:e>
          <m:sub>
            <m:r>
              <m:rPr>
                <m:sty m:val="p"/>
              </m:rPr>
              <w:rPr>
                <w:rFonts w:ascii="Cambria Math" w:eastAsia="Cambria Math" w:hAnsi="Cambria Math" w:cs="Cambria Math"/>
              </w:rPr>
              <m:t>wall</m:t>
            </m:r>
          </m:sub>
        </m:sSub>
      </m:oMath>
      <w:r>
        <w:rPr>
          <w:rFonts w:eastAsia="Times New Roman" w:cs="Times New Roman"/>
        </w:rPr>
        <w:t>), the powder will rotate as a single rigid body a failure mode termed the "doughnut effect" resulting in complete cessation of axial pumping [</w:t>
      </w:r>
      <w:r w:rsidRPr="00B52433">
        <w:rPr>
          <w:rFonts w:eastAsia="Times New Roman" w:cs="Times New Roman"/>
        </w:rPr>
        <w:t>3</w:t>
      </w:r>
      <w:r>
        <w:rPr>
          <w:rFonts w:eastAsia="Times New Roman" w:cs="Times New Roman"/>
        </w:rPr>
        <w:t>1].</w:t>
      </w:r>
    </w:p>
    <w:p w:rsidR="008C1E2F" w:rsidRDefault="008C1E2F" w:rsidP="008C1E2F">
      <w:pPr>
        <w:spacing w:line="360" w:lineRule="auto"/>
        <w:rPr>
          <w:rFonts w:cs="Times New Roman"/>
        </w:rPr>
      </w:pPr>
      <w:r>
        <w:rPr>
          <w:rFonts w:eastAsia="Times New Roman" w:cs="Times New Roman"/>
        </w:rPr>
        <w:t xml:space="preserve">This tribological constraint dictates material selection and surface finish specifications for auger components. Highly polished surface finishes (e.g., 2B finish on AISI 316L stainless steel with </w:t>
      </w:r>
      <m:oMath>
        <m:sSub>
          <m:sSubPr>
            <m:ctrlPr>
              <w:rPr>
                <w:rFonts w:ascii="Cambria Math" w:eastAsia="Cambria Math" w:hAnsi="Cambria Math" w:cs="Cambria Math"/>
                <w:iCs/>
              </w:rPr>
            </m:ctrlPr>
          </m:sSubPr>
          <m:e>
            <m:r>
              <m:rPr>
                <m:sty m:val="p"/>
              </m:rPr>
              <w:rPr>
                <w:rFonts w:ascii="Cambria Math" w:eastAsia="Cambria Math" w:hAnsi="Cambria Math" w:cs="Cambria Math"/>
              </w:rPr>
              <m:t>R</m:t>
            </m:r>
          </m:e>
          <m:sub>
            <m:r>
              <m:rPr>
                <m:sty m:val="p"/>
              </m:rPr>
              <w:rPr>
                <w:rFonts w:ascii="Cambria Math" w:eastAsia="Cambria Math" w:hAnsi="Cambria Math" w:cs="Cambria Math"/>
              </w:rPr>
              <m:t>a</m:t>
            </m:r>
          </m:sub>
        </m:sSub>
        <m:r>
          <m:rPr>
            <m:sty m:val="p"/>
          </m:rPr>
          <w:rPr>
            <w:rFonts w:ascii="Cambria Math" w:eastAsia="Cambria Math" w:hAnsi="Cambria Math" w:cs="Cambria Math"/>
          </w:rPr>
          <m:t xml:space="preserve"> &lt; 0.5 µm</m:t>
        </m:r>
      </m:oMath>
      <w:r>
        <w:rPr>
          <w:rFonts w:eastAsia="Times New Roman" w:cs="Times New Roman"/>
        </w:rPr>
        <w:t>) minimize the wall friction angle (</w:t>
      </w:r>
      <m:oMath>
        <m:sSub>
          <m:sSubPr>
            <m:ctrlPr>
              <w:rPr>
                <w:rFonts w:ascii="Cambria Math" w:eastAsia="Cambria Math" w:hAnsi="Cambria Math" w:cs="Cambria Math"/>
              </w:rPr>
            </m:ctrlPr>
          </m:sSubPr>
          <m:e>
            <m:r>
              <m:rPr>
                <m:sty m:val="p"/>
              </m:rPr>
              <w:rPr>
                <w:rFonts w:ascii="Cambria Math" w:eastAsia="Cambria Math" w:hAnsi="Cambria Math" w:cs="Cambria Math"/>
              </w:rPr>
              <m:t>Q</m:t>
            </m:r>
          </m:e>
          <m:sub>
            <m:r>
              <m:rPr>
                <m:sty m:val="p"/>
              </m:rPr>
              <w:rPr>
                <w:rFonts w:ascii="Cambria Math" w:eastAsia="Cambria Math" w:hAnsi="Cambria Math" w:cs="Cambria Math"/>
              </w:rPr>
              <m:t>ω</m:t>
            </m:r>
          </m:sub>
        </m:sSub>
      </m:oMath>
      <w:r>
        <w:rPr>
          <w:rFonts w:eastAsia="Times New Roman" w:cs="Times New Roman"/>
        </w:rPr>
        <w:t>), thereby promoting the differential friction necessary for axial transport while satisfying hygienic requirements for food-contact applications [</w:t>
      </w:r>
      <w:r w:rsidRPr="00B52433">
        <w:rPr>
          <w:rFonts w:eastAsia="Times New Roman" w:cs="Times New Roman"/>
        </w:rPr>
        <w:t>32</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The theoretical volumetric displacement per revolution is geometrically determined by the screw geometry:</w:t>
      </w:r>
    </w:p>
    <w:p w:rsidR="008C1E2F" w:rsidRDefault="008C1E2F" w:rsidP="008C1E2F">
      <w:pPr>
        <w:spacing w:line="360" w:lineRule="auto"/>
        <w:rPr>
          <w:rFonts w:cs="Times New Roman"/>
        </w:rPr>
      </w:pPr>
      <m:oMathPara>
        <m:oMath>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theoretical</m:t>
              </m:r>
            </m:sub>
          </m:sSub>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π</m:t>
              </m:r>
            </m:num>
            <m:den>
              <m:r>
                <m:rPr>
                  <m:sty m:val="p"/>
                </m:rPr>
                <w:rPr>
                  <w:rFonts w:ascii="Cambria Math" w:eastAsia="Cambria Math" w:hAnsi="Cambria Math" w:cs="Cambria Math"/>
                </w:rPr>
                <m:t>4</m:t>
              </m:r>
            </m:den>
          </m:f>
          <m:r>
            <m:rPr>
              <m:sty m:val="p"/>
            </m:rPr>
            <w:rPr>
              <w:rFonts w:ascii="Cambria Math" w:eastAsia="Cambria Math" w:hAnsi="Cambria Math" w:cs="Cambria Math"/>
            </w:rPr>
            <m:t>(</m:t>
          </m:r>
          <m:sSup>
            <m:sSupPr>
              <m:ctrlPr>
                <w:rPr>
                  <w:rFonts w:ascii="Cambria Math" w:eastAsia="Cambria Math" w:hAnsi="Cambria Math" w:cs="Cambria Math"/>
                </w:rPr>
              </m:ctrlPr>
            </m:sSupPr>
            <m:e>
              <m:r>
                <m:rPr>
                  <m:sty m:val="p"/>
                </m:rPr>
                <w:rPr>
                  <w:rFonts w:ascii="Cambria Math" w:eastAsia="Cambria Math" w:hAnsi="Cambria Math" w:cs="Cambria Math"/>
                </w:rPr>
                <m:t>D</m:t>
              </m:r>
            </m:e>
            <m:sup>
              <m:r>
                <m:rPr>
                  <m:sty m:val="p"/>
                </m:rPr>
                <w:rPr>
                  <w:rFonts w:ascii="Cambria Math" w:eastAsia="Cambria Math" w:hAnsi="Cambria Math" w:cs="Cambria Math"/>
                </w:rPr>
                <m:t>2</m:t>
              </m:r>
            </m:sup>
          </m:sSup>
          <m:r>
            <m:rPr>
              <m:sty m:val="p"/>
            </m:rPr>
            <w:rPr>
              <w:rFonts w:ascii="Cambria Math" w:eastAsia="Cambria Math" w:hAnsi="Cambria Math" w:cs="Cambria Math"/>
            </w:rPr>
            <m:t>-</m:t>
          </m:r>
          <m:sSubSup>
            <m:sSubSupPr>
              <m:ctrlPr>
                <w:rPr>
                  <w:rFonts w:ascii="Cambria Math" w:eastAsia="Cambria Math" w:hAnsi="Cambria Math" w:cs="Cambria Math"/>
                </w:rPr>
              </m:ctrlPr>
            </m:sSubSupPr>
            <m:e>
              <m:r>
                <m:rPr>
                  <m:sty m:val="p"/>
                </m:rPr>
                <w:rPr>
                  <w:rFonts w:ascii="Cambria Math" w:eastAsia="Cambria Math" w:hAnsi="Cambria Math" w:cs="Cambria Math"/>
                </w:rPr>
                <m:t>D</m:t>
              </m:r>
            </m:e>
            <m:sub>
              <m:r>
                <m:rPr>
                  <m:sty m:val="p"/>
                </m:rPr>
                <w:rPr>
                  <w:rFonts w:ascii="Cambria Math" w:eastAsia="Cambria Math" w:hAnsi="Cambria Math" w:cs="Cambria Math"/>
                </w:rPr>
                <m:t>s</m:t>
              </m:r>
            </m:sub>
            <m:sup>
              <m:r>
                <m:rPr>
                  <m:sty m:val="p"/>
                </m:rPr>
                <w:rPr>
                  <w:rFonts w:ascii="Cambria Math" w:eastAsia="Cambria Math" w:hAnsi="Cambria Math" w:cs="Cambria Math"/>
                </w:rPr>
                <m:t>2</m:t>
              </m:r>
            </m:sup>
          </m:sSubSup>
          <m:r>
            <m:rPr>
              <m:sty m:val="p"/>
            </m:rPr>
            <w:rPr>
              <w:rFonts w:ascii="Cambria Math" w:eastAsia="Cambria Math" w:hAnsi="Cambria Math" w:cs="Cambria Math"/>
            </w:rPr>
            <m:t>)×P</m:t>
          </m:r>
        </m:oMath>
      </m:oMathPara>
    </w:p>
    <w:p w:rsidR="008C1E2F" w:rsidRDefault="008C1E2F" w:rsidP="008C1E2F">
      <w:pPr>
        <w:spacing w:line="360" w:lineRule="auto"/>
        <w:rPr>
          <w:rFonts w:cs="Times New Roman"/>
        </w:rPr>
      </w:pPr>
      <w:r>
        <w:rPr>
          <w:rFonts w:eastAsia="Times New Roman" w:cs="Times New Roman"/>
        </w:rPr>
        <w:t xml:space="preserve">where </w:t>
      </w:r>
      <m:oMath>
        <m:r>
          <m:rPr>
            <m:sty m:val="p"/>
          </m:rPr>
          <w:rPr>
            <w:rFonts w:ascii="Cambria Math" w:eastAsia="Cambria Math" w:hAnsi="Cambria Math" w:cs="Cambria Math"/>
          </w:rPr>
          <m:t>D</m:t>
        </m:r>
      </m:oMath>
      <w:r>
        <w:rPr>
          <w:rFonts w:eastAsia="Times New Roman" w:cs="Times New Roman"/>
        </w:rPr>
        <w:t xml:space="preserve"> is the auger outer diameter, </w:t>
      </w:r>
      <m:oMath>
        <m:r>
          <m:rPr>
            <m:sty m:val="p"/>
          </m:rPr>
          <w:rPr>
            <w:rFonts w:ascii="Cambria Math" w:eastAsia="Cambria Math" w:hAnsi="Cambria Math" w:cs="Cambria Math"/>
          </w:rPr>
          <m:t>d</m:t>
        </m:r>
      </m:oMath>
      <w:r>
        <w:rPr>
          <w:rFonts w:eastAsia="Times New Roman" w:cs="Times New Roman"/>
        </w:rPr>
        <w:t xml:space="preserve"> is the shaft diameter, and </w:t>
      </w:r>
      <m:oMath>
        <m:r>
          <m:rPr>
            <m:sty m:val="p"/>
          </m:rPr>
          <w:rPr>
            <w:rFonts w:ascii="Cambria Math" w:eastAsia="Cambria Math" w:hAnsi="Cambria Math" w:cs="Cambria Math"/>
          </w:rPr>
          <m:t>P</m:t>
        </m:r>
      </m:oMath>
      <w:r>
        <w:rPr>
          <w:rFonts w:eastAsia="Times New Roman" w:cs="Times New Roman"/>
        </w:rPr>
        <w:t xml:space="preserve"> is the pitch. However, the actual mass delivered depends on the operational bulk density (</w:t>
      </w:r>
      <m:oMath>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b</m:t>
            </m:r>
          </m:sub>
        </m:sSub>
      </m:oMath>
      <w:r>
        <w:rPr>
          <w:rFonts w:eastAsia="Times New Roman" w:cs="Times New Roman"/>
        </w:rPr>
        <w:t>) and volumetric efficiency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oMath>
      <w:r>
        <w:rPr>
          <w:rFonts w:eastAsia="Times New Roman" w:cs="Times New Roman"/>
        </w:rPr>
        <w:t>):</w:t>
      </w:r>
    </w:p>
    <w:p w:rsidR="008C1E2F" w:rsidRDefault="008C1E2F" w:rsidP="008C1E2F">
      <w:pPr>
        <w:spacing w:line="360" w:lineRule="auto"/>
        <w:rPr>
          <w:rFonts w:cs="Times New Roman"/>
        </w:rPr>
      </w:pPr>
      <m:oMathPara>
        <m:oMath>
          <m:sSub>
            <m:sSubPr>
              <m:ctrlPr>
                <w:rPr>
                  <w:rFonts w:ascii="Cambria Math" w:eastAsia="Cambria Math" w:hAnsi="Cambria Math" w:cs="Cambria Math"/>
                </w:rPr>
              </m:ctrlPr>
            </m:sSubPr>
            <m:e>
              <m:r>
                <m:rPr>
                  <m:sty m:val="p"/>
                </m:rPr>
                <w:rPr>
                  <w:rFonts w:ascii="Cambria Math" w:eastAsia="Cambria Math" w:hAnsi="Cambria Math" w:cs="Cambria Math"/>
                </w:rPr>
                <m:t>m</m:t>
              </m:r>
            </m:e>
            <m:sub>
              <m:r>
                <m:rPr>
                  <m:sty m:val="p"/>
                </m:rPr>
                <w:rPr>
                  <w:rFonts w:ascii="Cambria Math" w:eastAsia="Cambria Math" w:hAnsi="Cambria Math" w:cs="Cambria Math"/>
                </w:rPr>
                <m:t>actual</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theoretical</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b</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oMath>
      </m:oMathPara>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B. Vortex Motion, Backflow, and Volumetric Efficiency</w:t>
      </w:r>
    </w:p>
    <w:p w:rsidR="008C1E2F" w:rsidRDefault="008C1E2F" w:rsidP="008C1E2F">
      <w:pPr>
        <w:spacing w:line="360" w:lineRule="auto"/>
        <w:rPr>
          <w:rFonts w:cs="Times New Roman"/>
        </w:rPr>
      </w:pPr>
      <w:r>
        <w:rPr>
          <w:rFonts w:eastAsia="Times New Roman" w:cs="Times New Roman"/>
        </w:rPr>
        <w:t>Advanced computational studies utilizing Discrete Element Method (DEM) simulations have revealed that particles within the screw channel do not follow strictly linear helical paths. Instead, they exhibit complex three-dimensional velocity fields characterized by granular vortex motions localized circulation patterns within individual pitches that consume energy and reduce transport efficiency [</w:t>
      </w:r>
      <w:r w:rsidRPr="00B52433">
        <w:rPr>
          <w:rFonts w:eastAsia="Times New Roman" w:cs="Times New Roman"/>
        </w:rPr>
        <w:t>33</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lastRenderedPageBreak/>
        <w:t>A critical volumetric loss mechanism arises from "backflow" through the radial clearance (C) between the flight tip and the casing wall. This backward leakage, wherein material bypasses the advancing flight by flowing through the annular gap, increases proportionally with rotational speed and inversely with particle size relative to clearance dimension. For precision dosing applications, radial clearances must be minimized (typically 1.0–2.0 mm) while maintaining sufficient tolerance to prevent metallic contact and galling [17].</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rPr>
        <w:t>The volumetric efficiency factor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oMath>
      <w:r>
        <w:rPr>
          <w:rFonts w:eastAsia="Times New Roman" w:cs="Times New Roman"/>
        </w:rPr>
        <w:t>)—defined as the ratio of actual to theoretical volumetric displacement encapsulates these non-ideal behaviors:</w:t>
      </w:r>
    </w:p>
    <w:p w:rsidR="008C1E2F" w:rsidRDefault="008C1E2F" w:rsidP="008C1E2F">
      <w:pPr>
        <w:spacing w:line="360" w:lineRule="auto"/>
        <w:rPr>
          <w:rFonts w:cs="Times New Roman"/>
        </w:rPr>
      </w:pPr>
      <m:oMathPara>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r>
            <m:rPr>
              <m:sty m:val="p"/>
            </m:rP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actual</m:t>
                  </m:r>
                </m:sub>
              </m:sSub>
            </m:num>
            <m:den>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therotical</m:t>
                  </m:r>
                </m:sub>
              </m:sSub>
            </m:den>
          </m:f>
        </m:oMath>
      </m:oMathPara>
    </w:p>
    <w:p w:rsidR="008C1E2F" w:rsidRDefault="008C1E2F" w:rsidP="008C1E2F">
      <w:pPr>
        <w:spacing w:line="360" w:lineRule="auto"/>
        <w:rPr>
          <w:rFonts w:cs="Times New Roman"/>
        </w:rPr>
      </w:pPr>
      <w:r>
        <w:rPr>
          <w:rFonts w:eastAsia="Times New Roman" w:cs="Times New Roman"/>
        </w:rPr>
        <w:t xml:space="preserve">Empirical observations for well-designed augers handling free-flowing granular materials indicate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oMath>
      <w:r>
        <w:rPr>
          <w:rFonts w:eastAsia="Times New Roman" w:cs="Times New Roman"/>
        </w:rPr>
        <w:t xml:space="preserve"> typically ranges between 0.65 and 0.80. This efficiency is not constant but varies with rotational speed, fill level, material properties, and wear state, necessitating empirical calibration and, in advanced systems, real-time compensation through closed-loop control [</w:t>
      </w:r>
      <w:r w:rsidRPr="00B52433">
        <w:rPr>
          <w:rFonts w:eastAsia="Times New Roman" w:cs="Times New Roman"/>
        </w:rPr>
        <w:t>34</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C. Effect of Operating Parameters</w:t>
      </w:r>
    </w:p>
    <w:p w:rsidR="008C1E2F" w:rsidRDefault="008C1E2F" w:rsidP="008C1E2F">
      <w:pPr>
        <w:spacing w:line="360" w:lineRule="auto"/>
        <w:rPr>
          <w:rFonts w:cs="Times New Roman"/>
        </w:rPr>
      </w:pPr>
      <w:r>
        <w:rPr>
          <w:rFonts w:eastAsia="Times New Roman" w:cs="Times New Roman"/>
          <w:b/>
          <w:bCs/>
        </w:rPr>
        <w:t>Rotational Speed:</w:t>
      </w:r>
      <w:r>
        <w:rPr>
          <w:rFonts w:eastAsia="Times New Roman" w:cs="Times New Roman"/>
        </w:rPr>
        <w:t xml:space="preserve"> While increasing the auger rotational speed (n) theoretically increases mass flow rate (</w:t>
      </w:r>
      <m:oMath>
        <m:acc>
          <m:accPr>
            <m:chr m:val="̇"/>
            <m:ctrlPr>
              <w:rPr>
                <w:rFonts w:ascii="Cambria Math" w:eastAsia="Cambria Math" w:hAnsi="Cambria Math" w:cs="Cambria Math"/>
              </w:rPr>
            </m:ctrlPr>
          </m:accPr>
          <m:e>
            <m:r>
              <m:rPr>
                <m:sty m:val="p"/>
              </m:rPr>
              <w:rPr>
                <w:rFonts w:ascii="Cambria Math" w:eastAsia="Cambria Math" w:hAnsi="Cambria Math" w:cs="Cambria Math"/>
              </w:rPr>
              <m:t>m</m:t>
            </m:r>
          </m:e>
        </m:acc>
        <m:r>
          <m:rPr>
            <m:sty m:val="p"/>
          </m:rP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m</m:t>
            </m:r>
          </m:e>
          <m:sub>
            <m:r>
              <m:rPr>
                <m:sty m:val="p"/>
              </m:rPr>
              <w:rPr>
                <w:rFonts w:ascii="Cambria Math" w:eastAsia="Cambria Math" w:hAnsi="Cambria Math" w:cs="Cambria Math"/>
              </w:rPr>
              <m:t>actual</m:t>
            </m:r>
          </m:sub>
        </m:sSub>
        <m:r>
          <m:rPr>
            <m:sty m:val="p"/>
          </m:rPr>
          <w:rPr>
            <w:rFonts w:ascii="Cambria Math" w:eastAsia="Cambria Math" w:hAnsi="Cambria Math" w:cs="Cambria Math"/>
          </w:rPr>
          <m:t xml:space="preserve">×n </m:t>
        </m:r>
      </m:oMath>
      <w:r>
        <w:rPr>
          <w:rFonts w:eastAsia="Times New Roman" w:cs="Times New Roman"/>
        </w:rPr>
        <w:t>), practical limits exist. Excessive speeds generate increased centrifugal forces that press particles against the casing wall, potentially altering friction dynamics and promoting particle attrition. Furthermore, high-speed operation exacerbates backflow and reduces the time available for material settling into the screw flights, potentially reducing volumetric efficiency [</w:t>
      </w:r>
      <w:r w:rsidRPr="00B52433">
        <w:rPr>
          <w:rFonts w:eastAsia="Times New Roman" w:cs="Times New Roman"/>
        </w:rPr>
        <w:t>35</w:t>
      </w:r>
      <w:r>
        <w:rPr>
          <w:rFonts w:eastAsia="Times New Roman" w:cs="Times New Roman"/>
        </w:rPr>
        <w:t>].</w:t>
      </w:r>
    </w:p>
    <w:p w:rsidR="008C1E2F" w:rsidRDefault="008C1E2F" w:rsidP="008C1E2F">
      <w:pPr>
        <w:spacing w:line="360" w:lineRule="auto"/>
        <w:rPr>
          <w:rFonts w:cs="Times New Roman"/>
        </w:rPr>
      </w:pPr>
      <w:r>
        <w:rPr>
          <w:rFonts w:eastAsia="Times New Roman" w:cs="Times New Roman"/>
          <w:b/>
          <w:bCs/>
        </w:rPr>
        <w:t>Fill Level:</w:t>
      </w:r>
      <w:r>
        <w:rPr>
          <w:rFonts w:eastAsia="Times New Roman" w:cs="Times New Roman"/>
        </w:rPr>
        <w:t xml:space="preserve"> The degree of screw channel filling significantly influences conveying dynamics. Optimal performance is typically achieved at fill levels between 40% and 80% of theoretical capacity. Underfilling leads to erratic, pulsating discharge, while overfilling increases compaction and power consumption without proportional throughput gains [20].</w:t>
      </w:r>
    </w:p>
    <w:p w:rsidR="008C1E2F" w:rsidRDefault="008C1E2F" w:rsidP="008C1E2F">
      <w:pPr>
        <w:spacing w:line="360" w:lineRule="auto"/>
        <w:rPr>
          <w:rFonts w:cs="Times New Roman"/>
        </w:rPr>
      </w:pPr>
      <w:r>
        <w:rPr>
          <w:rFonts w:eastAsia="Times New Roman" w:cs="Times New Roman"/>
          <w:b/>
          <w:bCs/>
        </w:rPr>
        <w:lastRenderedPageBreak/>
        <w:t>Particle-Scale Dynamics:</w:t>
      </w:r>
      <w:r>
        <w:rPr>
          <w:rFonts w:eastAsia="Times New Roman" w:cs="Times New Roman"/>
        </w:rPr>
        <w:t xml:space="preserve"> DEM simulations by El Kassem (2021) demonstrate that material transport involves continuous particle rearrangement, with velocity gradients across the screw channel cross-section. Particles near the shaft exhibit lower axial velocities than those at the periphery, and transient force chains form and collapse during rotation, generating fluctuating torque requirements that must be accommodated by the servo drive system [</w:t>
      </w:r>
      <w:r w:rsidRPr="00B52433">
        <w:rPr>
          <w:rFonts w:eastAsia="Times New Roman" w:cs="Times New Roman"/>
        </w:rPr>
        <w:t>36</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Integration with Mechatronic Control</w:t>
      </w:r>
    </w:p>
    <w:p w:rsidR="008C1E2F" w:rsidRDefault="008C1E2F" w:rsidP="008C1E2F">
      <w:pPr>
        <w:spacing w:line="360" w:lineRule="auto"/>
        <w:rPr>
          <w:rFonts w:cs="Times New Roman"/>
        </w:rPr>
      </w:pPr>
      <w:r>
        <w:rPr>
          <w:rFonts w:eastAsia="Times New Roman" w:cs="Times New Roman"/>
        </w:rPr>
        <w:t>These complex rheological and kinematic behaviors establish that ideal mathematical models must be augmented with empirical efficiency factors and active mechatronic compensation to achieve high-precision industrial dosing. The inherent variability in bulk density, the non-linear relationship between screw rotation and material displacement, and the susceptibility to environmental moisture necessitate control architectures that transcend open-loop volumetric operation.</w:t>
      </w:r>
    </w:p>
    <w:p w:rsidR="008C1E2F" w:rsidRDefault="008C1E2F" w:rsidP="008C1E2F">
      <w:pPr>
        <w:spacing w:line="360" w:lineRule="auto"/>
        <w:rPr>
          <w:rFonts w:cs="Times New Roman"/>
        </w:rPr>
      </w:pPr>
      <w:r>
        <w:rPr>
          <w:rFonts w:eastAsia="Times New Roman" w:cs="Times New Roman"/>
        </w:rPr>
        <w:t>Modern mechatronic systems address these challenges through the integration of adaptive microcontrollers implementing real-time volumetric correction factors. By periodically calibrating bulk density via auxiliary sensing or closed-loop feedback from load cells, the control system dynamically adjusts the required number of motor revolutions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req</m:t>
            </m:r>
          </m:sub>
        </m:sSub>
      </m:oMath>
      <w:r>
        <w:rPr>
          <w:rFonts w:eastAsia="Times New Roman" w:cs="Times New Roman"/>
        </w:rPr>
        <w:t>), effectively synthesizing the speed advantages of volumetric filling with the accuracy characteristics of gravimetric measurement. This hybrid approach, detailed in subsequent chapters, represents the contemporary engineering solution to the historical speed-accuracy trade-off in powder dosing systems [</w:t>
      </w:r>
      <w:r w:rsidRPr="00B52433">
        <w:rPr>
          <w:rFonts w:eastAsia="Times New Roman" w:cs="Times New Roman"/>
        </w:rPr>
        <w:t>37</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rPr>
        <w:br w:type="page" w:clear="all"/>
      </w:r>
    </w:p>
    <w:p w:rsidR="008C1E2F" w:rsidRDefault="008C1E2F" w:rsidP="008C1E2F">
      <w:pPr>
        <w:spacing w:line="360" w:lineRule="auto"/>
        <w:rPr>
          <w:rFonts w:cs="Times New Roman"/>
          <w:b/>
        </w:rPr>
      </w:pPr>
      <w:r>
        <w:rPr>
          <w:rFonts w:eastAsia="Times New Roman" w:cs="Times New Roman"/>
          <w:b/>
          <w:bCs/>
        </w:rPr>
        <w:lastRenderedPageBreak/>
        <w:t>2.3 Auger Filler Engineering State-of-the-Art</w:t>
      </w:r>
    </w:p>
    <w:p w:rsidR="008C1E2F" w:rsidRDefault="008C1E2F" w:rsidP="008C1E2F">
      <w:pPr>
        <w:spacing w:line="360" w:lineRule="auto"/>
        <w:rPr>
          <w:rFonts w:cs="Times New Roman"/>
        </w:rPr>
      </w:pPr>
      <w:r>
        <w:rPr>
          <w:rFonts w:eastAsia="Times New Roman" w:cs="Times New Roman"/>
        </w:rPr>
        <w:t>The transition from theoretical granular mechanics to applied machine design necessitates a state-of-the-art approach to component engineering, wherein geometric optimization and material selection are governed by rigorous tribological, mechanical, and hygienic constraints. Modern volumetric dosing systems achieve industrial-grade precision not merely through control algorithms but through the meticulous engineering of the auger's macroscopic geometry and the strategic selection of advanced materials. This section delineates the contemporary engineering standards governing auger design for food-grade applications, with specific emphasis on the processing of crystalline Sodium Chloride (NaCl).</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2.3.1 Geometry Optimization: Pitch, Flight Depth, and Taper</w:t>
      </w:r>
    </w:p>
    <w:p w:rsidR="008C1E2F" w:rsidRDefault="008C1E2F" w:rsidP="008C1E2F">
      <w:pPr>
        <w:spacing w:line="360" w:lineRule="auto"/>
        <w:rPr>
          <w:rFonts w:cs="Times New Roman"/>
        </w:rPr>
      </w:pPr>
      <w:r>
        <w:rPr>
          <w:rFonts w:eastAsia="Times New Roman" w:cs="Times New Roman"/>
        </w:rPr>
        <w:t>The volumetric efficiency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oMath>
      <w:r>
        <w:rPr>
          <w:rFonts w:eastAsia="Times New Roman" w:cs="Times New Roman"/>
        </w:rPr>
        <w:t>), flow stability, and dosing accuracy of an auger filler are fundamentally governed by three interdependent geometric parameters: the pitch-to-diameter ratio (</w:t>
      </w:r>
      <w:r>
        <w:rPr>
          <w:rFonts w:eastAsia="Times New Roman" w:cs="Times New Roman"/>
          <w:b/>
          <w:bCs/>
        </w:rPr>
        <w:t>P/D</w:t>
      </w:r>
      <w:r>
        <w:rPr>
          <w:rFonts w:eastAsia="Times New Roman" w:cs="Times New Roman"/>
        </w:rPr>
        <w:t>), the flight depth (annular conveying area), and the radial clearance (</w:t>
      </w:r>
      <w:r>
        <w:rPr>
          <w:rFonts w:eastAsia="Times New Roman" w:cs="Times New Roman"/>
          <w:b/>
          <w:bCs/>
        </w:rPr>
        <w:t>δ</w:t>
      </w:r>
      <w:r>
        <w:rPr>
          <w:rFonts w:eastAsia="Times New Roman" w:cs="Times New Roman"/>
        </w:rPr>
        <w:t>). The optimization of these parameters constitutes a multi-objective engineering problem balancing volumetric capacity, structural integrity, and tribological performance.</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A. Pitch-to-Diameter Ratio (P/D)</w:t>
      </w:r>
    </w:p>
    <w:p w:rsidR="008C1E2F" w:rsidRDefault="008C1E2F" w:rsidP="008C1E2F">
      <w:pPr>
        <w:spacing w:line="360" w:lineRule="auto"/>
        <w:rPr>
          <w:rFonts w:cs="Times New Roman"/>
        </w:rPr>
      </w:pPr>
      <w:r>
        <w:rPr>
          <w:rFonts w:eastAsia="Times New Roman" w:cs="Times New Roman"/>
        </w:rPr>
        <w:t>The pitch (P), defined as the axial distance between corresponding points on adjacent flights, directly determines the theoretical volumetric displacement per revolution. For free-flowing granular materials such as Sodium Chloride, contemporary industrial practice and Conveyor Equipment Manufacturers Association (CEMA) standards converge on the "square-pitch" configuration, wherein the pitch equals the outer flight diameter (</w:t>
      </w:r>
      <w:r>
        <w:rPr>
          <w:rFonts w:eastAsia="Times New Roman" w:cs="Times New Roman"/>
          <w:b/>
          <w:bCs/>
        </w:rPr>
        <w:t>P/D = 1.0</w:t>
      </w:r>
      <w:r>
        <w:rPr>
          <w:rFonts w:eastAsia="Times New Roman" w:cs="Times New Roman"/>
        </w:rPr>
        <w:t>) [</w:t>
      </w:r>
      <w:r w:rsidRPr="00B52433">
        <w:rPr>
          <w:rFonts w:eastAsia="Times New Roman" w:cs="Times New Roman"/>
        </w:rPr>
        <w:t>38</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w:t>
      </w:r>
    </w:p>
    <w:p w:rsidR="008C1E2F" w:rsidRDefault="008C1E2F" w:rsidP="008C1E2F">
      <w:pPr>
        <w:spacing w:line="360" w:lineRule="auto"/>
        <w:rPr>
          <w:rFonts w:cs="Times New Roman"/>
        </w:rPr>
      </w:pPr>
      <w:r>
        <w:rPr>
          <w:rFonts w:eastAsia="Times New Roman" w:cs="Times New Roman"/>
        </w:rPr>
        <w:t>This specific geometry ensures stable, uniform axial displacement of particles while minimizing internal shear friction within the powder bed. Deviations from unity—</w:t>
      </w:r>
      <w:r>
        <w:rPr>
          <w:rFonts w:eastAsia="Times New Roman" w:cs="Times New Roman"/>
        </w:rPr>
        <w:lastRenderedPageBreak/>
        <w:t>either through increased pitch (which promotes aeration and pulsating flow) or decreased pitch (which increases particle compaction and torque requirements)—degrade dosing consistency for free-flowing materials. Research by Bates (2008) further indicates that optimal pitch selection depends on the ratio of particle size to flight depth, with larger particles requiring proportionally larger pitch to prevent jamming and mechanical damage [</w:t>
      </w:r>
      <w:r w:rsidRPr="00B52433">
        <w:rPr>
          <w:rFonts w:eastAsia="Times New Roman" w:cs="Times New Roman"/>
        </w:rPr>
        <w:t>39</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 xml:space="preserve">In the present design, both parameters are standardized at </w:t>
      </w:r>
      <m:oMath>
        <m:r>
          <m:rPr>
            <m:sty m:val="b"/>
          </m:rPr>
          <w:rPr>
            <w:rFonts w:ascii="Cambria Math" w:eastAsia="Cambria Math" w:hAnsi="Cambria Math" w:cs="Cambria Math"/>
          </w:rPr>
          <m:t>D = P = 60 mm</m:t>
        </m:r>
      </m:oMath>
      <w:r>
        <w:rPr>
          <w:rFonts w:eastAsia="Times New Roman" w:cs="Times New Roman"/>
        </w:rPr>
        <w:t>, yielding a theoretical volumetric displacement per revolution of:</w:t>
      </w:r>
    </w:p>
    <w:p w:rsidR="008C1E2F" w:rsidRDefault="008C1E2F" w:rsidP="008C1E2F">
      <w:pPr>
        <w:spacing w:line="360" w:lineRule="auto"/>
        <w:rPr>
          <w:rFonts w:cs="Times New Roman"/>
          <w:rtl/>
        </w:rPr>
      </w:pPr>
      <m:oMathPara>
        <m:oMath>
          <m:sSub>
            <m:sSubPr>
              <m:ctrlPr>
                <w:rPr>
                  <w:rFonts w:ascii="Cambria Math" w:eastAsia="Cambria Math" w:hAnsi="Cambria Math" w:cs="Cambria Math"/>
                </w:rPr>
              </m:ctrlPr>
            </m:sSubPr>
            <m:e>
              <m:r>
                <m:rPr>
                  <m:sty m:val="p"/>
                </m:rPr>
                <w:rPr>
                  <w:rFonts w:ascii="Cambria Math" w:eastAsia="Cambria Math" w:hAnsi="Cambria Math" w:cs="Cambria Math"/>
                </w:rPr>
                <m:t>V</m:t>
              </m:r>
            </m:e>
            <m:sub>
              <m:r>
                <m:rPr>
                  <m:sty m:val="p"/>
                </m:rPr>
                <w:rPr>
                  <w:rFonts w:ascii="Cambria Math" w:eastAsia="Cambria Math" w:hAnsi="Cambria Math" w:cs="Cambria Math"/>
                </w:rPr>
                <m:t>theortical</m:t>
              </m:r>
            </m:sub>
          </m:sSub>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π</m:t>
              </m:r>
            </m:num>
            <m:den>
              <m:r>
                <m:rPr>
                  <m:sty m:val="p"/>
                </m:rPr>
                <w:rPr>
                  <w:rFonts w:ascii="Cambria Math" w:eastAsia="Cambria Math" w:hAnsi="Cambria Math" w:cs="Cambria Math"/>
                </w:rPr>
                <m:t>4</m:t>
              </m:r>
            </m:den>
          </m:f>
          <m:r>
            <m:rPr>
              <m:sty m:val="p"/>
            </m:rPr>
            <w:rPr>
              <w:rFonts w:ascii="Cambria Math" w:eastAsia="Cambria Math" w:hAnsi="Cambria Math" w:cs="Cambria Math"/>
            </w:rPr>
            <m:t>×</m:t>
          </m:r>
          <m:d>
            <m:dPr>
              <m:ctrlPr>
                <w:rPr>
                  <w:rFonts w:ascii="Cambria Math" w:eastAsia="Cambria Math" w:hAnsi="Cambria Math" w:cs="Cambria Math"/>
                </w:rPr>
              </m:ctrlPr>
            </m:dPr>
            <m:e>
              <m:sSup>
                <m:sSupPr>
                  <m:ctrlPr>
                    <w:rPr>
                      <w:rFonts w:ascii="Cambria Math" w:eastAsia="Cambria Math" w:hAnsi="Cambria Math" w:cs="Cambria Math"/>
                    </w:rPr>
                  </m:ctrlPr>
                </m:sSupPr>
                <m:e>
                  <m:r>
                    <m:rPr>
                      <m:sty m:val="p"/>
                    </m:rPr>
                    <w:rPr>
                      <w:rFonts w:ascii="Cambria Math" w:eastAsia="Cambria Math" w:hAnsi="Cambria Math" w:cs="Cambria Math"/>
                    </w:rPr>
                    <m:t>60</m:t>
                  </m:r>
                </m:e>
                <m:sup>
                  <m:r>
                    <m:rPr>
                      <m:sty m:val="p"/>
                    </m:rPr>
                    <w:rPr>
                      <w:rFonts w:ascii="Cambria Math" w:eastAsia="Cambria Math" w:hAnsi="Cambria Math" w:cs="Cambria Math"/>
                    </w:rPr>
                    <m:t>2</m:t>
                  </m:r>
                </m:sup>
              </m:sSup>
              <m:r>
                <m:rPr>
                  <m:sty m:val="p"/>
                </m:rPr>
                <w:rPr>
                  <w:rFonts w:ascii="Cambria Math" w:eastAsia="Cambria Math" w:hAnsi="Cambria Math" w:cs="Cambria Math"/>
                </w:rPr>
                <m:t>-</m:t>
              </m:r>
              <m:sSup>
                <m:sSupPr>
                  <m:ctrlPr>
                    <w:rPr>
                      <w:rFonts w:ascii="Cambria Math" w:eastAsia="Cambria Math" w:hAnsi="Cambria Math" w:cs="Cambria Math"/>
                    </w:rPr>
                  </m:ctrlPr>
                </m:sSupPr>
                <m:e>
                  <m:r>
                    <m:rPr>
                      <m:sty m:val="p"/>
                    </m:rPr>
                    <w:rPr>
                      <w:rFonts w:ascii="Cambria Math" w:eastAsia="Cambria Math" w:hAnsi="Cambria Math" w:cs="Cambria Math"/>
                    </w:rPr>
                    <m:t>16</m:t>
                  </m:r>
                </m:e>
                <m:sup>
                  <m:r>
                    <m:rPr>
                      <m:sty m:val="p"/>
                    </m:rPr>
                    <w:rPr>
                      <w:rFonts w:ascii="Cambria Math" w:eastAsia="Cambria Math" w:hAnsi="Cambria Math" w:cs="Cambria Math"/>
                    </w:rPr>
                    <m:t>2</m:t>
                  </m:r>
                </m:sup>
              </m:sSup>
            </m:e>
          </m:d>
          <m:r>
            <m:rPr>
              <m:sty m:val="p"/>
            </m:rPr>
            <w:rPr>
              <w:rFonts w:ascii="Cambria Math" w:eastAsia="Cambria Math" w:hAnsi="Cambria Math" w:cs="Cambria Math"/>
            </w:rPr>
            <m:t>×60≈154.5×</m:t>
          </m:r>
          <m:sSup>
            <m:sSupPr>
              <m:ctrlPr>
                <w:rPr>
                  <w:rFonts w:ascii="Cambria Math" w:eastAsia="Cambria Math" w:hAnsi="Cambria Math" w:cs="Cambria Math"/>
                </w:rPr>
              </m:ctrlPr>
            </m:sSupPr>
            <m:e>
              <m:r>
                <m:rPr>
                  <m:sty m:val="p"/>
                </m:rPr>
                <w:rPr>
                  <w:rFonts w:ascii="Cambria Math" w:eastAsia="Cambria Math" w:hAnsi="Cambria Math" w:cs="Cambria Math"/>
                </w:rPr>
                <m:t>10</m:t>
              </m:r>
            </m:e>
            <m:sup>
              <m:r>
                <m:rPr>
                  <m:sty m:val="p"/>
                </m:rPr>
                <w:rPr>
                  <w:rFonts w:ascii="Cambria Math" w:eastAsia="Cambria Math" w:hAnsi="Cambria Math" w:cs="Cambria Math"/>
                </w:rPr>
                <m:t>-6</m:t>
              </m:r>
            </m:sup>
          </m:sSup>
          <m:r>
            <m:rPr>
              <m:sty m:val="p"/>
            </m:rPr>
            <w:rPr>
              <w:rFonts w:ascii="Cambria Math" w:eastAsia="Cambria Math" w:hAnsi="Cambria Math" w:cs="Cambria Math"/>
            </w:rPr>
            <m:t xml:space="preserve"> </m:t>
          </m:r>
          <m:f>
            <m:fPr>
              <m:ctrlPr>
                <w:rPr>
                  <w:rFonts w:ascii="Cambria Math" w:eastAsia="Cambria Math" w:hAnsi="Cambria Math" w:cs="Cambria Math"/>
                </w:rPr>
              </m:ctrlPr>
            </m:fPr>
            <m:num>
              <m:sSup>
                <m:sSupPr>
                  <m:ctrlPr>
                    <w:rPr>
                      <w:rFonts w:ascii="Cambria Math" w:eastAsia="Cambria Math" w:hAnsi="Cambria Math" w:cs="Cambria Math"/>
                    </w:rPr>
                  </m:ctrlPr>
                </m:sSupPr>
                <m:e>
                  <m:r>
                    <m:rPr>
                      <m:sty m:val="p"/>
                    </m:rPr>
                    <w:rPr>
                      <w:rFonts w:ascii="Cambria Math" w:eastAsia="Cambria Math" w:hAnsi="Cambria Math" w:cs="Cambria Math"/>
                    </w:rPr>
                    <m:t>m</m:t>
                  </m:r>
                </m:e>
                <m:sup>
                  <m:r>
                    <m:rPr>
                      <m:sty m:val="p"/>
                    </m:rPr>
                    <w:rPr>
                      <w:rFonts w:ascii="Cambria Math" w:eastAsia="Cambria Math" w:hAnsi="Cambria Math" w:cs="Cambria Math"/>
                    </w:rPr>
                    <m:t>3</m:t>
                  </m:r>
                </m:sup>
              </m:sSup>
            </m:num>
            <m:den>
              <m:r>
                <m:rPr>
                  <m:sty m:val="p"/>
                </m:rPr>
                <w:rPr>
                  <w:rFonts w:ascii="Cambria Math" w:eastAsia="Cambria Math" w:hAnsi="Cambria Math" w:cs="Cambria Math"/>
                </w:rPr>
                <m:t>rev</m:t>
              </m:r>
            </m:den>
          </m:f>
        </m:oMath>
      </m:oMathPara>
    </w:p>
    <w:p w:rsidR="008C1E2F" w:rsidRDefault="008C1E2F" w:rsidP="008C1E2F">
      <w:pPr>
        <w:spacing w:line="360" w:lineRule="auto"/>
        <w:rPr>
          <w:rFonts w:cs="Times New Roman"/>
        </w:rPr>
      </w:pPr>
      <w:r>
        <w:rPr>
          <w:rFonts w:eastAsia="Times New Roman" w:cs="Times New Roman"/>
        </w:rPr>
        <w:t>The linear relationship between pitch and volumetric displacement under ideal conditions is modified in real systems by complex interactions between pitch, particle size, and flow behavior, necessitating empirical calibration.</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B. Flight Depth and Shaft Diameter Optimization</w:t>
      </w:r>
    </w:p>
    <w:p w:rsidR="008C1E2F" w:rsidRDefault="008C1E2F" w:rsidP="008C1E2F">
      <w:pPr>
        <w:spacing w:line="360" w:lineRule="auto"/>
        <w:rPr>
          <w:rFonts w:cs="Times New Roman"/>
        </w:rPr>
      </w:pPr>
      <w:r>
        <w:rPr>
          <w:rFonts w:eastAsia="Times New Roman" w:cs="Times New Roman"/>
        </w:rPr>
        <w:t>The effective conveying region comprises the annular space between the central shaft diameter (</w:t>
      </w:r>
      <m:oMath>
        <m:sSub>
          <m:sSubPr>
            <m:ctrlPr>
              <w:rPr>
                <w:rFonts w:ascii="Cambria Math" w:eastAsia="Cambria Math" w:hAnsi="Cambria Math" w:cs="Cambria Math"/>
              </w:rPr>
            </m:ctrlPr>
          </m:sSubPr>
          <m:e>
            <m:r>
              <m:rPr>
                <m:sty m:val="p"/>
              </m:rPr>
              <w:rPr>
                <w:rFonts w:ascii="Cambria Math" w:eastAsia="Cambria Math" w:hAnsi="Cambria Math" w:cs="Cambria Math"/>
              </w:rPr>
              <m:t>D</m:t>
            </m:r>
          </m:e>
          <m:sub>
            <m:r>
              <m:rPr>
                <m:sty m:val="p"/>
              </m:rPr>
              <w:rPr>
                <w:rFonts w:ascii="Cambria Math" w:eastAsia="Cambria Math" w:hAnsi="Cambria Math" w:cs="Cambria Math"/>
              </w:rPr>
              <m:t>s</m:t>
            </m:r>
          </m:sub>
        </m:sSub>
      </m:oMath>
      <w:r>
        <w:rPr>
          <w:rFonts w:eastAsia="Times New Roman" w:cs="Times New Roman"/>
        </w:rPr>
        <w:t>) and the outer flight diameter (</w:t>
      </w:r>
      <m:oMath>
        <m:r>
          <m:rPr>
            <m:sty m:val="p"/>
          </m:rPr>
          <w:rPr>
            <w:rFonts w:ascii="Cambria Math" w:eastAsia="Cambria Math" w:hAnsi="Cambria Math" w:cs="Cambria Math"/>
          </w:rPr>
          <m:t>D</m:t>
        </m:r>
      </m:oMath>
      <w:r>
        <w:rPr>
          <w:rFonts w:eastAsia="Times New Roman" w:cs="Times New Roman"/>
        </w:rPr>
        <w:t>). While minimizing the shaft diameter maximizes volumetric capacity, this reduction compromises torsional rigidity—a critical consideration given the high transient breakaway torques required to shear compacted material at motor startup.</w:t>
      </w:r>
    </w:p>
    <w:p w:rsidR="008C1E2F" w:rsidRDefault="008C1E2F" w:rsidP="008C1E2F">
      <w:pPr>
        <w:spacing w:line="360" w:lineRule="auto"/>
        <w:rPr>
          <w:rFonts w:cs="Times New Roman"/>
          <w:rtl/>
        </w:rPr>
      </w:pPr>
      <w:r>
        <w:rPr>
          <w:rFonts w:eastAsia="Times New Roman" w:cs="Times New Roman"/>
        </w:rPr>
        <w:t xml:space="preserve">The polar moment of inertia for the shaft, </w:t>
      </w:r>
      <m:oMath>
        <m:r>
          <m:rPr>
            <m:sty m:val="p"/>
          </m:rPr>
          <w:rPr>
            <w:rFonts w:ascii="Cambria Math" w:eastAsia="Cambria Math" w:hAnsi="Cambria Math" w:cs="Cambria Math"/>
          </w:rPr>
          <m:t>J=</m:t>
        </m:r>
        <m:f>
          <m:fPr>
            <m:ctrlPr>
              <w:rPr>
                <w:rFonts w:ascii="Cambria Math" w:eastAsia="Cambria Math" w:hAnsi="Cambria Math" w:cs="Cambria Math"/>
              </w:rPr>
            </m:ctrlPr>
          </m:fPr>
          <m:num>
            <m:r>
              <m:rPr>
                <m:sty m:val="p"/>
              </m:rPr>
              <w:rPr>
                <w:rFonts w:ascii="Cambria Math" w:eastAsia="Cambria Math" w:hAnsi="Cambria Math" w:cs="Cambria Math"/>
              </w:rPr>
              <m:t>π</m:t>
            </m:r>
            <m:sSup>
              <m:sSupPr>
                <m:ctrlPr>
                  <w:rPr>
                    <w:rFonts w:ascii="Cambria Math" w:eastAsia="Cambria Math" w:hAnsi="Cambria Math" w:cs="Cambria Math"/>
                  </w:rPr>
                </m:ctrlPr>
              </m:sSupPr>
              <m:e>
                <m:r>
                  <m:rPr>
                    <m:sty m:val="p"/>
                  </m:rPr>
                  <w:rPr>
                    <w:rFonts w:ascii="Cambria Math" w:eastAsia="Cambria Math" w:hAnsi="Cambria Math" w:cs="Cambria Math"/>
                  </w:rPr>
                  <m:t>d</m:t>
                </m:r>
              </m:e>
              <m:sup>
                <m:r>
                  <m:rPr>
                    <m:sty m:val="p"/>
                  </m:rPr>
                  <w:rPr>
                    <w:rFonts w:ascii="Cambria Math" w:eastAsia="Cambria Math" w:hAnsi="Cambria Math" w:cs="Cambria Math"/>
                  </w:rPr>
                  <m:t>4</m:t>
                </m:r>
              </m:sup>
            </m:sSup>
          </m:num>
          <m:den>
            <m:r>
              <m:rPr>
                <m:sty m:val="p"/>
              </m:rPr>
              <w:rPr>
                <w:rFonts w:ascii="Cambria Math" w:eastAsia="Cambria Math" w:hAnsi="Cambria Math" w:cs="Cambria Math"/>
              </w:rPr>
              <m:t>32</m:t>
            </m:r>
          </m:den>
        </m:f>
        <m:r>
          <m:rPr>
            <m:sty m:val="p"/>
          </m:rPr>
          <w:rPr>
            <w:rFonts w:ascii="Cambria Math" w:eastAsia="Cambria Math" w:hAnsi="Cambria Math" w:cs="Cambria Math"/>
          </w:rPr>
          <m:t xml:space="preserve"> </m:t>
        </m:r>
      </m:oMath>
      <w:r>
        <w:rPr>
          <w:rFonts w:eastAsia="Times New Roman" w:cs="Times New Roman"/>
        </w:rPr>
        <w:t xml:space="preserve">, scales with the fourth power of diameter, rendering small reductions in $d$ disproportionately detrimental to stiffness. Torsional deflection under peak load must be constrained to prevent radial deflection that would compromise the tight radial clearance or induce metal-to-metal contact. The ratio of shaft diameter to outer diameter (core ratio) typically ranges from </w:t>
      </w:r>
      <w:r>
        <w:rPr>
          <w:rFonts w:eastAsia="Times New Roman" w:cs="Times New Roman"/>
          <w:b/>
          <w:bCs/>
        </w:rPr>
        <w:t>0.2 to 0.4</w:t>
      </w:r>
      <w:r>
        <w:rPr>
          <w:rFonts w:eastAsia="Times New Roman" w:cs="Times New Roman"/>
        </w:rPr>
        <w:t xml:space="preserve"> for general-purpose augers; lower core ratios maximize volumetric capacity but reduce shaft strength, while higher ratios improve mechanical robustness at the cost of reduced capacity [</w:t>
      </w:r>
      <w:r w:rsidRPr="00B52433">
        <w:rPr>
          <w:rFonts w:eastAsia="Times New Roman" w:cs="Times New Roman"/>
        </w:rPr>
        <w:t>40</w:t>
      </w:r>
      <w:r>
        <w:rPr>
          <w:rFonts w:eastAsia="Times New Roman" w:cs="Times New Roman"/>
        </w:rPr>
        <w:t>].</w:t>
      </w:r>
    </w:p>
    <w:p w:rsidR="008C1E2F" w:rsidRDefault="008C1E2F" w:rsidP="008C1E2F">
      <w:pPr>
        <w:spacing w:line="360" w:lineRule="auto"/>
        <w:rPr>
          <w:rFonts w:cs="Times New Roman"/>
          <w:rtl/>
        </w:rPr>
      </w:pPr>
    </w:p>
    <w:p w:rsidR="008C1E2F" w:rsidRDefault="008C1E2F" w:rsidP="008C1E2F">
      <w:pPr>
        <w:spacing w:line="360" w:lineRule="auto"/>
        <w:rPr>
          <w:rFonts w:cs="Times New Roman"/>
          <w:rtl/>
        </w:rPr>
      </w:pPr>
      <w:r>
        <w:rPr>
          <w:rFonts w:eastAsia="Times New Roman" w:cs="Times New Roman"/>
          <w:noProof/>
        </w:rPr>
        <w:lastRenderedPageBreak/>
        <w:drawing>
          <wp:inline distT="0" distB="0" distL="0" distR="0" wp14:anchorId="185365D0" wp14:editId="5275A026">
            <wp:extent cx="5486400" cy="2897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3506" name="Picture 2"/>
                    <pic:cNvPicPr>
                      <a:picLocks noChangeAspect="1"/>
                    </pic:cNvPicPr>
                  </pic:nvPicPr>
                  <pic:blipFill rotWithShape="1">
                    <a:blip r:embed="rId7"/>
                    <a:stretch/>
                  </pic:blipFill>
                  <pic:spPr bwMode="auto">
                    <a:xfrm>
                      <a:off x="0" y="0"/>
                      <a:ext cx="5486400" cy="2897505"/>
                    </a:xfrm>
                    <a:prstGeom prst="rect">
                      <a:avLst/>
                    </a:prstGeom>
                  </pic:spPr>
                </pic:pic>
              </a:graphicData>
            </a:graphic>
          </wp:inline>
        </w:drawing>
      </w:r>
    </w:p>
    <w:p w:rsidR="008C1E2F" w:rsidRDefault="008C1E2F" w:rsidP="008C1E2F">
      <w:pPr>
        <w:pStyle w:val="NormalWeb1"/>
        <w:numPr>
          <w:ilvl w:val="0"/>
          <w:numId w:val="38"/>
        </w:numPr>
        <w:spacing w:line="360" w:lineRule="auto"/>
      </w:pPr>
      <w:r>
        <w:rPr>
          <w:b/>
          <w:bCs/>
        </w:rPr>
        <w:t>Figure 2.3:</w:t>
      </w:r>
      <w:r>
        <w:t xml:space="preserve"> Geometric parameters of a standard volumetric auger screw, detailing the outer flight diameter, root shaft diameter, and the constant square pitch configuration.</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rPr>
        <w:t xml:space="preserve">Engineering analysis establishes </w:t>
      </w:r>
      <w:r>
        <w:rPr>
          <w:rFonts w:eastAsia="Times New Roman" w:cs="Times New Roman"/>
          <w:b/>
          <w:bCs/>
        </w:rPr>
        <w:t>d = 16 mm</w:t>
      </w:r>
      <w:r>
        <w:rPr>
          <w:rFonts w:eastAsia="Times New Roman" w:cs="Times New Roman"/>
        </w:rPr>
        <w:t xml:space="preserve"> as the optimal compromise for the current application targeting </w:t>
      </w:r>
      <w:r>
        <w:rPr>
          <w:rFonts w:eastAsia="Times New Roman" w:cs="Times New Roman"/>
          <w:b/>
          <w:bCs/>
        </w:rPr>
        <w:t>500g</w:t>
      </w:r>
      <w:r>
        <w:rPr>
          <w:rFonts w:eastAsia="Times New Roman" w:cs="Times New Roman"/>
        </w:rPr>
        <w:t xml:space="preserve"> doses with precise accuracy, providing sufficient torsional rigidity (</w:t>
      </w:r>
      <m:oMath>
        <m:sSub>
          <m:sSubPr>
            <m:ctrlPr>
              <w:rPr>
                <w:rFonts w:ascii="Cambria Math" w:eastAsia="Cambria Math" w:hAnsi="Cambria Math" w:cs="Cambria Math"/>
              </w:rPr>
            </m:ctrlPr>
          </m:sSubPr>
          <m:e>
            <m:r>
              <m:rPr>
                <m:sty m:val="p"/>
              </m:rPr>
              <w:rPr>
                <w:rFonts w:ascii="Cambria Math" w:eastAsia="Cambria Math" w:hAnsi="Cambria Math" w:cs="Cambria Math"/>
              </w:rPr>
              <m:t>τ</m:t>
            </m:r>
          </m:e>
          <m:sub>
            <m:r>
              <m:rPr>
                <m:sty m:val="p"/>
              </m:rPr>
              <w:rPr>
                <w:rFonts w:ascii="Cambria Math" w:eastAsia="Cambria Math" w:hAnsi="Cambria Math" w:cs="Cambria Math"/>
              </w:rPr>
              <m:t>max</m:t>
            </m:r>
          </m:sub>
        </m:sSub>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T×r</m:t>
            </m:r>
          </m:num>
          <m:den>
            <m:r>
              <m:rPr>
                <m:sty m:val="p"/>
              </m:rPr>
              <w:rPr>
                <w:rFonts w:ascii="Cambria Math" w:eastAsia="Cambria Math" w:hAnsi="Cambria Math" w:cs="Cambria Math"/>
              </w:rPr>
              <m:t>J</m:t>
            </m:r>
          </m:den>
        </m:f>
      </m:oMath>
      <w:r>
        <w:rPr>
          <w:rFonts w:eastAsia="Times New Roman" w:cs="Times New Roman"/>
        </w:rPr>
        <w:t xml:space="preserve">) while maintaining adequate annular conveying area with a core ratio of approximately </w:t>
      </w:r>
      <w:r>
        <w:rPr>
          <w:rFonts w:eastAsia="Times New Roman" w:cs="Times New Roman"/>
          <w:b/>
          <w:bCs/>
        </w:rPr>
        <w:t>0.27</w:t>
      </w:r>
      <w:r>
        <w:rPr>
          <w:rFonts w:eastAsia="Times New Roman" w:cs="Times New Roman"/>
        </w:rPr>
        <w:t xml:space="preserve"> [4</w:t>
      </w:r>
      <w:r w:rsidRPr="00B52433">
        <w:rPr>
          <w:rFonts w:eastAsia="Times New Roman" w:cs="Times New Roman"/>
        </w:rPr>
        <w:t>1</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The helix angle (</w:t>
      </w:r>
      <m:oMath>
        <m:r>
          <m:rPr>
            <m:sty m:val="p"/>
          </m:rPr>
          <w:rPr>
            <w:rFonts w:ascii="Cambria Math" w:eastAsia="Cambria Math" w:hAnsi="Cambria Math" w:cs="Cambria Math"/>
          </w:rPr>
          <m:t>α</m:t>
        </m:r>
      </m:oMath>
      <w:r>
        <w:rPr>
          <w:rFonts w:eastAsia="Times New Roman" w:cs="Times New Roman"/>
        </w:rPr>
        <w:t xml:space="preserve">), governed by </w:t>
      </w:r>
      <m:oMath>
        <m:func>
          <m:funcPr>
            <m:ctrlPr>
              <w:rPr>
                <w:rFonts w:ascii="Cambria Math" w:eastAsia="Cambria Math" w:hAnsi="Cambria Math" w:cs="Cambria Math"/>
              </w:rPr>
            </m:ctrlPr>
          </m:funcPr>
          <m:fName>
            <m:r>
              <m:rPr>
                <m:sty m:val="p"/>
              </m:rPr>
              <w:rPr>
                <w:rFonts w:ascii="Cambria Math" w:eastAsia="Cambria Math" w:hAnsi="Cambria Math" w:cs="Cambria Math"/>
              </w:rPr>
              <m:t>tan</m:t>
            </m:r>
          </m:fName>
          <m:e>
            <m:d>
              <m:dPr>
                <m:ctrlPr>
                  <w:rPr>
                    <w:rFonts w:ascii="Cambria Math" w:eastAsia="Cambria Math" w:hAnsi="Cambria Math" w:cs="Cambria Math"/>
                  </w:rPr>
                </m:ctrlPr>
              </m:dPr>
              <m:e>
                <m:r>
                  <m:rPr>
                    <m:sty m:val="p"/>
                  </m:rPr>
                  <w:rPr>
                    <w:rFonts w:ascii="Cambria Math" w:eastAsia="Cambria Math" w:hAnsi="Cambria Math" w:cs="Cambria Math"/>
                  </w:rPr>
                  <m:t>α</m:t>
                </m:r>
              </m:e>
            </m:d>
          </m:e>
        </m:func>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P</m:t>
            </m:r>
          </m:num>
          <m:den>
            <m:r>
              <m:rPr>
                <m:sty m:val="p"/>
              </m:rPr>
              <w:rPr>
                <w:rFonts w:ascii="Cambria Math" w:eastAsia="Cambria Math" w:hAnsi="Cambria Math" w:cs="Cambria Math"/>
              </w:rPr>
              <m:t>π×r</m:t>
            </m:r>
          </m:den>
        </m:f>
        <m:r>
          <m:rPr>
            <m:sty m:val="p"/>
          </m:rPr>
          <w:rPr>
            <w:rFonts w:ascii="Cambria Math" w:eastAsia="Cambria Math" w:hAnsi="Cambria Math" w:cs="Cambria Math"/>
          </w:rPr>
          <m:t xml:space="preserve"> </m:t>
        </m:r>
      </m:oMath>
      <w:r>
        <w:rPr>
          <w:rFonts w:eastAsia="Times New Roman" w:cs="Times New Roman"/>
        </w:rPr>
        <w:t>, varies radially across the flight: minimized at the outer periphery (maximizing wall friction to prevent co-rotation) and maximized at the shaft root (promoting internal shear). This geometric gradient constrains the minimum practical shaft diameter.</w:t>
      </w:r>
    </w:p>
    <w:p w:rsidR="008C1E2F" w:rsidRDefault="008C1E2F" w:rsidP="008C1E2F">
      <w:pPr>
        <w:spacing w:line="360" w:lineRule="auto"/>
        <w:rPr>
          <w:rFonts w:cs="Times New Roman"/>
          <w:b/>
        </w:rPr>
      </w:pPr>
      <w:r>
        <w:rPr>
          <w:rFonts w:eastAsia="Times New Roman" w:cs="Times New Roman"/>
          <w:b/>
          <w:bCs/>
        </w:rPr>
        <w:t>C. Radial Clearance (δ) and Backflow Control</w:t>
      </w:r>
    </w:p>
    <w:p w:rsidR="008C1E2F" w:rsidRDefault="008C1E2F" w:rsidP="008C1E2F">
      <w:pPr>
        <w:spacing w:line="360" w:lineRule="auto"/>
        <w:rPr>
          <w:rFonts w:cs="Times New Roman"/>
        </w:rPr>
      </w:pPr>
      <w:r>
        <w:rPr>
          <w:rFonts w:eastAsia="Times New Roman" w:cs="Times New Roman"/>
        </w:rPr>
        <w:t xml:space="preserve">The radial clearance between the flight tip and the stationary funnel casing represents the primary pathway for volumetric back-slip—a phenomenon wherein material bypasses the advancing flight by flowing through the annular gap, directly degrading dosing accuracy. For crystalline salts with mean particle sizes of </w:t>
      </w:r>
      <w:r>
        <w:rPr>
          <w:rFonts w:eastAsia="Times New Roman" w:cs="Times New Roman"/>
          <w:b/>
          <w:bCs/>
        </w:rPr>
        <w:t>300-500 µm</w:t>
      </w:r>
      <w:r>
        <w:rPr>
          <w:rFonts w:eastAsia="Times New Roman" w:cs="Times New Roman"/>
        </w:rPr>
        <w:t xml:space="preserve">, clearance must be minimized to restrict backward leakage under hydrostatic head </w:t>
      </w:r>
      <w:r>
        <w:rPr>
          <w:rFonts w:eastAsia="Times New Roman" w:cs="Times New Roman"/>
        </w:rPr>
        <w:lastRenderedPageBreak/>
        <w:t>pressure while maintaining sufficient tolerance to prevent thermal expansion-induced galling or abrasive wear.</w:t>
      </w:r>
    </w:p>
    <w:p w:rsidR="008C1E2F" w:rsidRDefault="008C1E2F" w:rsidP="008C1E2F">
      <w:pPr>
        <w:spacing w:line="360" w:lineRule="auto"/>
        <w:rPr>
          <w:rFonts w:cs="Times New Roman"/>
          <w:rtl/>
        </w:rPr>
      </w:pPr>
      <w:r>
        <w:rPr>
          <w:rFonts w:eastAsia="Times New Roman" w:cs="Times New Roman"/>
        </w:rPr>
        <w:t xml:space="preserve">State-of-the-art designs for salt applications specify </w:t>
      </w:r>
      <w:r>
        <w:rPr>
          <w:rFonts w:eastAsia="Times New Roman" w:cs="Times New Roman"/>
          <w:b/>
          <w:bCs/>
        </w:rPr>
        <w:t>δ &lt; 1.5 mm</w:t>
      </w:r>
      <w:r>
        <w:rPr>
          <w:rFonts w:eastAsia="Times New Roman" w:cs="Times New Roman"/>
        </w:rPr>
        <w:t>—approximately 3-5 particle diameters—achieving an optimal balance between leakage suppression and operational safety [</w:t>
      </w:r>
      <w:r w:rsidRPr="00B52433">
        <w:rPr>
          <w:rFonts w:eastAsia="Times New Roman" w:cs="Times New Roman"/>
        </w:rPr>
        <w:t>42</w:t>
      </w:r>
      <w:r>
        <w:rPr>
          <w:rFonts w:eastAsia="Times New Roman" w:cs="Times New Roman"/>
        </w:rPr>
        <w:t xml:space="preserve">]. This clearance is maintained through precision machining (tolerance </w:t>
      </w:r>
      <w:r>
        <w:rPr>
          <w:rFonts w:eastAsia="Times New Roman" w:cs="Times New Roman"/>
          <w:b/>
          <w:bCs/>
        </w:rPr>
        <w:t>±0.05 mm</w:t>
      </w:r>
      <w:r>
        <w:rPr>
          <w:rFonts w:eastAsia="Times New Roman" w:cs="Times New Roman"/>
        </w:rPr>
        <w:t>) and shaft alignment protocols. Excessively large clearance increases powder back-slip under hydrostatic head pressure, degrading dosing precision; whereas insufficiently small clearance drastically increases friction torque, risking metal-to-metal abrasion (galling) and jamming.</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D. Taper and Variable Geometry Considerations</w:t>
      </w:r>
    </w:p>
    <w:p w:rsidR="008C1E2F" w:rsidRDefault="008C1E2F" w:rsidP="008C1E2F">
      <w:pPr>
        <w:spacing w:line="360" w:lineRule="auto"/>
        <w:rPr>
          <w:rFonts w:cs="Times New Roman"/>
        </w:rPr>
      </w:pPr>
      <w:r>
        <w:rPr>
          <w:rFonts w:eastAsia="Times New Roman" w:cs="Times New Roman"/>
        </w:rPr>
        <w:t>While specialized applications handling cohesive or aerated powders may employ tapered augers (variable diameter) or variable-pitch screws (decreasing pitch toward discharge to induce controlled compaction), these geometries are contraindicated for crystalline NaCl. Tapered designs generate excessive shear stress at crystal contact points, promoting particle attrition, generating fines, and increasing power consumption without commensurate accuracy benefits. Furthermore, tapered augers are mechanically more complex to manufacture and may increase particle attrition for friable materials [</w:t>
      </w:r>
      <w:r w:rsidRPr="00B52433">
        <w:rPr>
          <w:rFonts w:eastAsia="Times New Roman" w:cs="Times New Roman"/>
        </w:rPr>
        <w:t>34</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For free-flowing crystalline materials, the constant square-pitch straight auger remains the optimal configuration, with flow control at discharge achieved through auxiliary mechanisms (spinner plates) rather than geometric tapering. The constant geometry simplifies control algorithm development and reduces manufacturing cost [</w:t>
      </w:r>
      <w:r w:rsidRPr="00B52433">
        <w:rPr>
          <w:rFonts w:eastAsia="Times New Roman" w:cs="Times New Roman"/>
        </w:rPr>
        <w:t>44</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2.3.2 Material Science for Food-Grade Industrial Systems</w:t>
      </w:r>
    </w:p>
    <w:p w:rsidR="008C1E2F" w:rsidRDefault="008C1E2F" w:rsidP="008C1E2F">
      <w:pPr>
        <w:spacing w:line="360" w:lineRule="auto"/>
        <w:rPr>
          <w:rFonts w:cs="Times New Roman"/>
        </w:rPr>
      </w:pPr>
      <w:r>
        <w:rPr>
          <w:rFonts w:eastAsia="Times New Roman" w:cs="Times New Roman"/>
        </w:rPr>
        <w:t>The operational environment of a VFFS auger handling Sodium Chloride presents a confluence of severe metallurgical challenges: abrasive wear from sharp cubic crystals, stress corrosion cracking from chloride ion exposure, and hygienic requirements mandating surface finishes that prevent bacterial adhesion while minimizing frictional losses.</w:t>
      </w:r>
    </w:p>
    <w:p w:rsidR="008C1E2F" w:rsidRDefault="008C1E2F" w:rsidP="008C1E2F">
      <w:pPr>
        <w:spacing w:line="360" w:lineRule="auto"/>
        <w:rPr>
          <w:rFonts w:cs="Times New Roman"/>
          <w:b/>
        </w:rPr>
      </w:pPr>
      <w:r>
        <w:rPr>
          <w:rFonts w:eastAsia="Times New Roman" w:cs="Times New Roman"/>
          <w:b/>
          <w:bCs/>
        </w:rPr>
        <w:lastRenderedPageBreak/>
        <w:t>A. Austenitic Stainless Steel Selection</w:t>
      </w:r>
    </w:p>
    <w:p w:rsidR="008C1E2F" w:rsidRDefault="008C1E2F" w:rsidP="008C1E2F">
      <w:pPr>
        <w:spacing w:line="360" w:lineRule="auto"/>
        <w:rPr>
          <w:rFonts w:cs="Times New Roman"/>
        </w:rPr>
      </w:pPr>
      <w:r>
        <w:rPr>
          <w:rFonts w:eastAsia="Times New Roman" w:cs="Times New Roman"/>
        </w:rPr>
        <w:t>The prohibition of carbon steels and reactive alloys in food-contact applications necessitates the specification of austenitic stainless steels. While AISI 304 (UNS S30400) suffices for general food processing, the continuous exposure to chloride ions (</w:t>
      </w:r>
      <w:r>
        <w:rPr>
          <w:rFonts w:eastAsia="Times New Roman" w:cs="Times New Roman"/>
          <w:b/>
          <w:bCs/>
        </w:rPr>
        <w:t>Cl⁻</w:t>
      </w:r>
      <w:r>
        <w:rPr>
          <w:rFonts w:eastAsia="Times New Roman" w:cs="Times New Roman"/>
        </w:rPr>
        <w:t>) in salt applications mandates the superior pitting corrosion resistance of AISI 316L (UNS S31600) [</w:t>
      </w:r>
      <w:r w:rsidRPr="00B52433">
        <w:rPr>
          <w:rFonts w:eastAsia="Times New Roman" w:cs="Times New Roman"/>
        </w:rPr>
        <w:t>45</w:t>
      </w:r>
      <w:r>
        <w:rPr>
          <w:rFonts w:eastAsia="Times New Roman" w:cs="Times New Roman"/>
        </w:rPr>
        <w:t>].</w:t>
      </w:r>
    </w:p>
    <w:p w:rsidR="008C1E2F" w:rsidRDefault="008C1E2F" w:rsidP="008C1E2F">
      <w:pPr>
        <w:spacing w:line="360" w:lineRule="auto"/>
        <w:rPr>
          <w:rFonts w:cs="Times New Roman"/>
          <w:rtl/>
        </w:rPr>
      </w:pPr>
      <w:r>
        <w:rPr>
          <w:rFonts w:eastAsia="Times New Roman" w:cs="Times New Roman"/>
        </w:rPr>
        <w:t xml:space="preserve">The critical distinction lies in molybdenum content: AISI 316L incorporates </w:t>
      </w:r>
      <w:r>
        <w:rPr>
          <w:rFonts w:eastAsia="Times New Roman" w:cs="Times New Roman"/>
          <w:b/>
          <w:bCs/>
        </w:rPr>
        <w:t>2-3% Mo</w:t>
      </w:r>
      <w:r>
        <w:rPr>
          <w:rFonts w:eastAsia="Times New Roman" w:cs="Times New Roman"/>
        </w:rPr>
        <w:t>, which forms stable passive oxide layers that resist chloride-induced pitting and crevice corrosion. Furthermore, the low carbon designation ("L") minimizes carbide precipitation during welding operations, preserving intergranular corrosion resistance at heat-affected zones—essential for the sanitary welding of flight attachments.</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b/>
          <w:bCs/>
        </w:rPr>
        <w:t>Table 2.2: Comparison of Stainless Steel Grades for Food-Grade Auger Applications</w:t>
      </w:r>
    </w:p>
    <w:tbl>
      <w:tblPr>
        <w:tblW w:w="8767" w:type="dxa"/>
        <w:tblCellSpacing w:w="15" w:type="dxa"/>
        <w:tblCellMar>
          <w:left w:w="0" w:type="dxa"/>
          <w:right w:w="0" w:type="dxa"/>
        </w:tblCellMar>
        <w:tblLook w:val="04A0" w:firstRow="1" w:lastRow="0" w:firstColumn="1" w:lastColumn="0" w:noHBand="0" w:noVBand="1"/>
      </w:tblPr>
      <w:tblGrid>
        <w:gridCol w:w="3542"/>
        <w:gridCol w:w="1747"/>
        <w:gridCol w:w="1747"/>
        <w:gridCol w:w="1731"/>
      </w:tblGrid>
      <w:tr w:rsidR="008C1E2F" w:rsidTr="00F561AD">
        <w:trPr>
          <w:trHeight w:val="510"/>
          <w:tblHeade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Property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AISI 304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AISI 316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b/>
                <w:bCs/>
              </w:rPr>
              <w:t>AISI 316L</w:t>
            </w:r>
          </w:p>
        </w:tc>
      </w:tr>
      <w:tr w:rsidR="008C1E2F" w:rsidTr="00F561AD">
        <w:trPr>
          <w:trHeight w:val="524"/>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Chromium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18-20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16-18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16-18</w:t>
            </w:r>
          </w:p>
        </w:tc>
      </w:tr>
      <w:tr w:rsidR="008C1E2F" w:rsidTr="00F561AD">
        <w:trPr>
          <w:trHeight w:val="510"/>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Nickel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8-10.5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10-14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10-14</w:t>
            </w:r>
          </w:p>
        </w:tc>
      </w:tr>
      <w:tr w:rsidR="008C1E2F" w:rsidTr="00F561AD">
        <w:trPr>
          <w:trHeight w:val="510"/>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Molybdenum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2-3</w:t>
            </w:r>
          </w:p>
        </w:tc>
      </w:tr>
      <w:tr w:rsidR="008C1E2F" w:rsidTr="00F561AD">
        <w:trPr>
          <w:trHeight w:val="510"/>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Carbon (max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0.08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0.08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0.03</w:t>
            </w:r>
          </w:p>
        </w:tc>
      </w:tr>
      <w:tr w:rsidR="008C1E2F" w:rsidTr="00F561AD">
        <w:trPr>
          <w:trHeight w:val="524"/>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Yield Strength (MPa)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215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215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205</w:t>
            </w:r>
          </w:p>
        </w:tc>
      </w:tr>
      <w:tr w:rsidR="008C1E2F" w:rsidTr="00F561AD">
        <w:trPr>
          <w:trHeight w:val="510"/>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lastRenderedPageBreak/>
              <w:t>Chloride Resistance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Good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Excellent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Excellent</w:t>
            </w:r>
          </w:p>
        </w:tc>
      </w:tr>
    </w:tbl>
    <w:p w:rsidR="008C1E2F" w:rsidRDefault="008C1E2F" w:rsidP="008C1E2F">
      <w:pPr>
        <w:spacing w:line="360" w:lineRule="auto"/>
        <w:rPr>
          <w:rFonts w:cs="Times New Roman"/>
        </w:rPr>
      </w:pPr>
      <w:r>
        <w:rPr>
          <w:rFonts w:eastAsia="Times New Roman" w:cs="Times New Roman"/>
        </w:rPr>
        <w:t>Key mechanical properties for design verification include:</w:t>
      </w:r>
    </w:p>
    <w:p w:rsidR="008C1E2F" w:rsidRDefault="008C1E2F" w:rsidP="008C1E2F">
      <w:pPr>
        <w:numPr>
          <w:ilvl w:val="0"/>
          <w:numId w:val="39"/>
        </w:numPr>
        <w:spacing w:line="360" w:lineRule="auto"/>
        <w:rPr>
          <w:rFonts w:cs="Times New Roman"/>
        </w:rPr>
      </w:pPr>
      <w:r>
        <w:rPr>
          <w:rFonts w:eastAsia="Times New Roman" w:cs="Times New Roman"/>
        </w:rPr>
        <w:t xml:space="preserve">Yield strength: </w:t>
      </w:r>
      <m:oMath>
        <m:sSub>
          <m:sSubPr>
            <m:ctrlPr>
              <w:rPr>
                <w:rFonts w:ascii="Cambria Math" w:eastAsia="Cambria Math" w:hAnsi="Cambria Math" w:cs="Cambria Math"/>
                <w:b/>
                <w:bCs/>
              </w:rPr>
            </m:ctrlPr>
          </m:sSubPr>
          <m:e>
            <m:r>
              <m:rPr>
                <m:sty m:val="b"/>
              </m:rPr>
              <w:rPr>
                <w:rFonts w:ascii="Cambria Math" w:eastAsia="Cambria Math" w:hAnsi="Cambria Math" w:cs="Cambria Math"/>
              </w:rPr>
              <m:t xml:space="preserve">σ </m:t>
            </m:r>
          </m:e>
          <m:sub>
            <m:r>
              <m:rPr>
                <m:sty m:val="b"/>
              </m:rPr>
              <w:rPr>
                <w:rFonts w:ascii="Cambria Math" w:eastAsia="Cambria Math" w:hAnsi="Cambria Math" w:cs="Cambria Math"/>
              </w:rPr>
              <m:t>y</m:t>
            </m:r>
          </m:sub>
        </m:sSub>
        <m:r>
          <m:rPr>
            <m:sty m:val="b"/>
          </m:rPr>
          <w:rPr>
            <w:rFonts w:ascii="Cambria Math" w:eastAsia="Cambria Math" w:hAnsi="Cambria Math" w:cs="Cambria Math"/>
          </w:rPr>
          <m:t>≥ 170 MPa</m:t>
        </m:r>
      </m:oMath>
      <w:r>
        <w:rPr>
          <w:rFonts w:eastAsia="Times New Roman" w:cs="Times New Roman"/>
        </w:rPr>
        <w:t xml:space="preserve"> (annealed condition)</w:t>
      </w:r>
    </w:p>
    <w:p w:rsidR="008C1E2F" w:rsidRDefault="008C1E2F" w:rsidP="008C1E2F">
      <w:pPr>
        <w:numPr>
          <w:ilvl w:val="0"/>
          <w:numId w:val="39"/>
        </w:numPr>
        <w:spacing w:line="360" w:lineRule="auto"/>
        <w:rPr>
          <w:rFonts w:cs="Times New Roman"/>
        </w:rPr>
      </w:pPr>
      <w:r>
        <w:rPr>
          <w:rFonts w:eastAsia="Times New Roman" w:cs="Times New Roman"/>
        </w:rPr>
        <w:t xml:space="preserve">Ultimate tensile strength: </w:t>
      </w:r>
      <m:oMath>
        <m:sSub>
          <m:sSubPr>
            <m:ctrlPr>
              <w:rPr>
                <w:rFonts w:ascii="Cambria Math" w:eastAsia="Cambria Math" w:hAnsi="Cambria Math" w:cs="Cambria Math"/>
                <w:b/>
                <w:bCs/>
              </w:rPr>
            </m:ctrlPr>
          </m:sSubPr>
          <m:e>
            <m:r>
              <m:rPr>
                <m:sty m:val="b"/>
              </m:rPr>
              <w:rPr>
                <w:rFonts w:ascii="Cambria Math" w:eastAsia="Cambria Math" w:hAnsi="Cambria Math" w:cs="Cambria Math"/>
              </w:rPr>
              <m:t xml:space="preserve">σ </m:t>
            </m:r>
          </m:e>
          <m:sub>
            <m:r>
              <m:rPr>
                <m:sty m:val="b"/>
              </m:rPr>
              <w:rPr>
                <w:rFonts w:ascii="Cambria Math" w:eastAsia="Cambria Math" w:hAnsi="Cambria Math" w:cs="Cambria Math"/>
              </w:rPr>
              <m:t>UTS</m:t>
            </m:r>
          </m:sub>
        </m:sSub>
        <m:r>
          <m:rPr>
            <m:sty m:val="b"/>
          </m:rPr>
          <w:rPr>
            <w:rFonts w:ascii="Cambria Math" w:eastAsia="Cambria Math" w:hAnsi="Cambria Math" w:cs="Cambria Math"/>
          </w:rPr>
          <m:t>≥ 485 MPa</m:t>
        </m:r>
      </m:oMath>
    </w:p>
    <w:p w:rsidR="008C1E2F" w:rsidRDefault="008C1E2F" w:rsidP="008C1E2F">
      <w:pPr>
        <w:numPr>
          <w:ilvl w:val="0"/>
          <w:numId w:val="39"/>
        </w:numPr>
        <w:spacing w:line="360" w:lineRule="auto"/>
        <w:rPr>
          <w:rFonts w:cs="Times New Roman"/>
        </w:rPr>
      </w:pPr>
      <w:r>
        <w:rPr>
          <w:rFonts w:eastAsia="Times New Roman" w:cs="Times New Roman"/>
        </w:rPr>
        <w:t xml:space="preserve">Hardness: </w:t>
      </w:r>
      <m:oMath>
        <m:r>
          <m:rPr>
            <m:sty m:val="b"/>
          </m:rPr>
          <w:rPr>
            <w:rFonts w:ascii="Cambria Math" w:eastAsia="Cambria Math" w:hAnsi="Cambria Math" w:cs="Cambria Math"/>
          </w:rPr>
          <m:t>HRB ≤ 95</m:t>
        </m:r>
      </m:oMath>
      <w:r>
        <w:rPr>
          <w:rFonts w:eastAsia="Times New Roman" w:cs="Times New Roman"/>
        </w:rPr>
        <w:t xml:space="preserve"> (ensuring adequate ductility for forming operations)</w:t>
      </w:r>
    </w:p>
    <w:p w:rsidR="008C1E2F" w:rsidRDefault="008C1E2F" w:rsidP="008C1E2F">
      <w:pPr>
        <w:spacing w:line="360" w:lineRule="auto"/>
        <w:rPr>
          <w:rFonts w:cs="Times New Roman"/>
        </w:rPr>
      </w:pPr>
      <w:r>
        <w:rPr>
          <w:rFonts w:eastAsia="Times New Roman" w:cs="Times New Roman"/>
        </w:rPr>
        <w:t>While AISI 316L is more expensive than 304, its superior performance in aggressive chloride environments justifies the material cost for salt processing applications [9].</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B. Surface Finish and Tribological Engineering</w:t>
      </w:r>
    </w:p>
    <w:p w:rsidR="008C1E2F" w:rsidRDefault="008C1E2F" w:rsidP="008C1E2F">
      <w:pPr>
        <w:spacing w:line="360" w:lineRule="auto"/>
        <w:rPr>
          <w:rFonts w:cs="Times New Roman"/>
        </w:rPr>
      </w:pPr>
      <w:r>
        <w:rPr>
          <w:rFonts w:eastAsia="Times New Roman" w:cs="Times New Roman"/>
        </w:rPr>
        <w:t xml:space="preserve">The wall friction coefficient </w:t>
      </w:r>
      <m:oMath>
        <m:sSub>
          <m:sSubPr>
            <m:ctrlPr>
              <w:rPr>
                <w:rFonts w:ascii="Cambria Math" w:eastAsia="Cambria Math" w:hAnsi="Cambria Math" w:cs="Cambria Math"/>
              </w:rPr>
            </m:ctrlPr>
          </m:sSubPr>
          <m:e>
            <m:r>
              <m:rPr>
                <m:sty m:val="p"/>
              </m:rPr>
              <w:rPr>
                <w:rFonts w:ascii="Cambria Math" w:eastAsia="Cambria Math" w:hAnsi="Cambria Math" w:cs="Cambria Math"/>
              </w:rPr>
              <m:t>μ</m:t>
            </m:r>
          </m:e>
          <m:sub>
            <m:r>
              <m:rPr>
                <m:sty m:val="p"/>
              </m:rPr>
              <w:rPr>
                <w:rFonts w:ascii="Cambria Math" w:eastAsia="Cambria Math" w:hAnsi="Cambria Math" w:cs="Cambria Math"/>
              </w:rPr>
              <m:t>ω</m:t>
            </m:r>
          </m:sub>
        </m:sSub>
      </m:oMath>
      <w:r>
        <w:rPr>
          <w:rFonts w:eastAsia="Times New Roman" w:cs="Times New Roman"/>
        </w:rPr>
        <w:t>) between powder and metallic boundaries directly impacts power consumption, flow consistency, and susceptibility to powder adhesion (bridging). Surface topography is quantified through the arithmetic mean roughness (</w:t>
      </w:r>
      <m:oMath>
        <m:sSub>
          <m:sSubPr>
            <m:ctrlPr>
              <w:rPr>
                <w:rFonts w:ascii="Cambria Math" w:eastAsia="Cambria Math" w:hAnsi="Cambria Math" w:cs="Cambria Math"/>
              </w:rPr>
            </m:ctrlPr>
          </m:sSubPr>
          <m:e>
            <m:r>
              <m:rPr>
                <m:sty m:val="p"/>
              </m:rPr>
              <w:rPr>
                <w:rFonts w:ascii="Cambria Math" w:eastAsia="Cambria Math" w:hAnsi="Cambria Math" w:cs="Cambria Math"/>
              </w:rPr>
              <m:t>R</m:t>
            </m:r>
          </m:e>
          <m:sub>
            <m:r>
              <m:rPr>
                <m:sty m:val="p"/>
              </m:rPr>
              <w:rPr>
                <w:rFonts w:ascii="Cambria Math" w:eastAsia="Cambria Math" w:hAnsi="Cambria Math" w:cs="Cambria Math"/>
              </w:rPr>
              <m:t>a</m:t>
            </m:r>
          </m:sub>
        </m:sSub>
      </m:oMath>
      <w:r>
        <w:rPr>
          <w:rFonts w:eastAsia="Times New Roman" w:cs="Times New Roman"/>
        </w:rPr>
        <w:t xml:space="preserve">), with state-of-the-art food-grade applications specifying mechanical or electropolished finishes achieving </w:t>
      </w:r>
      <m:oMath>
        <m:sSub>
          <m:sSubPr>
            <m:ctrlPr>
              <w:rPr>
                <w:rFonts w:ascii="Cambria Math" w:eastAsia="Cambria Math" w:hAnsi="Cambria Math" w:cs="Cambria Math"/>
                <w:b/>
                <w:bCs/>
              </w:rPr>
            </m:ctrlPr>
          </m:sSubPr>
          <m:e>
            <m:r>
              <m:rPr>
                <m:sty m:val="b"/>
              </m:rPr>
              <w:rPr>
                <w:rFonts w:ascii="Cambria Math" w:eastAsia="Cambria Math" w:hAnsi="Cambria Math" w:cs="Cambria Math"/>
              </w:rPr>
              <m:t xml:space="preserve">R </m:t>
            </m:r>
          </m:e>
          <m:sub>
            <m:r>
              <m:rPr>
                <m:sty m:val="b"/>
              </m:rPr>
              <w:rPr>
                <w:rFonts w:ascii="Cambria Math" w:eastAsia="Cambria Math" w:hAnsi="Cambria Math" w:cs="Cambria Math"/>
              </w:rPr>
              <m:t>a</m:t>
            </m:r>
          </m:sub>
        </m:sSub>
        <m:r>
          <m:rPr>
            <m:sty m:val="b"/>
          </m:rPr>
          <w:rPr>
            <w:rFonts w:ascii="Cambria Math" w:eastAsia="Cambria Math" w:hAnsi="Cambria Math" w:cs="Cambria Math"/>
          </w:rPr>
          <m:t>≤ 0.8 µm</m:t>
        </m:r>
      </m:oMath>
      <w:r>
        <w:rPr>
          <w:rFonts w:eastAsia="Times New Roman" w:cs="Times New Roman"/>
        </w:rPr>
        <w:t xml:space="preserve"> (2B finish) [</w:t>
      </w:r>
      <w:r w:rsidRPr="00B52433">
        <w:rPr>
          <w:rFonts w:eastAsia="Times New Roman" w:cs="Times New Roman"/>
        </w:rPr>
        <w:t>46</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This surface specification serves dual functions:</w:t>
      </w:r>
    </w:p>
    <w:p w:rsidR="008C1E2F" w:rsidRDefault="008C1E2F" w:rsidP="008C1E2F">
      <w:pPr>
        <w:numPr>
          <w:ilvl w:val="0"/>
          <w:numId w:val="40"/>
        </w:numPr>
        <w:spacing w:line="360" w:lineRule="auto"/>
        <w:rPr>
          <w:rFonts w:cs="Times New Roman"/>
        </w:rPr>
      </w:pPr>
      <w:r>
        <w:rPr>
          <w:rFonts w:eastAsia="Times New Roman" w:cs="Times New Roman"/>
          <w:b/>
          <w:bCs/>
        </w:rPr>
        <w:t>Tribological</w:t>
      </w:r>
      <w:r>
        <w:rPr>
          <w:rFonts w:eastAsia="Times New Roman" w:cs="Times New Roman"/>
        </w:rPr>
        <w:t>: Reducing the sliding friction coefficient (</w:t>
      </w:r>
      <m:oMath>
        <m:sSub>
          <m:sSubPr>
            <m:ctrlPr>
              <w:rPr>
                <w:rFonts w:ascii="Cambria Math" w:eastAsia="Cambria Math" w:hAnsi="Cambria Math" w:cs="Cambria Math"/>
                <w:b/>
                <w:bCs/>
              </w:rPr>
            </m:ctrlPr>
          </m:sSubPr>
          <m:e>
            <m:r>
              <m:rPr>
                <m:sty m:val="b"/>
              </m:rPr>
              <w:rPr>
                <w:rFonts w:ascii="Cambria Math" w:eastAsia="Cambria Math" w:hAnsi="Cambria Math" w:cs="Cambria Math"/>
              </w:rPr>
              <m:t xml:space="preserve">µ </m:t>
            </m:r>
          </m:e>
          <m:sub>
            <m:r>
              <m:rPr>
                <m:sty m:val="b"/>
              </m:rPr>
              <w:rPr>
                <w:rFonts w:ascii="Cambria Math" w:eastAsia="Cambria Math" w:hAnsi="Cambria Math" w:cs="Cambria Math"/>
              </w:rPr>
              <m:t>s</m:t>
            </m:r>
          </m:sub>
        </m:sSub>
        <m:r>
          <m:rPr>
            <m:sty m:val="b"/>
          </m:rPr>
          <w:rPr>
            <w:rFonts w:ascii="Cambria Math" w:eastAsia="Cambria Math" w:hAnsi="Cambria Math" w:cs="Cambria Math"/>
          </w:rPr>
          <m:t>&lt; 0.3</m:t>
        </m:r>
      </m:oMath>
      <w:r>
        <w:rPr>
          <w:rFonts w:eastAsia="Times New Roman" w:cs="Times New Roman"/>
        </w:rPr>
        <w:t xml:space="preserve"> for salt on polished 316L), thereby minimizing the torque required to overcome wall shear and preventing the "doughnut effect" (solid-body rotation).</w:t>
      </w:r>
    </w:p>
    <w:p w:rsidR="008C1E2F" w:rsidRDefault="008C1E2F" w:rsidP="008C1E2F">
      <w:pPr>
        <w:numPr>
          <w:ilvl w:val="0"/>
          <w:numId w:val="40"/>
        </w:numPr>
        <w:spacing w:line="360" w:lineRule="auto"/>
        <w:rPr>
          <w:rFonts w:cs="Times New Roman"/>
        </w:rPr>
      </w:pPr>
      <w:r>
        <w:rPr>
          <w:rFonts w:eastAsia="Times New Roman" w:cs="Times New Roman"/>
          <w:b/>
          <w:bCs/>
        </w:rPr>
        <w:t>Hygienic</w:t>
      </w:r>
      <w:r>
        <w:rPr>
          <w:rFonts w:eastAsia="Times New Roman" w:cs="Times New Roman"/>
        </w:rPr>
        <w:t>: Eliminating surface asperities that could harbor bacteria or provide nucleation sites for salt crystal adhesion and caking.</w:t>
      </w:r>
    </w:p>
    <w:p w:rsidR="008C1E2F" w:rsidRDefault="008C1E2F" w:rsidP="008C1E2F">
      <w:pPr>
        <w:spacing w:line="360" w:lineRule="auto"/>
        <w:rPr>
          <w:rFonts w:cs="Times New Roman"/>
        </w:rPr>
      </w:pPr>
      <w:r>
        <w:rPr>
          <w:rFonts w:eastAsia="Times New Roman" w:cs="Times New Roman"/>
        </w:rPr>
        <w:t xml:space="preserve">Electropolishing provides the smoothest surface finish for stainless steel components. This electrochemical process selectively dissolves surface asperities, reducing </w:t>
      </w:r>
      <w:r>
        <w:rPr>
          <w:rFonts w:eastAsia="Times New Roman" w:cs="Times New Roman"/>
          <w:b/>
          <w:bCs/>
        </w:rPr>
        <w:t>Ra</w:t>
      </w:r>
      <w:r>
        <w:rPr>
          <w:rFonts w:eastAsia="Times New Roman" w:cs="Times New Roman"/>
        </w:rPr>
        <w:t xml:space="preserve"> values below </w:t>
      </w:r>
      <w:r>
        <w:rPr>
          <w:rFonts w:eastAsia="Times New Roman" w:cs="Times New Roman"/>
          <w:b/>
          <w:bCs/>
        </w:rPr>
        <w:t>0.4 µm</w:t>
      </w:r>
      <w:r>
        <w:rPr>
          <w:rFonts w:eastAsia="Times New Roman" w:cs="Times New Roman"/>
        </w:rPr>
        <w:t xml:space="preserve"> while simultaneously enhancing corrosion resistance through </w:t>
      </w:r>
      <w:r>
        <w:rPr>
          <w:rFonts w:eastAsia="Times New Roman" w:cs="Times New Roman"/>
        </w:rPr>
        <w:lastRenderedPageBreak/>
        <w:t>chromium enrichment of the surface layer [</w:t>
      </w:r>
      <w:r w:rsidRPr="00B52433">
        <w:rPr>
          <w:rFonts w:eastAsia="Times New Roman" w:cs="Times New Roman"/>
        </w:rPr>
        <w:t>47</w:t>
      </w:r>
      <w:r>
        <w:rPr>
          <w:rFonts w:eastAsia="Times New Roman" w:cs="Times New Roman"/>
        </w:rPr>
        <w:t>]. For the auger filler application, electropolishing of flight surfaces reduces friction and prevents salt adhesion.</w:t>
      </w:r>
    </w:p>
    <w:p w:rsidR="008C1E2F" w:rsidRDefault="008C1E2F" w:rsidP="008C1E2F">
      <w:pPr>
        <w:spacing w:line="360" w:lineRule="auto"/>
        <w:rPr>
          <w:rFonts w:cs="Times New Roman"/>
        </w:rPr>
      </w:pPr>
      <w:r>
        <w:rPr>
          <w:rFonts w:eastAsia="Times New Roman" w:cs="Times New Roman"/>
        </w:rPr>
        <w:t xml:space="preserve">The 2B finish (cold-rolled, annealed, and pickled) represents a cost-effective alternative to electropolishing, providing </w:t>
      </w:r>
      <w:r>
        <w:rPr>
          <w:rFonts w:eastAsia="Times New Roman" w:cs="Times New Roman"/>
          <w:b/>
          <w:bCs/>
        </w:rPr>
        <w:t>Ra</w:t>
      </w:r>
      <w:r>
        <w:rPr>
          <w:rFonts w:eastAsia="Times New Roman" w:cs="Times New Roman"/>
        </w:rPr>
        <w:t xml:space="preserve"> values of </w:t>
      </w:r>
      <w:r>
        <w:rPr>
          <w:rFonts w:eastAsia="Times New Roman" w:cs="Times New Roman"/>
          <w:b/>
          <w:bCs/>
        </w:rPr>
        <w:t>0.2-0.5 µm</w:t>
      </w:r>
      <w:r>
        <w:rPr>
          <w:rFonts w:eastAsia="Times New Roman" w:cs="Times New Roman"/>
        </w:rPr>
        <w:t>. While not as smooth as electropolished surfaces, 2B finish provides adequate performance for many food applications and is widely used for hopper and housing components [</w:t>
      </w:r>
      <w:r w:rsidRPr="00B52433">
        <w:rPr>
          <w:rFonts w:eastAsia="Times New Roman" w:cs="Times New Roman"/>
        </w:rPr>
        <w:t>48</w:t>
      </w:r>
      <w:r>
        <w:rPr>
          <w:rFonts w:eastAsia="Times New Roman" w:cs="Times New Roman"/>
        </w:rPr>
        <w:t>].</w:t>
      </w:r>
    </w:p>
    <w:p w:rsidR="008C1E2F" w:rsidRDefault="008C1E2F" w:rsidP="008C1E2F">
      <w:pPr>
        <w:spacing w:line="360" w:lineRule="auto"/>
        <w:rPr>
          <w:rFonts w:cs="Times New Roman"/>
          <w:b/>
        </w:rPr>
      </w:pPr>
      <w:r>
        <w:rPr>
          <w:rFonts w:eastAsia="Times New Roman" w:cs="Times New Roman"/>
          <w:b/>
          <w:bCs/>
        </w:rPr>
        <w:t>C. Hygienic Design and Clean-Out-of-Place (COP) Standards</w:t>
      </w:r>
    </w:p>
    <w:p w:rsidR="008C1E2F" w:rsidRDefault="008C1E2F" w:rsidP="008C1E2F">
      <w:pPr>
        <w:spacing w:line="360" w:lineRule="auto"/>
        <w:rPr>
          <w:rFonts w:cs="Times New Roman"/>
        </w:rPr>
      </w:pPr>
      <w:r>
        <w:rPr>
          <w:rFonts w:eastAsia="Times New Roman" w:cs="Times New Roman"/>
        </w:rPr>
        <w:t>Contemporary food-grade machinery must comply with FDA 21 CFR Part 110, ISO 22000, and EHEDG (European Hygienic Engineering &amp; Design Group) guidelines. These standards mandate:</w:t>
      </w:r>
    </w:p>
    <w:p w:rsidR="008C1E2F" w:rsidRDefault="008C1E2F" w:rsidP="008C1E2F">
      <w:pPr>
        <w:numPr>
          <w:ilvl w:val="0"/>
          <w:numId w:val="41"/>
        </w:numPr>
        <w:spacing w:line="360" w:lineRule="auto"/>
        <w:rPr>
          <w:rFonts w:cs="Times New Roman"/>
        </w:rPr>
      </w:pPr>
      <w:r>
        <w:rPr>
          <w:rFonts w:eastAsia="Times New Roman" w:cs="Times New Roman"/>
          <w:b/>
          <w:bCs/>
        </w:rPr>
        <w:t>Geometric Hygiene</w:t>
      </w:r>
      <w:r>
        <w:rPr>
          <w:rFonts w:eastAsia="Times New Roman" w:cs="Times New Roman"/>
        </w:rPr>
        <w:t xml:space="preserve">: Elimination of internal crevices, sharp corners (minimum </w:t>
      </w:r>
      <w:r>
        <w:rPr>
          <w:rFonts w:eastAsia="Times New Roman" w:cs="Times New Roman"/>
          <w:b/>
          <w:bCs/>
        </w:rPr>
        <w:t>3 mm</w:t>
      </w:r>
      <w:r>
        <w:rPr>
          <w:rFonts w:eastAsia="Times New Roman" w:cs="Times New Roman"/>
        </w:rPr>
        <w:t xml:space="preserve"> radii), and "dead zones" where material stagnation or bacterial accumulation could occur. All product-contact surfaces must be self-draining with slopes </w:t>
      </w:r>
      <w:r>
        <w:rPr>
          <w:rFonts w:eastAsia="Times New Roman" w:cs="Times New Roman"/>
          <w:b/>
          <w:bCs/>
        </w:rPr>
        <w:t>≥ 3°</w:t>
      </w:r>
      <w:r>
        <w:rPr>
          <w:rFonts w:eastAsia="Times New Roman" w:cs="Times New Roman"/>
        </w:rPr>
        <w:t>.</w:t>
      </w:r>
    </w:p>
    <w:p w:rsidR="008C1E2F" w:rsidRDefault="008C1E2F" w:rsidP="008C1E2F">
      <w:pPr>
        <w:numPr>
          <w:ilvl w:val="0"/>
          <w:numId w:val="41"/>
        </w:numPr>
        <w:spacing w:line="360" w:lineRule="auto"/>
        <w:rPr>
          <w:rFonts w:cs="Times New Roman"/>
        </w:rPr>
      </w:pPr>
      <w:r>
        <w:rPr>
          <w:rFonts w:eastAsia="Times New Roman" w:cs="Times New Roman"/>
          <w:b/>
          <w:bCs/>
        </w:rPr>
        <w:t>Clean-Out-of-Place (COP) Architecture</w:t>
      </w:r>
      <w:r>
        <w:rPr>
          <w:rFonts w:eastAsia="Times New Roman" w:cs="Times New Roman"/>
        </w:rPr>
        <w:t>: Tool-less disassembly capability through quick-release mechanisms (e.g., Tri-Clamp fittings, DIN 32676) enabling complete component removal for external cleaning and sanitization without specialized equipment.</w:t>
      </w:r>
    </w:p>
    <w:p w:rsidR="008C1E2F" w:rsidRDefault="008C1E2F" w:rsidP="008C1E2F">
      <w:pPr>
        <w:numPr>
          <w:ilvl w:val="0"/>
          <w:numId w:val="41"/>
        </w:numPr>
        <w:spacing w:line="360" w:lineRule="auto"/>
        <w:rPr>
          <w:rFonts w:cs="Times New Roman"/>
        </w:rPr>
      </w:pPr>
      <w:r>
        <w:rPr>
          <w:rFonts w:eastAsia="Times New Roman" w:cs="Times New Roman"/>
          <w:b/>
          <w:bCs/>
        </w:rPr>
        <w:t>Lubrication Containment</w:t>
      </w:r>
      <w:r>
        <w:rPr>
          <w:rFonts w:eastAsia="Times New Roman" w:cs="Times New Roman"/>
        </w:rPr>
        <w:t>: All bearings and drive components must be isolated from product zones, with any potential contact points utilizing H1-registered food-grade lubricants (NSF/ANSI 61 compliance).</w:t>
      </w:r>
    </w:p>
    <w:p w:rsidR="008C1E2F" w:rsidRDefault="008C1E2F" w:rsidP="008C1E2F">
      <w:pPr>
        <w:numPr>
          <w:ilvl w:val="0"/>
          <w:numId w:val="41"/>
        </w:numPr>
        <w:spacing w:line="360" w:lineRule="auto"/>
        <w:rPr>
          <w:rFonts w:cs="Times New Roman"/>
        </w:rPr>
      </w:pPr>
      <w:r>
        <w:rPr>
          <w:rFonts w:eastAsia="Times New Roman" w:cs="Times New Roman"/>
          <w:b/>
          <w:bCs/>
        </w:rPr>
        <w:t>Material Traceability</w:t>
      </w:r>
      <w:r>
        <w:rPr>
          <w:rFonts w:eastAsia="Times New Roman" w:cs="Times New Roman"/>
        </w:rPr>
        <w:t>: Full certification of stainless steel heat numbers, surface finish documentation, and weld procedure qualifications (WPQ) for quality assurance and regulatory audit trails [</w:t>
      </w:r>
      <w:r w:rsidRPr="00B52433">
        <w:rPr>
          <w:rFonts w:eastAsia="Times New Roman" w:cs="Times New Roman"/>
        </w:rPr>
        <w:t>49</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Integration of Geometric and Material Design</w:t>
      </w:r>
    </w:p>
    <w:p w:rsidR="008C1E2F" w:rsidRDefault="008C1E2F" w:rsidP="008C1E2F">
      <w:pPr>
        <w:spacing w:line="360" w:lineRule="auto"/>
        <w:rPr>
          <w:rFonts w:cs="Times New Roman"/>
        </w:rPr>
      </w:pPr>
      <w:r>
        <w:rPr>
          <w:rFonts w:eastAsia="Times New Roman" w:cs="Times New Roman"/>
        </w:rPr>
        <w:t xml:space="preserve">The synthesis of optimized geometry and advanced materials establishes the physical foundation for precision dosing. The square-pitch 316L auger with </w:t>
      </w:r>
      <w:r>
        <w:rPr>
          <w:rFonts w:eastAsia="Times New Roman" w:cs="Times New Roman"/>
          <w:b/>
          <w:bCs/>
        </w:rPr>
        <w:t>Ra ≤ 0.8 µm</w:t>
      </w:r>
      <w:r>
        <w:rPr>
          <w:rFonts w:eastAsia="Times New Roman" w:cs="Times New Roman"/>
        </w:rPr>
        <w:t xml:space="preserve"> surface finish and </w:t>
      </w:r>
      <w:r>
        <w:rPr>
          <w:rFonts w:eastAsia="Times New Roman" w:cs="Times New Roman"/>
          <w:b/>
          <w:bCs/>
        </w:rPr>
        <w:t>δ &lt; 1.5 mm</w:t>
      </w:r>
      <w:r>
        <w:rPr>
          <w:rFonts w:eastAsia="Times New Roman" w:cs="Times New Roman"/>
        </w:rPr>
        <w:t xml:space="preserve"> radial clearance provides:</w:t>
      </w:r>
    </w:p>
    <w:p w:rsidR="008C1E2F" w:rsidRDefault="008C1E2F" w:rsidP="008C1E2F">
      <w:pPr>
        <w:numPr>
          <w:ilvl w:val="0"/>
          <w:numId w:val="42"/>
        </w:numPr>
        <w:spacing w:line="360" w:lineRule="auto"/>
        <w:rPr>
          <w:rFonts w:cs="Times New Roman"/>
        </w:rPr>
      </w:pPr>
      <w:r>
        <w:rPr>
          <w:rFonts w:eastAsia="Times New Roman" w:cs="Times New Roman"/>
        </w:rPr>
        <w:lastRenderedPageBreak/>
        <w:t>Predictable volumetric displacement governed by geometric parameters rather than variable friction coefficients.</w:t>
      </w:r>
    </w:p>
    <w:p w:rsidR="008C1E2F" w:rsidRDefault="008C1E2F" w:rsidP="008C1E2F">
      <w:pPr>
        <w:numPr>
          <w:ilvl w:val="0"/>
          <w:numId w:val="42"/>
        </w:numPr>
        <w:spacing w:line="360" w:lineRule="auto"/>
        <w:rPr>
          <w:rFonts w:cs="Times New Roman"/>
        </w:rPr>
      </w:pPr>
      <w:r>
        <w:rPr>
          <w:rFonts w:eastAsia="Times New Roman" w:cs="Times New Roman"/>
        </w:rPr>
        <w:t xml:space="preserve">Mechanical durability sufficient for continuous industrial operation </w:t>
      </w:r>
      <m:oMath>
        <m:r>
          <m:rPr>
            <m:sty m:val="p"/>
          </m:rPr>
          <w:rPr>
            <w:rFonts w:ascii="Cambria Math" w:eastAsia="Cambria Math" w:hAnsi="Cambria Math" w:cs="Cambria Math"/>
          </w:rPr>
          <m:t>(</m:t>
        </m:r>
        <m:r>
          <m:rPr>
            <m:sty m:val="b"/>
          </m:rPr>
          <w:rPr>
            <w:rFonts w:ascii="Cambria Math" w:eastAsia="Cambria Math" w:hAnsi="Cambria Math" w:cs="Cambria Math"/>
          </w:rPr>
          <m:t>&gt; 10⁷</m:t>
        </m:r>
      </m:oMath>
      <w:r>
        <w:rPr>
          <w:rFonts w:eastAsia="Times New Roman" w:cs="Times New Roman"/>
        </w:rPr>
        <w:t xml:space="preserve"> cycles).</w:t>
      </w:r>
    </w:p>
    <w:p w:rsidR="008C1E2F" w:rsidRDefault="008C1E2F" w:rsidP="008C1E2F">
      <w:pPr>
        <w:numPr>
          <w:ilvl w:val="0"/>
          <w:numId w:val="42"/>
        </w:numPr>
        <w:spacing w:line="360" w:lineRule="auto"/>
        <w:rPr>
          <w:rFonts w:cs="Times New Roman"/>
        </w:rPr>
      </w:pPr>
      <w:r>
        <w:rPr>
          <w:rFonts w:eastAsia="Times New Roman" w:cs="Times New Roman"/>
        </w:rPr>
        <w:t>Regulatory compliance for direct food contact applications.</w:t>
      </w:r>
    </w:p>
    <w:p w:rsidR="008C1E2F" w:rsidRDefault="008C1E2F" w:rsidP="008C1E2F">
      <w:pPr>
        <w:numPr>
          <w:ilvl w:val="0"/>
          <w:numId w:val="42"/>
        </w:numPr>
        <w:spacing w:line="360" w:lineRule="auto"/>
        <w:rPr>
          <w:rFonts w:cs="Times New Roman"/>
        </w:rPr>
      </w:pPr>
      <w:r>
        <w:rPr>
          <w:rFonts w:eastAsia="Times New Roman" w:cs="Times New Roman"/>
        </w:rPr>
        <w:t>Tribological conditions conducive to stable, non-pulsating flow.</w:t>
      </w:r>
    </w:p>
    <w:p w:rsidR="008C1E2F" w:rsidRDefault="008C1E2F" w:rsidP="008C1E2F">
      <w:pPr>
        <w:spacing w:line="360" w:lineRule="auto"/>
        <w:rPr>
          <w:rFonts w:cs="Times New Roman"/>
        </w:rPr>
      </w:pPr>
      <w:r>
        <w:rPr>
          <w:rFonts w:eastAsia="Times New Roman" w:cs="Times New Roman"/>
        </w:rPr>
        <w:t xml:space="preserve">These engineering specifications directly enable the mechatronic control strategies detailed in subsequent chapters, wherein the predictability of mechanical response allows microcontroller-based compensation algorithms to achieve </w:t>
      </w:r>
      <w:r>
        <w:rPr>
          <w:rFonts w:eastAsia="Times New Roman" w:cs="Times New Roman"/>
          <w:b/>
          <w:bCs/>
        </w:rPr>
        <w:t>±1.5%</w:t>
      </w:r>
      <w:r>
        <w:rPr>
          <w:rFonts w:eastAsia="Times New Roman" w:cs="Times New Roman"/>
        </w:rPr>
        <w:t xml:space="preserve"> dosing accuracy at production speeds of </w:t>
      </w:r>
      <w:r>
        <w:rPr>
          <w:rFonts w:eastAsia="Times New Roman" w:cs="Times New Roman"/>
          <w:b/>
          <w:bCs/>
        </w:rPr>
        <w:t>30-35</w:t>
      </w:r>
      <w:r>
        <w:rPr>
          <w:rFonts w:eastAsia="Times New Roman" w:cs="Times New Roman"/>
        </w:rPr>
        <w:t xml:space="preserve"> bags per minute.</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2.4 Multiphysics in Mechatronic Systems</w:t>
      </w:r>
    </w:p>
    <w:p w:rsidR="008C1E2F" w:rsidRDefault="008C1E2F" w:rsidP="008C1E2F">
      <w:pPr>
        <w:spacing w:line="360" w:lineRule="auto"/>
        <w:rPr>
          <w:rFonts w:cs="Times New Roman"/>
        </w:rPr>
      </w:pPr>
      <w:r>
        <w:rPr>
          <w:rFonts w:eastAsia="Times New Roman" w:cs="Times New Roman"/>
        </w:rPr>
        <w:t>The modern design paradigm for industrial packaging machinery has undergone a fundamental transformation from empirical "trial-and-error" methodologies to sophisticated multiphysics simulation frameworks. In high-speed VFFS auger fillers, the interaction between mechanical structures, thermal gradients from high-duty motors, dynamic vibrations, and granular material flow necessitates a holistic mechatronic analysis to ensure long-term reliability, structural integrity, and dosing precision. This section delineates the contemporary computational approaches—encompassing Finite Element Analysis (FEA), thermal analysis, and modal analysis—and their integration with analytical models to establish a validated, simulation-driven design methodology.</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2.4.1 Review of FEA, Thermal, and Modal Analysis in Rotating Machinery</w:t>
      </w:r>
    </w:p>
    <w:p w:rsidR="008C1E2F" w:rsidRDefault="008C1E2F" w:rsidP="008C1E2F">
      <w:pPr>
        <w:spacing w:line="360" w:lineRule="auto"/>
        <w:rPr>
          <w:rFonts w:cs="Times New Roman"/>
        </w:rPr>
      </w:pPr>
      <w:r>
        <w:rPr>
          <w:rFonts w:eastAsia="Times New Roman" w:cs="Times New Roman"/>
        </w:rPr>
        <w:t>The reliability of rotating components, particularly the auger screw and its drive shaft, is evaluated through three critical numerical lenses: static structural analysis for stress and deformation prediction, thermal analysis for temperature distribution and expansion effects, and modal analysis for dynamic characterization and resonance avoidance.</w:t>
      </w:r>
    </w:p>
    <w:p w:rsidR="008C1E2F" w:rsidRDefault="008C1E2F" w:rsidP="008C1E2F">
      <w:pPr>
        <w:spacing w:line="360" w:lineRule="auto"/>
        <w:rPr>
          <w:rFonts w:cs="Times New Roman"/>
          <w:b/>
        </w:rPr>
      </w:pPr>
    </w:p>
    <w:p w:rsidR="008C1E2F" w:rsidRDefault="008C1E2F" w:rsidP="008C1E2F">
      <w:pPr>
        <w:spacing w:line="360" w:lineRule="auto"/>
        <w:rPr>
          <w:rFonts w:cs="Times New Roman"/>
          <w:b/>
        </w:rPr>
      </w:pPr>
      <w:r>
        <w:rPr>
          <w:rFonts w:eastAsia="Times New Roman" w:cs="Times New Roman"/>
          <w:b/>
          <w:bCs/>
        </w:rPr>
        <w:t>A. Static Structural Analysis (FEA)</w:t>
      </w:r>
    </w:p>
    <w:p w:rsidR="008C1E2F" w:rsidRDefault="008C1E2F" w:rsidP="008C1E2F">
      <w:pPr>
        <w:spacing w:line="360" w:lineRule="auto"/>
        <w:rPr>
          <w:rFonts w:cs="Times New Roman"/>
          <w:rtl/>
        </w:rPr>
      </w:pPr>
      <w:r>
        <w:rPr>
          <w:rFonts w:eastAsia="Times New Roman" w:cs="Times New Roman"/>
        </w:rPr>
        <w:t>Finite Element Analysis has become the gold standard for validating structural integrity in mechanical design, enabling detailed prediction of stress distribution, deformation, and safety factors under specified loading conditions. For ductile materials such as austenitic stainless steels (AISI 304/316L), the von Mises yield criterion serves as the primary metric for predicting the onset of plastic deformation, comparing equivalent stress to material yield strength [</w:t>
      </w:r>
      <w:r w:rsidRPr="00B52433">
        <w:rPr>
          <w:rFonts w:eastAsia="Times New Roman" w:cs="Times New Roman"/>
        </w:rPr>
        <w:t>50</w:t>
      </w:r>
      <w:r>
        <w:rPr>
          <w:rFonts w:eastAsia="Times New Roman" w:cs="Times New Roman"/>
        </w:rPr>
        <w:t>].</w:t>
      </w:r>
    </w:p>
    <w:p w:rsidR="008C1E2F" w:rsidRDefault="008C1E2F" w:rsidP="008C1E2F">
      <w:pPr>
        <w:spacing w:line="360" w:lineRule="auto"/>
        <w:rPr>
          <w:rFonts w:cs="Times New Roman"/>
          <w:rtl/>
        </w:rPr>
      </w:pPr>
    </w:p>
    <w:p w:rsidR="008C1E2F" w:rsidRDefault="008C1E2F" w:rsidP="008C1E2F">
      <w:pPr>
        <w:spacing w:line="360" w:lineRule="auto"/>
        <w:rPr>
          <w:rFonts w:cs="Times New Roman"/>
          <w:rtl/>
        </w:rPr>
      </w:pPr>
      <w:r>
        <w:rPr>
          <w:rFonts w:eastAsia="Times New Roman" w:cs="Times New Roman"/>
          <w:noProof/>
          <w:rtl/>
          <w:lang w:val="ar-SA"/>
        </w:rPr>
        <w:drawing>
          <wp:inline distT="0" distB="0" distL="0" distR="0" wp14:anchorId="058DA581" wp14:editId="2612F538">
            <wp:extent cx="5486400" cy="40328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44959" name="Picture 4"/>
                    <pic:cNvPicPr>
                      <a:picLocks noChangeAspect="1"/>
                    </pic:cNvPicPr>
                  </pic:nvPicPr>
                  <pic:blipFill rotWithShape="1">
                    <a:blip r:embed="rId8"/>
                    <a:stretch/>
                  </pic:blipFill>
                  <pic:spPr bwMode="auto">
                    <a:xfrm>
                      <a:off x="0" y="0"/>
                      <a:ext cx="5486400" cy="4032884"/>
                    </a:xfrm>
                    <a:prstGeom prst="rect">
                      <a:avLst/>
                    </a:prstGeom>
                  </pic:spPr>
                </pic:pic>
              </a:graphicData>
            </a:graphic>
          </wp:inline>
        </w:drawing>
      </w:r>
    </w:p>
    <w:p w:rsidR="008C1E2F" w:rsidRDefault="008C1E2F" w:rsidP="008C1E2F">
      <w:pPr>
        <w:numPr>
          <w:ilvl w:val="0"/>
          <w:numId w:val="43"/>
        </w:numPr>
        <w:spacing w:line="360" w:lineRule="auto"/>
        <w:rPr>
          <w:rFonts w:cs="Times New Roman"/>
        </w:rPr>
      </w:pPr>
      <w:r>
        <w:rPr>
          <w:rFonts w:eastAsia="Times New Roman" w:cs="Times New Roman"/>
          <w:b/>
          <w:bCs/>
        </w:rPr>
        <w:t>Figure 2.4:</w:t>
      </w:r>
      <w:r>
        <w:rPr>
          <w:rFonts w:eastAsia="Times New Roman" w:cs="Times New Roman"/>
        </w:rPr>
        <w:t xml:space="preserve"> Typical Finite Element Analysis (FEA) contour plot demonstrating von Mises stress distribution along the auger flight root.</w:t>
      </w:r>
    </w:p>
    <w:p w:rsidR="008C1E2F" w:rsidRDefault="008C1E2F" w:rsidP="008C1E2F">
      <w:pPr>
        <w:spacing w:line="360" w:lineRule="auto"/>
        <w:rPr>
          <w:rFonts w:cs="Times New Roman"/>
        </w:rPr>
      </w:pPr>
    </w:p>
    <w:p w:rsidR="008C1E2F" w:rsidRDefault="008C1E2F" w:rsidP="008C1E2F">
      <w:pPr>
        <w:spacing w:line="360" w:lineRule="auto"/>
        <w:rPr>
          <w:rFonts w:cs="Times New Roman"/>
        </w:rPr>
      </w:pPr>
      <w:r>
        <w:rPr>
          <w:rFonts w:eastAsia="Times New Roman" w:cs="Times New Roman"/>
        </w:rPr>
        <w:t>In auger systems, critical loading conditions include:</w:t>
      </w:r>
    </w:p>
    <w:p w:rsidR="008C1E2F" w:rsidRDefault="008C1E2F" w:rsidP="008C1E2F">
      <w:pPr>
        <w:numPr>
          <w:ilvl w:val="0"/>
          <w:numId w:val="44"/>
        </w:numPr>
        <w:spacing w:line="360" w:lineRule="auto"/>
        <w:rPr>
          <w:rFonts w:cs="Times New Roman"/>
        </w:rPr>
      </w:pPr>
      <w:r>
        <w:rPr>
          <w:rFonts w:eastAsia="Times New Roman" w:cs="Times New Roman"/>
          <w:b/>
          <w:bCs/>
        </w:rPr>
        <w:lastRenderedPageBreak/>
        <w:t>Torsional loads</w:t>
      </w:r>
      <w:r>
        <w:rPr>
          <w:rFonts w:eastAsia="Times New Roman" w:cs="Times New Roman"/>
        </w:rPr>
        <w:t>: The primary operational load arising from the resistance of the compacted powder bed (specifically crystalline NaCl) against shear during rotation. According to El Kassem [2], the torque transmission creates maximum stress concentration at the transition zones between the shaft and the first flight, where geometric discontinuities generate stress concentration factors (</w:t>
      </w:r>
      <m:oMath>
        <m:sSub>
          <m:sSubPr>
            <m:ctrlPr>
              <w:rPr>
                <w:rFonts w:ascii="Cambria Math" w:eastAsia="Cambria Math" w:hAnsi="Cambria Math" w:cs="Cambria Math"/>
              </w:rPr>
            </m:ctrlPr>
          </m:sSubPr>
          <m:e>
            <m:r>
              <m:rPr>
                <m:sty m:val="p"/>
              </m:rPr>
              <w:rPr>
                <w:rFonts w:ascii="Cambria Math" w:eastAsia="Cambria Math" w:hAnsi="Cambria Math" w:cs="Cambria Math"/>
              </w:rPr>
              <m:t>K</m:t>
            </m:r>
          </m:e>
          <m:sub>
            <m:r>
              <m:rPr>
                <m:sty m:val="p"/>
              </m:rPr>
              <w:rPr>
                <w:rFonts w:ascii="Cambria Math" w:eastAsia="Cambria Math" w:hAnsi="Cambria Math" w:cs="Cambria Math"/>
              </w:rPr>
              <m:t>t</m:t>
            </m:r>
          </m:sub>
        </m:sSub>
      </m:oMath>
      <w:r>
        <w:rPr>
          <w:rFonts w:eastAsia="Times New Roman" w:cs="Times New Roman"/>
        </w:rPr>
        <w:t>).</w:t>
      </w:r>
    </w:p>
    <w:p w:rsidR="008C1E2F" w:rsidRDefault="008C1E2F" w:rsidP="008C1E2F">
      <w:pPr>
        <w:numPr>
          <w:ilvl w:val="0"/>
          <w:numId w:val="44"/>
        </w:numPr>
        <w:spacing w:line="360" w:lineRule="auto"/>
        <w:rPr>
          <w:rFonts w:cs="Times New Roman"/>
        </w:rPr>
      </w:pPr>
      <w:r>
        <w:rPr>
          <w:rFonts w:eastAsia="Times New Roman" w:cs="Times New Roman"/>
          <w:b/>
          <w:bCs/>
        </w:rPr>
        <w:t>Bending moments</w:t>
      </w:r>
      <w:r>
        <w:rPr>
          <w:rFonts w:eastAsia="Times New Roman" w:cs="Times New Roman"/>
        </w:rPr>
        <w:t>: Gravity-induced loads and asymmetric material distribution create transverse stresses superimposed on the torsional field.</w:t>
      </w:r>
    </w:p>
    <w:p w:rsidR="008C1E2F" w:rsidRDefault="008C1E2F" w:rsidP="008C1E2F">
      <w:pPr>
        <w:numPr>
          <w:ilvl w:val="0"/>
          <w:numId w:val="44"/>
        </w:numPr>
        <w:spacing w:line="360" w:lineRule="auto"/>
        <w:rPr>
          <w:rFonts w:cs="Times New Roman"/>
        </w:rPr>
      </w:pPr>
      <w:r>
        <w:rPr>
          <w:rFonts w:eastAsia="Times New Roman" w:cs="Times New Roman"/>
          <w:b/>
          <w:bCs/>
        </w:rPr>
        <w:t>Transient loads</w:t>
      </w:r>
      <w:r>
        <w:rPr>
          <w:rFonts w:eastAsia="Times New Roman" w:cs="Times New Roman"/>
        </w:rPr>
        <w:t>: Breakaway torques required to initiate motion from rest, often 2-3× higher than steady-state operational torque due to static friction and particle interlocking.</w:t>
      </w:r>
    </w:p>
    <w:p w:rsidR="008C1E2F" w:rsidRDefault="008C1E2F" w:rsidP="008C1E2F">
      <w:pPr>
        <w:spacing w:line="360" w:lineRule="auto"/>
        <w:rPr>
          <w:rFonts w:cs="Times New Roman"/>
        </w:rPr>
      </w:pPr>
      <w:r>
        <w:rPr>
          <w:rFonts w:eastAsia="Times New Roman" w:cs="Times New Roman"/>
        </w:rPr>
        <w:t xml:space="preserve">Modern FEA implementations employ curvature-based meshing with local refinement at stress concentration regions (fillets, transitions, weld joints), providing optimal balance between accuracy and computational efficiency. Mesh convergence studies—progressively refining element density until stress results stabilize within specified tolerance (typically </w:t>
      </w:r>
      <w:r>
        <w:rPr>
          <w:rFonts w:eastAsia="Times New Roman" w:cs="Times New Roman"/>
          <w:b/>
          <w:bCs/>
        </w:rPr>
        <w:t>&lt; 5%</w:t>
      </w:r>
      <w:r>
        <w:rPr>
          <w:rFonts w:eastAsia="Times New Roman" w:cs="Times New Roman"/>
        </w:rPr>
        <w:t xml:space="preserve"> variation)—validate that discretization error is acceptably small [3].</w:t>
      </w:r>
    </w:p>
    <w:p w:rsidR="008C1E2F" w:rsidRDefault="008C1E2F" w:rsidP="008C1E2F">
      <w:pPr>
        <w:spacing w:line="360" w:lineRule="auto"/>
        <w:rPr>
          <w:rFonts w:cs="Times New Roman"/>
        </w:rPr>
      </w:pPr>
      <w:r>
        <w:rPr>
          <w:rFonts w:eastAsia="Times New Roman" w:cs="Times New Roman"/>
        </w:rPr>
        <w:t>The Factor of Safety (FoS) is calculated as:</w:t>
      </w:r>
    </w:p>
    <w:p w:rsidR="008C1E2F" w:rsidRDefault="008C1E2F" w:rsidP="008C1E2F">
      <w:pPr>
        <w:spacing w:line="360" w:lineRule="auto"/>
        <w:rPr>
          <w:rFonts w:cs="Times New Roman"/>
        </w:rPr>
      </w:pPr>
      <m:oMathPara>
        <m:oMath>
          <m:r>
            <m:rPr>
              <m:sty m:val="p"/>
            </m:rPr>
            <w:rPr>
              <w:rFonts w:ascii="Cambria Math" w:eastAsia="Cambria Math" w:hAnsi="Cambria Math" w:cs="Cambria Math"/>
            </w:rPr>
            <m:t>FOS=</m:t>
          </m:r>
          <m:f>
            <m:fPr>
              <m:ctrlPr>
                <w:rPr>
                  <w:rFonts w:ascii="Cambria Math" w:eastAsia="Cambria Math" w:hAnsi="Cambria Math" w:cs="Cambria Math"/>
                </w:rPr>
              </m:ctrlPr>
            </m:fPr>
            <m:num>
              <m:sSub>
                <m:sSubPr>
                  <m:ctrlPr>
                    <w:rPr>
                      <w:rFonts w:ascii="Cambria Math" w:eastAsia="Cambria Math" w:hAnsi="Cambria Math" w:cs="Cambria Math"/>
                    </w:rPr>
                  </m:ctrlPr>
                </m:sSubPr>
                <m:e>
                  <m:r>
                    <m:rPr>
                      <m:sty m:val="p"/>
                    </m:rPr>
                    <w:rPr>
                      <w:rFonts w:ascii="Cambria Math" w:eastAsia="Cambria Math" w:hAnsi="Cambria Math" w:cs="Cambria Math"/>
                    </w:rPr>
                    <m:t>σ</m:t>
                  </m:r>
                </m:e>
                <m:sub>
                  <m:r>
                    <m:rPr>
                      <m:sty m:val="p"/>
                    </m:rPr>
                    <w:rPr>
                      <w:rFonts w:ascii="Cambria Math" w:eastAsia="Cambria Math" w:hAnsi="Cambria Math" w:cs="Cambria Math"/>
                    </w:rPr>
                    <m:t>yield</m:t>
                  </m:r>
                </m:sub>
              </m:sSub>
            </m:num>
            <m:den>
              <m:sSub>
                <m:sSubPr>
                  <m:ctrlPr>
                    <w:rPr>
                      <w:rFonts w:ascii="Cambria Math" w:eastAsia="Cambria Math" w:hAnsi="Cambria Math" w:cs="Cambria Math"/>
                    </w:rPr>
                  </m:ctrlPr>
                </m:sSubPr>
                <m:e>
                  <m:r>
                    <m:rPr>
                      <m:sty m:val="p"/>
                    </m:rPr>
                    <w:rPr>
                      <w:rFonts w:ascii="Cambria Math" w:eastAsia="Cambria Math" w:hAnsi="Cambria Math" w:cs="Cambria Math"/>
                    </w:rPr>
                    <m:t>σ</m:t>
                  </m:r>
                </m:e>
                <m:sub>
                  <m:r>
                    <m:rPr>
                      <m:sty m:val="p"/>
                    </m:rPr>
                    <w:rPr>
                      <w:rFonts w:ascii="Cambria Math" w:eastAsia="Cambria Math" w:hAnsi="Cambria Math" w:cs="Cambria Math"/>
                    </w:rPr>
                    <m:t>von mises(max)</m:t>
                  </m:r>
                </m:sub>
              </m:sSub>
            </m:den>
          </m:f>
        </m:oMath>
      </m:oMathPara>
    </w:p>
    <w:p w:rsidR="008C1E2F" w:rsidRDefault="008C1E2F" w:rsidP="008C1E2F">
      <w:pPr>
        <w:spacing w:line="360" w:lineRule="auto"/>
        <w:rPr>
          <w:rFonts w:cs="Times New Roman"/>
        </w:rPr>
      </w:pPr>
      <w:r>
        <w:rPr>
          <w:rFonts w:eastAsia="Times New Roman" w:cs="Times New Roman"/>
        </w:rPr>
        <w:t xml:space="preserve">Contemporary industrial standards for food machinery mandate </w:t>
      </w:r>
      <m:oMath>
        <m:r>
          <m:rPr>
            <m:sty m:val="b"/>
          </m:rPr>
          <w:rPr>
            <w:rFonts w:ascii="Cambria Math" w:eastAsia="Cambria Math" w:hAnsi="Cambria Math" w:cs="Cambria Math"/>
          </w:rPr>
          <m:t>FoS &gt; 2.0</m:t>
        </m:r>
      </m:oMath>
      <w:r>
        <w:rPr>
          <w:rFonts w:eastAsia="Times New Roman" w:cs="Times New Roman"/>
        </w:rPr>
        <w:t xml:space="preserve"> under peak load conditions to account for material property variability, manufacturing tolerances, and fatigue degradation over the design life (</w:t>
      </w:r>
      <w:r>
        <w:rPr>
          <w:rFonts w:eastAsia="Times New Roman" w:cs="Times New Roman"/>
          <w:b/>
          <w:bCs/>
        </w:rPr>
        <w:t>&gt; 10⁷</w:t>
      </w:r>
      <w:r>
        <w:rPr>
          <w:rFonts w:eastAsia="Times New Roman" w:cs="Times New Roman"/>
        </w:rPr>
        <w:t xml:space="preserve"> cycles) [</w:t>
      </w:r>
      <w:r w:rsidRPr="00B52433">
        <w:rPr>
          <w:rFonts w:eastAsia="Times New Roman" w:cs="Times New Roman"/>
        </w:rPr>
        <w:t>51</w:t>
      </w:r>
      <w:r>
        <w:rPr>
          <w:rFonts w:eastAsia="Times New Roman" w:cs="Times New Roman"/>
        </w:rPr>
        <w:t>].</w:t>
      </w:r>
    </w:p>
    <w:p w:rsidR="008C1E2F" w:rsidRDefault="008C1E2F" w:rsidP="008C1E2F">
      <w:pPr>
        <w:spacing w:line="360" w:lineRule="auto"/>
        <w:rPr>
          <w:rFonts w:cs="Times New Roman"/>
          <w:b/>
        </w:rPr>
      </w:pPr>
      <w:r>
        <w:rPr>
          <w:rFonts w:eastAsia="Times New Roman" w:cs="Times New Roman"/>
          <w:b/>
          <w:bCs/>
        </w:rPr>
        <w:t>B. Thermal Analysis</w:t>
      </w:r>
    </w:p>
    <w:p w:rsidR="008C1E2F" w:rsidRDefault="008C1E2F" w:rsidP="008C1E2F">
      <w:pPr>
        <w:spacing w:line="360" w:lineRule="auto"/>
        <w:rPr>
          <w:rFonts w:cs="Times New Roman"/>
        </w:rPr>
      </w:pPr>
      <w:r>
        <w:rPr>
          <w:rFonts w:eastAsia="Times New Roman" w:cs="Times New Roman"/>
        </w:rPr>
        <w:t>Continuous operation of VFFS systems generates heat from multiple sources: internal resistance (</w:t>
      </w:r>
      <m:oMath>
        <m:r>
          <m:rPr>
            <m:sty m:val="p"/>
          </m:rPr>
          <w:rPr>
            <w:rFonts w:ascii="Cambria Math" w:eastAsia="Cambria Math" w:hAnsi="Cambria Math" w:cs="Cambria Math"/>
          </w:rPr>
          <m:t>I²R</m:t>
        </m:r>
      </m:oMath>
      <w:r>
        <w:rPr>
          <w:rFonts w:eastAsia="Times New Roman" w:cs="Times New Roman"/>
        </w:rPr>
        <w:t xml:space="preserve"> losses) within the AC Servo motor, friction between salt particles and the stainless steel funnel surface, and conductive heat transfer from the thermal sealing jaws (operating at </w:t>
      </w:r>
      <w:r>
        <w:rPr>
          <w:rFonts w:eastAsia="Times New Roman" w:cs="Times New Roman"/>
          <w:b/>
          <w:bCs/>
        </w:rPr>
        <w:t>150-200°C</w:t>
      </w:r>
      <w:r>
        <w:rPr>
          <w:rFonts w:eastAsia="Times New Roman" w:cs="Times New Roman"/>
        </w:rPr>
        <w:t>). Thermal-structural coupling is essential because thermal expansion can alter the tight radial clearances (</w:t>
      </w:r>
      <w:r>
        <w:rPr>
          <w:rFonts w:eastAsia="Times New Roman" w:cs="Times New Roman"/>
          <w:b/>
          <w:bCs/>
        </w:rPr>
        <w:t>δ &lt; 1.5 mm</w:t>
      </w:r>
      <w:r>
        <w:rPr>
          <w:rFonts w:eastAsia="Times New Roman" w:cs="Times New Roman"/>
        </w:rPr>
        <w:t>) defined in the CAD model.</w:t>
      </w:r>
    </w:p>
    <w:p w:rsidR="008C1E2F" w:rsidRDefault="008C1E2F" w:rsidP="008C1E2F">
      <w:pPr>
        <w:spacing w:line="360" w:lineRule="auto"/>
        <w:rPr>
          <w:rFonts w:cs="Times New Roman"/>
        </w:rPr>
      </w:pPr>
      <w:r>
        <w:rPr>
          <w:rFonts w:eastAsia="Times New Roman" w:cs="Times New Roman"/>
        </w:rPr>
        <w:lastRenderedPageBreak/>
        <w:t>The coefficient of thermal expansion for austenitic stainless steels (</w:t>
      </w:r>
      <m:oMath>
        <m:r>
          <m:rPr>
            <m:sty m:val="p"/>
          </m:rPr>
          <w:rPr>
            <w:rFonts w:ascii="Cambria Math" w:eastAsia="Cambria Math" w:hAnsi="Cambria Math" w:cs="Cambria Math"/>
          </w:rPr>
          <m:t>α=1.7×</m:t>
        </m:r>
        <m:sSup>
          <m:sSupPr>
            <m:ctrlPr>
              <w:rPr>
                <w:rFonts w:ascii="Cambria Math" w:eastAsia="Cambria Math" w:hAnsi="Cambria Math" w:cs="Cambria Math"/>
              </w:rPr>
            </m:ctrlPr>
          </m:sSupPr>
          <m:e>
            <m:r>
              <m:rPr>
                <m:sty m:val="p"/>
              </m:rPr>
              <w:rPr>
                <w:rFonts w:ascii="Cambria Math" w:eastAsia="Cambria Math" w:hAnsi="Cambria Math" w:cs="Cambria Math"/>
              </w:rPr>
              <m:t>10</m:t>
            </m:r>
          </m:e>
          <m:sup>
            <m:r>
              <m:rPr>
                <m:sty m:val="p"/>
              </m:rPr>
              <w:rPr>
                <w:rFonts w:ascii="Cambria Math" w:eastAsia="Cambria Math" w:hAnsi="Cambria Math" w:cs="Cambria Math"/>
              </w:rPr>
              <m:t>-5</m:t>
            </m:r>
          </m:sup>
        </m:sSup>
        <m:r>
          <m:rPr>
            <m:sty m:val="p"/>
          </m:rPr>
          <w:rPr>
            <w:rFonts w:ascii="Cambria Math" w:eastAsia="Cambria Math" w:hAnsi="Cambria Math" w:cs="Cambria Math"/>
          </w:rPr>
          <m:t xml:space="preserve"> </m:t>
        </m:r>
        <m:f>
          <m:fPr>
            <m:type m:val="skw"/>
            <m:ctrlPr>
              <w:rPr>
                <w:rFonts w:ascii="Cambria Math" w:eastAsia="Cambria Math" w:hAnsi="Cambria Math" w:cs="Cambria Math"/>
              </w:rPr>
            </m:ctrlPr>
          </m:fPr>
          <m:num>
            <m:r>
              <m:rPr>
                <m:sty m:val="p"/>
              </m:rPr>
              <w:rPr>
                <w:rFonts w:ascii="Cambria Math" w:eastAsia="Cambria Math" w:hAnsi="Cambria Math" w:cs="Cambria Math"/>
              </w:rPr>
              <m:t>1</m:t>
            </m:r>
          </m:num>
          <m:den>
            <m:sSup>
              <m:sSupPr>
                <m:ctrlPr>
                  <w:rPr>
                    <w:rFonts w:ascii="Cambria Math" w:eastAsia="Cambria Math" w:hAnsi="Cambria Math" w:cs="Cambria Math"/>
                  </w:rPr>
                </m:ctrlPr>
              </m:sSupPr>
              <m:e>
                <m:r>
                  <m:rPr>
                    <m:sty m:val="p"/>
                  </m:rPr>
                  <w:rPr>
                    <w:rFonts w:ascii="Cambria Math" w:eastAsia="Cambria Math" w:hAnsi="Cambria Math" w:cs="Cambria Math"/>
                  </w:rPr>
                  <m:t>C</m:t>
                </m:r>
              </m:e>
              <m:sup>
                <m:r>
                  <m:rPr>
                    <m:sty m:val="p"/>
                  </m:rPr>
                  <w:rPr>
                    <w:rFonts w:ascii="Cambria Math" w:eastAsia="Cambria Math" w:hAnsi="Cambria Math" w:cs="Cambria Math"/>
                  </w:rPr>
                  <m:t>°</m:t>
                </m:r>
              </m:sup>
            </m:sSup>
          </m:den>
        </m:f>
      </m:oMath>
      <w:r>
        <w:rPr>
          <w:rFonts w:cs="Times New Roman"/>
        </w:rPr>
        <w:t xml:space="preserve">) </w:t>
      </w:r>
      <w:r>
        <w:rPr>
          <w:rFonts w:eastAsia="Times New Roman" w:cs="Times New Roman"/>
        </w:rPr>
        <w:t xml:space="preserve">dictates that a </w:t>
      </w:r>
      <w:r>
        <w:rPr>
          <w:rFonts w:eastAsia="Times New Roman" w:cs="Times New Roman"/>
          <w:b/>
          <w:bCs/>
        </w:rPr>
        <w:t>50°C</w:t>
      </w:r>
      <w:r>
        <w:rPr>
          <w:rFonts w:eastAsia="Times New Roman" w:cs="Times New Roman"/>
        </w:rPr>
        <w:t xml:space="preserve"> temperature rise generates linear expansion of approximately </w:t>
      </w:r>
      <w:r>
        <w:rPr>
          <w:rFonts w:eastAsia="Times New Roman" w:cs="Times New Roman"/>
          <w:b/>
          <w:bCs/>
        </w:rPr>
        <w:t>85 µm</w:t>
      </w:r>
      <w:r>
        <w:rPr>
          <w:rFonts w:eastAsia="Times New Roman" w:cs="Times New Roman"/>
        </w:rPr>
        <w:t xml:space="preserve"> per 100 mm of component length. For the auger-funnel assembly, this expansion must be accommodated without inducing "thermal binding" a catastrophic failure mode wherein differential expansion causes metallic contact, seizure, and drive system overload [5</w:t>
      </w:r>
      <w:r w:rsidRPr="00B52433">
        <w:rPr>
          <w:rFonts w:eastAsia="Times New Roman" w:cs="Times New Roman"/>
        </w:rPr>
        <w:t>2</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Steady-state thermal analysis determines equilibrium temperature distribution under constant heat input, identifying worst-case thermal conditions. Transient thermal analysis tracks temperature evolution during startup and cyclic operation, evaluating whether thermal mass and heat dissipation rates maintain acceptable steady-state temperatures. For auger filler design, thermal analysis ensures that:</w:t>
      </w:r>
    </w:p>
    <w:p w:rsidR="008C1E2F" w:rsidRDefault="008C1E2F" w:rsidP="008C1E2F">
      <w:pPr>
        <w:numPr>
          <w:ilvl w:val="0"/>
          <w:numId w:val="45"/>
        </w:numPr>
        <w:spacing w:line="360" w:lineRule="auto"/>
        <w:rPr>
          <w:rFonts w:cs="Times New Roman"/>
        </w:rPr>
      </w:pPr>
      <w:r>
        <w:rPr>
          <w:rFonts w:eastAsia="Times New Roman" w:cs="Times New Roman"/>
        </w:rPr>
        <w:t>Motor operating temperatures remain within insulation class limits.</w:t>
      </w:r>
    </w:p>
    <w:p w:rsidR="008C1E2F" w:rsidRDefault="008C1E2F" w:rsidP="008C1E2F">
      <w:pPr>
        <w:numPr>
          <w:ilvl w:val="0"/>
          <w:numId w:val="45"/>
        </w:numPr>
        <w:spacing w:line="360" w:lineRule="auto"/>
        <w:rPr>
          <w:rFonts w:cs="Times New Roman"/>
        </w:rPr>
      </w:pPr>
      <w:r>
        <w:rPr>
          <w:rFonts w:eastAsia="Times New Roman" w:cs="Times New Roman"/>
        </w:rPr>
        <w:t>Bearing temperatures do not exceed lubricant degradation thresholds.</w:t>
      </w:r>
    </w:p>
    <w:p w:rsidR="008C1E2F" w:rsidRDefault="008C1E2F" w:rsidP="008C1E2F">
      <w:pPr>
        <w:numPr>
          <w:ilvl w:val="0"/>
          <w:numId w:val="45"/>
        </w:numPr>
        <w:spacing w:line="360" w:lineRule="auto"/>
        <w:rPr>
          <w:rFonts w:cs="Times New Roman"/>
        </w:rPr>
      </w:pPr>
      <w:r>
        <w:rPr>
          <w:rFonts w:eastAsia="Times New Roman" w:cs="Times New Roman"/>
        </w:rPr>
        <w:t>Dimensional changes from thermal expansion preserve functional clearances.</w:t>
      </w:r>
    </w:p>
    <w:p w:rsidR="008C1E2F" w:rsidRDefault="008C1E2F" w:rsidP="008C1E2F">
      <w:pPr>
        <w:spacing w:line="360" w:lineRule="auto"/>
        <w:rPr>
          <w:rFonts w:cs="Times New Roman"/>
          <w:b/>
        </w:rPr>
      </w:pPr>
      <w:r>
        <w:rPr>
          <w:rFonts w:eastAsia="Times New Roman" w:cs="Times New Roman"/>
          <w:b/>
          <w:bCs/>
        </w:rPr>
        <w:t>C. Modal Analysis (Vibration Characteristics)</w:t>
      </w:r>
    </w:p>
    <w:p w:rsidR="008C1E2F" w:rsidRDefault="008C1E2F" w:rsidP="008C1E2F">
      <w:pPr>
        <w:spacing w:line="360" w:lineRule="auto"/>
        <w:rPr>
          <w:rFonts w:cs="Times New Roman"/>
        </w:rPr>
      </w:pPr>
      <w:r>
        <w:rPr>
          <w:rFonts w:eastAsia="Times New Roman" w:cs="Times New Roman"/>
        </w:rPr>
        <w:t>Every mechanical system possesses natural frequencies (</w:t>
      </w:r>
      <m:oMath>
        <m:sSub>
          <m:sSubPr>
            <m:ctrlPr>
              <w:rPr>
                <w:rFonts w:ascii="Cambria Math" w:eastAsia="Cambria Math" w:hAnsi="Cambria Math" w:cs="Cambria Math"/>
              </w:rPr>
            </m:ctrlPr>
          </m:sSubPr>
          <m:e>
            <m:r>
              <m:rPr>
                <m:sty m:val="p"/>
              </m:rPr>
              <w:rPr>
                <w:rFonts w:ascii="Cambria Math" w:eastAsia="Cambria Math" w:hAnsi="Cambria Math" w:cs="Cambria Math"/>
              </w:rPr>
              <m:t>f</m:t>
            </m:r>
          </m:e>
          <m:sub>
            <m:r>
              <m:rPr>
                <m:sty m:val="p"/>
              </m:rPr>
              <w:rPr>
                <w:rFonts w:ascii="Cambria Math" w:eastAsia="Cambria Math" w:hAnsi="Cambria Math" w:cs="Cambria Math"/>
              </w:rPr>
              <m:t>n</m:t>
            </m:r>
          </m:sub>
        </m:sSub>
      </m:oMath>
      <w:r>
        <w:rPr>
          <w:rFonts w:eastAsia="Times New Roman" w:cs="Times New Roman"/>
        </w:rPr>
        <w:t>) and associated mode shapes that characterize its dynamic response. In rotating machinery, if the operational speed (RPM) coincides with a natural frequency, resonance occurs leading to excessive vibration, bearing damage, structural fatigue, and dosing inaccuracy.</w:t>
      </w:r>
    </w:p>
    <w:p w:rsidR="008C1E2F" w:rsidRDefault="008C1E2F" w:rsidP="008C1E2F">
      <w:pPr>
        <w:spacing w:line="360" w:lineRule="auto"/>
        <w:rPr>
          <w:rFonts w:cs="Times New Roman"/>
        </w:rPr>
      </w:pPr>
      <w:r>
        <w:rPr>
          <w:rFonts w:eastAsia="Times New Roman" w:cs="Times New Roman"/>
        </w:rPr>
        <w:t>Modal analysis identifies these critical speeds through eigenvalue extraction of the undamped system:</w:t>
      </w:r>
    </w:p>
    <w:p w:rsidR="008C1E2F" w:rsidRDefault="008C1E2F" w:rsidP="008C1E2F">
      <w:pPr>
        <w:spacing w:line="360" w:lineRule="auto"/>
        <w:rPr>
          <w:rFonts w:cs="Times New Roman"/>
        </w:rPr>
      </w:pPr>
      <m:oMathPara>
        <m:oMath>
          <m:d>
            <m:dPr>
              <m:ctrlPr>
                <w:rPr>
                  <w:rFonts w:ascii="Cambria Math" w:eastAsia="Cambria Math" w:hAnsi="Cambria Math" w:cs="Cambria Math"/>
                </w:rPr>
              </m:ctrlPr>
            </m:dPr>
            <m:e>
              <m:d>
                <m:dPr>
                  <m:begChr m:val="["/>
                  <m:endChr m:val="]"/>
                  <m:ctrlPr>
                    <w:rPr>
                      <w:rFonts w:ascii="Cambria Math" w:eastAsia="Cambria Math" w:hAnsi="Cambria Math" w:cs="Cambria Math"/>
                    </w:rPr>
                  </m:ctrlPr>
                </m:dPr>
                <m:e>
                  <m:r>
                    <m:rPr>
                      <m:sty m:val="p"/>
                    </m:rPr>
                    <w:rPr>
                      <w:rFonts w:ascii="Cambria Math" w:eastAsia="Cambria Math" w:hAnsi="Cambria Math" w:cs="Cambria Math"/>
                    </w:rPr>
                    <m:t>K</m:t>
                  </m:r>
                </m:e>
              </m:d>
              <m:r>
                <m:rPr>
                  <m:sty m:val="p"/>
                </m:rPr>
                <w:rPr>
                  <w:rFonts w:ascii="Cambria Math" w:eastAsia="Cambria Math" w:hAnsi="Cambria Math" w:cs="Cambria Math"/>
                </w:rPr>
                <m:t>-</m:t>
              </m:r>
              <m:sSubSup>
                <m:sSubSupPr>
                  <m:ctrlPr>
                    <w:rPr>
                      <w:rFonts w:ascii="Cambria Math" w:eastAsia="Cambria Math" w:hAnsi="Cambria Math" w:cs="Cambria Math"/>
                    </w:rPr>
                  </m:ctrlPr>
                </m:sSubSupPr>
                <m:e>
                  <m:r>
                    <m:rPr>
                      <m:sty m:val="p"/>
                    </m:rPr>
                    <w:rPr>
                      <w:rFonts w:ascii="Cambria Math" w:eastAsia="Cambria Math" w:hAnsi="Cambria Math" w:cs="Cambria Math"/>
                    </w:rPr>
                    <m:t>ω</m:t>
                  </m:r>
                </m:e>
                <m:sub>
                  <m:r>
                    <m:rPr>
                      <m:sty m:val="p"/>
                    </m:rPr>
                    <w:rPr>
                      <w:rFonts w:ascii="Cambria Math" w:eastAsia="Cambria Math" w:hAnsi="Cambria Math" w:cs="Cambria Math"/>
                    </w:rPr>
                    <m:t>N</m:t>
                  </m:r>
                </m:sub>
                <m:sup>
                  <m:r>
                    <m:rPr>
                      <m:sty m:val="p"/>
                    </m:rPr>
                    <w:rPr>
                      <w:rFonts w:ascii="Cambria Math" w:eastAsia="Cambria Math" w:hAnsi="Cambria Math" w:cs="Cambria Math"/>
                    </w:rPr>
                    <m:t>2</m:t>
                  </m:r>
                </m:sup>
              </m:sSubSup>
              <m:d>
                <m:dPr>
                  <m:begChr m:val="["/>
                  <m:endChr m:val="]"/>
                  <m:ctrlPr>
                    <w:rPr>
                      <w:rFonts w:ascii="Cambria Math" w:hAnsi="Cambria Math" w:cs="Cambria Math"/>
                    </w:rPr>
                  </m:ctrlPr>
                </m:dPr>
                <m:e>
                  <m:r>
                    <m:rPr>
                      <m:sty m:val="p"/>
                    </m:rPr>
                    <w:rPr>
                      <w:rFonts w:ascii="Cambria Math" w:eastAsia="Cambria Math" w:hAnsi="Cambria Math" w:cs="Cambria Math"/>
                    </w:rPr>
                    <m:t>M</m:t>
                  </m:r>
                </m:e>
              </m:d>
            </m:e>
          </m:d>
          <m:sSub>
            <m:sSubPr>
              <m:ctrlPr>
                <w:rPr>
                  <w:rFonts w:ascii="Cambria Math" w:hAnsi="Cambria Math" w:cs="Cambria Math"/>
                </w:rPr>
              </m:ctrlPr>
            </m:sSubPr>
            <m:e>
              <m:r>
                <m:rPr>
                  <m:sty m:val="p"/>
                </m:rPr>
                <w:rPr>
                  <w:rFonts w:ascii="Cambria Math" w:eastAsia="Cambria Math" w:hAnsi="Cambria Math" w:cs="Cambria Math"/>
                </w:rPr>
                <m:t>u</m:t>
              </m:r>
            </m:e>
            <m:sub>
              <m:r>
                <m:rPr>
                  <m:sty m:val="p"/>
                </m:rPr>
                <w:rPr>
                  <w:rFonts w:ascii="Cambria Math" w:eastAsia="Cambria Math" w:hAnsi="Cambria Math" w:cs="Cambria Math"/>
                </w:rPr>
                <m:t>n</m:t>
              </m:r>
            </m:sub>
          </m:sSub>
          <m:r>
            <m:rPr>
              <m:sty m:val="p"/>
            </m:rPr>
            <w:rPr>
              <w:rFonts w:ascii="Cambria Math" w:eastAsia="Cambria Math" w:hAnsi="Cambria Math" w:cs="Cambria Math"/>
            </w:rPr>
            <m:t>=0</m:t>
          </m:r>
        </m:oMath>
      </m:oMathPara>
    </w:p>
    <w:p w:rsidR="008C1E2F" w:rsidRDefault="008C1E2F" w:rsidP="008C1E2F">
      <w:pPr>
        <w:spacing w:line="360" w:lineRule="auto"/>
        <w:rPr>
          <w:rFonts w:cs="Times New Roman"/>
        </w:rPr>
      </w:pPr>
      <w:r>
        <w:rPr>
          <w:rFonts w:eastAsia="Times New Roman" w:cs="Times New Roman"/>
        </w:rPr>
        <w:t>where [</w:t>
      </w:r>
      <m:oMath>
        <m:r>
          <m:rPr>
            <m:sty m:val="p"/>
          </m:rPr>
          <w:rPr>
            <w:rFonts w:ascii="Cambria Math" w:eastAsia="Cambria Math" w:hAnsi="Cambria Math" w:cs="Cambria Math"/>
          </w:rPr>
          <m:t>K</m:t>
        </m:r>
      </m:oMath>
      <w:r>
        <w:rPr>
          <w:rFonts w:eastAsia="Times New Roman" w:cs="Times New Roman"/>
        </w:rPr>
        <w:t>] is the stiffness matrix, [</w:t>
      </w:r>
      <m:oMath>
        <m:r>
          <m:rPr>
            <m:sty m:val="p"/>
          </m:rPr>
          <w:rPr>
            <w:rFonts w:ascii="Cambria Math" w:eastAsia="Cambria Math" w:hAnsi="Cambria Math" w:cs="Cambria Math"/>
          </w:rPr>
          <m:t>M</m:t>
        </m:r>
      </m:oMath>
      <w:r>
        <w:rPr>
          <w:rFonts w:eastAsia="Times New Roman" w:cs="Times New Roman"/>
        </w:rPr>
        <w:t xml:space="preserve">] is the mass matrix, </w:t>
      </w:r>
      <m:oMath>
        <m:sSub>
          <m:sSubPr>
            <m:ctrlPr>
              <w:rPr>
                <w:rFonts w:ascii="Cambria Math" w:eastAsia="Cambria Math" w:hAnsi="Cambria Math" w:cs="Cambria Math"/>
              </w:rPr>
            </m:ctrlPr>
          </m:sSubPr>
          <m:e>
            <m:r>
              <m:rPr>
                <m:sty m:val="p"/>
              </m:rPr>
              <w:rPr>
                <w:rFonts w:ascii="Cambria Math" w:eastAsia="Cambria Math" w:hAnsi="Cambria Math" w:cs="Cambria Math"/>
              </w:rPr>
              <m:t>ω</m:t>
            </m:r>
          </m:e>
          <m:sub>
            <m:r>
              <m:rPr>
                <m:sty m:val="p"/>
              </m:rPr>
              <w:rPr>
                <w:rFonts w:ascii="Cambria Math" w:eastAsia="Cambria Math" w:hAnsi="Cambria Math" w:cs="Cambria Math"/>
              </w:rPr>
              <m:t>n</m:t>
            </m:r>
          </m:sub>
        </m:sSub>
        <m:r>
          <m:rPr>
            <m:sty m:val="p"/>
          </m:rPr>
          <w:rPr>
            <w:rFonts w:ascii="Cambria Math" w:eastAsia="Cambria Math" w:hAnsi="Cambria Math" w:cs="Cambria Math"/>
          </w:rPr>
          <m:t>=2π</m:t>
        </m:r>
        <m:sSub>
          <m:sSubPr>
            <m:ctrlPr>
              <w:rPr>
                <w:rFonts w:ascii="Cambria Math" w:eastAsia="Cambria Math" w:hAnsi="Cambria Math" w:cs="Cambria Math"/>
              </w:rPr>
            </m:ctrlPr>
          </m:sSubPr>
          <m:e>
            <m:r>
              <m:rPr>
                <m:sty m:val="p"/>
              </m:rPr>
              <w:rPr>
                <w:rFonts w:ascii="Cambria Math" w:eastAsia="Cambria Math" w:hAnsi="Cambria Math" w:cs="Cambria Math"/>
              </w:rPr>
              <m:t>f</m:t>
            </m:r>
          </m:e>
          <m:sub>
            <m:r>
              <m:rPr>
                <m:sty m:val="p"/>
              </m:rPr>
              <w:rPr>
                <w:rFonts w:ascii="Cambria Math" w:eastAsia="Cambria Math" w:hAnsi="Cambria Math" w:cs="Cambria Math"/>
              </w:rPr>
              <m:t>n</m:t>
            </m:r>
          </m:sub>
        </m:sSub>
      </m:oMath>
      <w:r>
        <w:rPr>
          <w:rFonts w:eastAsia="Times New Roman" w:cs="Times New Roman"/>
        </w:rPr>
        <w:t xml:space="preserve"> is the natural circular frequency, and </w:t>
      </w:r>
      <m:oMath>
        <m:sSub>
          <m:sSubPr>
            <m:ctrlPr>
              <w:rPr>
                <w:rFonts w:ascii="Cambria Math" w:eastAsia="Cambria Math" w:hAnsi="Cambria Math" w:cs="Cambria Math"/>
              </w:rPr>
            </m:ctrlPr>
          </m:sSubPr>
          <m:e>
            <m:r>
              <m:rPr>
                <m:sty m:val="p"/>
              </m:rPr>
              <w:rPr>
                <w:rFonts w:ascii="Cambria Math" w:eastAsia="Cambria Math" w:hAnsi="Cambria Math" w:cs="Cambria Math"/>
              </w:rPr>
              <m:t>u</m:t>
            </m:r>
          </m:e>
          <m:sub>
            <m:r>
              <m:rPr>
                <m:sty m:val="p"/>
              </m:rPr>
              <w:rPr>
                <w:rFonts w:ascii="Cambria Math" w:eastAsia="Cambria Math" w:hAnsi="Cambria Math" w:cs="Cambria Math"/>
              </w:rPr>
              <m:t>n</m:t>
            </m:r>
          </m:sub>
        </m:sSub>
      </m:oMath>
      <w:r>
        <w:rPr>
          <w:rFonts w:eastAsia="Times New Roman" w:cs="Times New Roman"/>
        </w:rPr>
        <w:t xml:space="preserve"> is the mode shape vector [</w:t>
      </w:r>
      <w:r w:rsidRPr="00B52433">
        <w:rPr>
          <w:rFonts w:eastAsia="Times New Roman" w:cs="Times New Roman"/>
        </w:rPr>
        <w:t>53</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 xml:space="preserve">For safe operation, engineering practice mandates that the maximum operating speed remain at least </w:t>
      </w:r>
      <m:oMath>
        <m:r>
          <m:rPr>
            <m:sty m:val="b"/>
          </m:rPr>
          <w:rPr>
            <w:rFonts w:ascii="Cambria Math" w:eastAsia="Cambria Math" w:hAnsi="Cambria Math" w:cs="Cambria Math"/>
          </w:rPr>
          <m:t>25%</m:t>
        </m:r>
      </m:oMath>
      <w:r>
        <w:rPr>
          <w:rFonts w:eastAsia="Times New Roman" w:cs="Times New Roman"/>
        </w:rPr>
        <w:t xml:space="preserve"> below the first critical speed (or </w:t>
      </w:r>
      <m:oMath>
        <m:r>
          <m:rPr>
            <m:sty m:val="b"/>
          </m:rPr>
          <w:rPr>
            <w:rFonts w:ascii="Cambria Math" w:eastAsia="Cambria Math" w:hAnsi="Cambria Math" w:cs="Cambria Math"/>
          </w:rPr>
          <m:t>25%</m:t>
        </m:r>
      </m:oMath>
      <w:r>
        <w:rPr>
          <w:rFonts w:eastAsia="Times New Roman" w:cs="Times New Roman"/>
        </w:rPr>
        <w:t xml:space="preserve"> above, for supercritical designs), providing adequate margin for:</w:t>
      </w:r>
    </w:p>
    <w:p w:rsidR="008C1E2F" w:rsidRDefault="008C1E2F" w:rsidP="008C1E2F">
      <w:pPr>
        <w:numPr>
          <w:ilvl w:val="0"/>
          <w:numId w:val="46"/>
        </w:numPr>
        <w:spacing w:line="360" w:lineRule="auto"/>
        <w:rPr>
          <w:rFonts w:cs="Times New Roman"/>
        </w:rPr>
      </w:pPr>
      <w:r>
        <w:rPr>
          <w:rFonts w:eastAsia="Times New Roman" w:cs="Times New Roman"/>
        </w:rPr>
        <w:lastRenderedPageBreak/>
        <w:t>Manufacturing tolerances in bearing stiffness.</w:t>
      </w:r>
    </w:p>
    <w:p w:rsidR="008C1E2F" w:rsidRDefault="008C1E2F" w:rsidP="008C1E2F">
      <w:pPr>
        <w:numPr>
          <w:ilvl w:val="0"/>
          <w:numId w:val="46"/>
        </w:numPr>
        <w:spacing w:line="360" w:lineRule="auto"/>
        <w:rPr>
          <w:rFonts w:cs="Times New Roman"/>
        </w:rPr>
      </w:pPr>
      <w:r>
        <w:rPr>
          <w:rFonts w:eastAsia="Times New Roman" w:cs="Times New Roman"/>
        </w:rPr>
        <w:t>Variation in support boundary conditions.</w:t>
      </w:r>
    </w:p>
    <w:p w:rsidR="008C1E2F" w:rsidRDefault="008C1E2F" w:rsidP="008C1E2F">
      <w:pPr>
        <w:numPr>
          <w:ilvl w:val="0"/>
          <w:numId w:val="46"/>
        </w:numPr>
        <w:spacing w:line="360" w:lineRule="auto"/>
        <w:rPr>
          <w:rFonts w:cs="Times New Roman"/>
        </w:rPr>
      </w:pPr>
      <w:r>
        <w:rPr>
          <w:rFonts w:eastAsia="Times New Roman" w:cs="Times New Roman"/>
        </w:rPr>
        <w:t>Gyroscopic effects on rotating shafts.</w:t>
      </w:r>
    </w:p>
    <w:p w:rsidR="008C1E2F" w:rsidRDefault="008C1E2F" w:rsidP="008C1E2F">
      <w:pPr>
        <w:spacing w:line="360" w:lineRule="auto"/>
        <w:rPr>
          <w:rFonts w:cs="Times New Roman"/>
        </w:rPr>
      </w:pPr>
      <w:r>
        <w:rPr>
          <w:rFonts w:eastAsia="Times New Roman" w:cs="Times New Roman"/>
        </w:rPr>
        <w:t>For a system driven by high-frequency microcontroller PWM (such as ESP32-based servo control), it is additionally vital to ensure that switching frequencies and control loop dynamics do not excite mechanical resonances of the supporting frame or drive train [</w:t>
      </w:r>
      <w:r w:rsidRPr="00B52433">
        <w:rPr>
          <w:rFonts w:eastAsia="Times New Roman" w:cs="Times New Roman"/>
        </w:rPr>
        <w:t>54</w:t>
      </w:r>
      <w:r>
        <w:rPr>
          <w:rFonts w:eastAsia="Times New Roman" w:cs="Times New Roman"/>
        </w:rPr>
        <w:t>].</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2.4.2 Integration of Analytical Models with Numerical Simulations</w:t>
      </w:r>
    </w:p>
    <w:p w:rsidR="008C1E2F" w:rsidRDefault="008C1E2F" w:rsidP="008C1E2F">
      <w:pPr>
        <w:spacing w:line="360" w:lineRule="auto"/>
        <w:rPr>
          <w:rFonts w:cs="Times New Roman"/>
        </w:rPr>
      </w:pPr>
      <w:r>
        <w:rPr>
          <w:rFonts w:eastAsia="Times New Roman" w:cs="Times New Roman"/>
        </w:rPr>
        <w:t>The state-of-the-art in mechatronic engineering involves a synergistic relationship between classical mathematical foundations and modern numerical solvers (ANSYS, SolidWorks Simulation, EDEM, Wokwi, Automation Studio, Pulse View, Protues, Square Line Studio, Matlab). This integration follows the "V-Model" methodology, wherein analytical models provide theoretical baselines and physical insight, while numerical simulations offer high-fidelity validation for complex geometries and coupled phenomena.</w:t>
      </w:r>
    </w:p>
    <w:p w:rsidR="008C1E2F" w:rsidRDefault="008C1E2F" w:rsidP="008C1E2F">
      <w:pPr>
        <w:spacing w:line="360" w:lineRule="auto"/>
        <w:rPr>
          <w:rFonts w:cs="Times New Roman"/>
          <w:b/>
        </w:rPr>
      </w:pPr>
      <w:r>
        <w:rPr>
          <w:rFonts w:eastAsia="Times New Roman" w:cs="Times New Roman"/>
          <w:b/>
          <w:bCs/>
        </w:rPr>
        <w:t>A. Validation Framework and Correlation Methodology</w:t>
      </w:r>
    </w:p>
    <w:p w:rsidR="008C1E2F" w:rsidRDefault="008C1E2F" w:rsidP="008C1E2F">
      <w:pPr>
        <w:spacing w:line="360" w:lineRule="auto"/>
        <w:rPr>
          <w:rFonts w:cs="Times New Roman"/>
        </w:rPr>
      </w:pPr>
      <w:r>
        <w:rPr>
          <w:rFonts w:eastAsia="Times New Roman" w:cs="Times New Roman"/>
        </w:rPr>
        <w:t>Analytical models derived from first principles and empirical correlations—provide rapid "order-of-magnitude" estimates and fundamental physics understanding (e.g., Jenike's equations for hopper flow, Roberts' torque models for screw conveyors). However, these models inherently simplify complex geometries and idealize material behaviors.</w:t>
      </w:r>
    </w:p>
    <w:p w:rsidR="008C1E2F" w:rsidRDefault="008C1E2F" w:rsidP="008C1E2F">
      <w:pPr>
        <w:spacing w:line="360" w:lineRule="auto"/>
        <w:rPr>
          <w:rFonts w:cs="Times New Roman"/>
        </w:rPr>
      </w:pPr>
      <w:r>
        <w:rPr>
          <w:rFonts w:eastAsia="Times New Roman" w:cs="Times New Roman"/>
        </w:rPr>
        <w:t>Numerical simulations provide high-resolution spatial and temporal data, accounting for:</w:t>
      </w:r>
    </w:p>
    <w:p w:rsidR="008C1E2F" w:rsidRDefault="008C1E2F" w:rsidP="008C1E2F">
      <w:pPr>
        <w:numPr>
          <w:ilvl w:val="0"/>
          <w:numId w:val="47"/>
        </w:numPr>
        <w:spacing w:line="360" w:lineRule="auto"/>
        <w:rPr>
          <w:rFonts w:cs="Times New Roman"/>
        </w:rPr>
      </w:pPr>
      <w:r>
        <w:rPr>
          <w:rFonts w:eastAsia="Times New Roman" w:cs="Times New Roman"/>
        </w:rPr>
        <w:t>Geometric complexity (helical flight profiles, fillet radii).</w:t>
      </w:r>
    </w:p>
    <w:p w:rsidR="008C1E2F" w:rsidRDefault="008C1E2F" w:rsidP="008C1E2F">
      <w:pPr>
        <w:numPr>
          <w:ilvl w:val="0"/>
          <w:numId w:val="47"/>
        </w:numPr>
        <w:spacing w:line="360" w:lineRule="auto"/>
        <w:rPr>
          <w:rFonts w:cs="Times New Roman"/>
        </w:rPr>
      </w:pPr>
      <w:r>
        <w:rPr>
          <w:rFonts w:eastAsia="Times New Roman" w:cs="Times New Roman"/>
        </w:rPr>
        <w:t>Non-linear material behaviors (plasticity, thermal softening).</w:t>
      </w:r>
    </w:p>
    <w:p w:rsidR="008C1E2F" w:rsidRDefault="008C1E2F" w:rsidP="008C1E2F">
      <w:pPr>
        <w:numPr>
          <w:ilvl w:val="0"/>
          <w:numId w:val="47"/>
        </w:numPr>
        <w:spacing w:line="360" w:lineRule="auto"/>
        <w:rPr>
          <w:rFonts w:cs="Times New Roman"/>
        </w:rPr>
      </w:pPr>
      <w:r>
        <w:rPr>
          <w:rFonts w:eastAsia="Times New Roman" w:cs="Times New Roman"/>
        </w:rPr>
        <w:t>Multi-physics coupling (thermal-structural, fluid-structure interaction).</w:t>
      </w:r>
    </w:p>
    <w:p w:rsidR="008C1E2F" w:rsidRDefault="008C1E2F" w:rsidP="008C1E2F">
      <w:pPr>
        <w:spacing w:line="360" w:lineRule="auto"/>
        <w:rPr>
          <w:rFonts w:cs="Times New Roman"/>
        </w:rPr>
      </w:pPr>
      <w:r>
        <w:rPr>
          <w:rFonts w:eastAsia="Times New Roman" w:cs="Times New Roman"/>
        </w:rPr>
        <w:lastRenderedPageBreak/>
        <w:t>The correlation between analytical and numerical results serves as critical validation. The percentage error is calculated as:</w:t>
      </w:r>
    </w:p>
    <w:p w:rsidR="008C1E2F" w:rsidRDefault="008C1E2F" w:rsidP="008C1E2F">
      <w:pPr>
        <w:spacing w:line="360" w:lineRule="auto"/>
        <w:rPr>
          <w:rFonts w:cs="Times New Roman"/>
        </w:rPr>
      </w:pPr>
      <m:oMathPara>
        <m:oMath>
          <m:r>
            <m:rPr>
              <m:sty m:val="p"/>
            </m:rPr>
            <w:rPr>
              <w:rFonts w:ascii="Cambria Math" w:eastAsia="Cambria Math" w:hAnsi="Cambria Math" w:cs="Cambria Math"/>
            </w:rPr>
            <m:t>Erorr=</m:t>
          </m:r>
          <m:f>
            <m:fPr>
              <m:ctrlPr>
                <w:rPr>
                  <w:rFonts w:ascii="Cambria Math" w:eastAsia="Cambria Math" w:hAnsi="Cambria Math" w:cs="Cambria Math"/>
                </w:rPr>
              </m:ctrlPr>
            </m:fPr>
            <m:num>
              <m:r>
                <m:rPr>
                  <m:sty m:val="p"/>
                </m:rPr>
                <w:rPr>
                  <w:rFonts w:ascii="Cambria Math" w:eastAsia="Cambria Math" w:hAnsi="Cambria Math" w:cs="Cambria Math"/>
                </w:rPr>
                <m:t>|Analytical-Simulation|</m:t>
              </m:r>
            </m:num>
            <m:den>
              <m:r>
                <m:rPr>
                  <m:sty m:val="p"/>
                </m:rPr>
                <w:rPr>
                  <w:rFonts w:ascii="Cambria Math" w:eastAsia="Cambria Math" w:hAnsi="Cambria Math" w:cs="Cambria Math"/>
                </w:rPr>
                <m:t>Analytical</m:t>
              </m:r>
            </m:den>
          </m:f>
          <m:r>
            <m:rPr>
              <m:sty m:val="p"/>
            </m:rPr>
            <w:rPr>
              <w:rFonts w:ascii="Cambria Math" w:eastAsia="Cambria Math" w:hAnsi="Cambria Math" w:cs="Cambria Math"/>
            </w:rPr>
            <m:t>×100%</m:t>
          </m:r>
        </m:oMath>
      </m:oMathPara>
    </w:p>
    <w:p w:rsidR="008C1E2F" w:rsidRDefault="008C1E2F" w:rsidP="008C1E2F">
      <w:pPr>
        <w:spacing w:line="360" w:lineRule="auto"/>
        <w:rPr>
          <w:rFonts w:cs="Times New Roman"/>
        </w:rPr>
      </w:pPr>
      <w:r>
        <w:rPr>
          <w:rFonts w:eastAsia="Times New Roman" w:cs="Times New Roman"/>
        </w:rPr>
        <w:t xml:space="preserve">Acceptable correlation is typically defined as </w:t>
      </w:r>
      <m:oMath>
        <m:r>
          <m:rPr>
            <m:sty m:val="b"/>
          </m:rPr>
          <w:rPr>
            <w:rFonts w:ascii="Cambria Math" w:eastAsia="Cambria Math" w:hAnsi="Cambria Math" w:cs="Cambria Math"/>
          </w:rPr>
          <m:t>&lt; 10%</m:t>
        </m:r>
      </m:oMath>
      <w:r>
        <w:rPr>
          <w:rFonts w:eastAsia="Times New Roman" w:cs="Times New Roman"/>
        </w:rPr>
        <w:t xml:space="preserve"> error for primary performance metrics (stress, torque, flow rate). Significant discrepancies indicate errors in analytical assumptions, simulation boundary conditions, or material property definitions, requiring systematic investigation [</w:t>
      </w:r>
      <w:r w:rsidRPr="00B52433">
        <w:rPr>
          <w:rFonts w:eastAsia="Times New Roman" w:cs="Times New Roman"/>
        </w:rPr>
        <w:t>55</w:t>
      </w:r>
      <w:r>
        <w:rPr>
          <w:rFonts w:eastAsia="Times New Roman" w:cs="Times New Roman"/>
        </w:rPr>
        <w:t>].</w:t>
      </w:r>
    </w:p>
    <w:p w:rsidR="008C1E2F" w:rsidRDefault="008C1E2F" w:rsidP="008C1E2F">
      <w:pPr>
        <w:spacing w:line="360" w:lineRule="auto"/>
        <w:rPr>
          <w:rFonts w:cs="Times New Roman"/>
          <w:b/>
        </w:rPr>
      </w:pPr>
      <w:r>
        <w:rPr>
          <w:rFonts w:eastAsia="Times New Roman" w:cs="Times New Roman"/>
          <w:b/>
          <w:bCs/>
        </w:rPr>
        <w:t>B. Digital Twin Concept</w:t>
      </w:r>
    </w:p>
    <w:p w:rsidR="008C1E2F" w:rsidRDefault="008C1E2F" w:rsidP="008C1E2F">
      <w:pPr>
        <w:spacing w:line="360" w:lineRule="auto"/>
        <w:rPr>
          <w:rFonts w:cs="Times New Roman"/>
        </w:rPr>
      </w:pPr>
      <w:r>
        <w:rPr>
          <w:rFonts w:eastAsia="Times New Roman" w:cs="Times New Roman"/>
        </w:rPr>
        <w:t>The integration of validated models enables the creation of a "Digital Twin" a virtual representation of the physical system that evolves with operational data. In the context of VFFS auger fillers, the Digital Twin encompasses:</w:t>
      </w:r>
    </w:p>
    <w:p w:rsidR="008C1E2F" w:rsidRDefault="008C1E2F" w:rsidP="008C1E2F">
      <w:pPr>
        <w:numPr>
          <w:ilvl w:val="0"/>
          <w:numId w:val="48"/>
        </w:numPr>
        <w:spacing w:line="360" w:lineRule="auto"/>
        <w:rPr>
          <w:rFonts w:cs="Times New Roman"/>
        </w:rPr>
      </w:pPr>
      <w:r>
        <w:rPr>
          <w:rFonts w:eastAsia="Times New Roman" w:cs="Times New Roman"/>
          <w:b/>
          <w:bCs/>
        </w:rPr>
        <w:t>Mechanical subsystem</w:t>
      </w:r>
      <w:r>
        <w:rPr>
          <w:rFonts w:eastAsia="Times New Roman" w:cs="Times New Roman"/>
        </w:rPr>
        <w:t>: Parametric CAD geometry linked to FEA structural models.</w:t>
      </w:r>
    </w:p>
    <w:p w:rsidR="008C1E2F" w:rsidRDefault="008C1E2F" w:rsidP="008C1E2F">
      <w:pPr>
        <w:numPr>
          <w:ilvl w:val="0"/>
          <w:numId w:val="48"/>
        </w:numPr>
        <w:spacing w:line="360" w:lineRule="auto"/>
        <w:rPr>
          <w:rFonts w:cs="Times New Roman"/>
        </w:rPr>
      </w:pPr>
      <w:r>
        <w:rPr>
          <w:rFonts w:eastAsia="Times New Roman" w:cs="Times New Roman"/>
          <w:b/>
          <w:bCs/>
        </w:rPr>
        <w:t>Material flow subsystem</w:t>
      </w:r>
      <w:r>
        <w:rPr>
          <w:rFonts w:eastAsia="Times New Roman" w:cs="Times New Roman"/>
        </w:rPr>
        <w:t>: DEM (Discrete Element Method) models of powder rheology and transport.</w:t>
      </w:r>
    </w:p>
    <w:p w:rsidR="008C1E2F" w:rsidRDefault="008C1E2F" w:rsidP="008C1E2F">
      <w:pPr>
        <w:numPr>
          <w:ilvl w:val="0"/>
          <w:numId w:val="48"/>
        </w:numPr>
        <w:spacing w:line="360" w:lineRule="auto"/>
        <w:rPr>
          <w:rFonts w:cs="Times New Roman"/>
        </w:rPr>
      </w:pPr>
      <w:r>
        <w:rPr>
          <w:rFonts w:eastAsia="Times New Roman" w:cs="Times New Roman"/>
          <w:b/>
          <w:bCs/>
        </w:rPr>
        <w:t>Control subsystem</w:t>
      </w:r>
      <w:r>
        <w:rPr>
          <w:rFonts w:eastAsia="Times New Roman" w:cs="Times New Roman"/>
        </w:rPr>
        <w:t>: Virtual implementation of ESP32 control logic and servo drive dynamics.</w:t>
      </w:r>
    </w:p>
    <w:p w:rsidR="008C1E2F" w:rsidRDefault="008C1E2F" w:rsidP="008C1E2F">
      <w:pPr>
        <w:spacing w:line="360" w:lineRule="auto"/>
        <w:rPr>
          <w:rFonts w:cs="Times New Roman"/>
        </w:rPr>
      </w:pPr>
      <w:r>
        <w:rPr>
          <w:rFonts w:eastAsia="Times New Roman" w:cs="Times New Roman"/>
        </w:rPr>
        <w:t>This virtual environment allows:</w:t>
      </w:r>
    </w:p>
    <w:p w:rsidR="008C1E2F" w:rsidRDefault="008C1E2F" w:rsidP="008C1E2F">
      <w:pPr>
        <w:numPr>
          <w:ilvl w:val="0"/>
          <w:numId w:val="49"/>
        </w:numPr>
        <w:spacing w:line="360" w:lineRule="auto"/>
        <w:rPr>
          <w:rFonts w:cs="Times New Roman"/>
        </w:rPr>
      </w:pPr>
      <w:r>
        <w:rPr>
          <w:rFonts w:eastAsia="Times New Roman" w:cs="Times New Roman"/>
        </w:rPr>
        <w:t>Pre-physical prototyping validation of control algorithms.</w:t>
      </w:r>
    </w:p>
    <w:p w:rsidR="008C1E2F" w:rsidRDefault="008C1E2F" w:rsidP="008C1E2F">
      <w:pPr>
        <w:numPr>
          <w:ilvl w:val="0"/>
          <w:numId w:val="49"/>
        </w:numPr>
        <w:spacing w:line="360" w:lineRule="auto"/>
        <w:rPr>
          <w:rFonts w:cs="Times New Roman"/>
        </w:rPr>
      </w:pPr>
      <w:r>
        <w:rPr>
          <w:rFonts w:eastAsia="Times New Roman" w:cs="Times New Roman"/>
        </w:rPr>
        <w:t>Sensitivity analysis for design parameter optimization.</w:t>
      </w:r>
    </w:p>
    <w:p w:rsidR="008C1E2F" w:rsidRDefault="008C1E2F" w:rsidP="008C1E2F">
      <w:pPr>
        <w:numPr>
          <w:ilvl w:val="0"/>
          <w:numId w:val="49"/>
        </w:numPr>
        <w:spacing w:line="360" w:lineRule="auto"/>
        <w:rPr>
          <w:rFonts w:cs="Times New Roman"/>
        </w:rPr>
      </w:pPr>
      <w:r>
        <w:rPr>
          <w:rFonts w:eastAsia="Times New Roman" w:cs="Times New Roman"/>
        </w:rPr>
        <w:t>Prediction of wear and performance degradation over operational life.</w:t>
      </w:r>
    </w:p>
    <w:p w:rsidR="008C1E2F" w:rsidRDefault="008C1E2F" w:rsidP="008C1E2F">
      <w:pPr>
        <w:numPr>
          <w:ilvl w:val="0"/>
          <w:numId w:val="49"/>
        </w:numPr>
        <w:spacing w:line="360" w:lineRule="auto"/>
        <w:rPr>
          <w:rFonts w:cs="Times New Roman"/>
        </w:rPr>
      </w:pPr>
      <w:r>
        <w:rPr>
          <w:rFonts w:eastAsia="Times New Roman" w:cs="Times New Roman"/>
        </w:rPr>
        <w:t>Virtual commissioning and operator training.</w:t>
      </w:r>
    </w:p>
    <w:p w:rsidR="008C1E2F" w:rsidRDefault="008C1E2F" w:rsidP="008C1E2F">
      <w:pPr>
        <w:spacing w:line="360" w:lineRule="auto"/>
        <w:rPr>
          <w:rFonts w:cs="Times New Roman"/>
        </w:rPr>
      </w:pPr>
      <w:r>
        <w:rPr>
          <w:rFonts w:eastAsia="Times New Roman" w:cs="Times New Roman"/>
        </w:rPr>
        <w:t>The Digital Twin ensures that mechatronic compensation for "slip," "back-flow," and density variation (discussed in Section 2.2.2) is grounded in the physical reality of the machine's structural limits, thermal constraints, and dynamic response characteristics [</w:t>
      </w:r>
      <w:r w:rsidRPr="00B52433">
        <w:rPr>
          <w:rFonts w:eastAsia="Times New Roman" w:cs="Times New Roman"/>
        </w:rPr>
        <w:t>56</w:t>
      </w:r>
      <w:r>
        <w:rPr>
          <w:rFonts w:eastAsia="Times New Roman" w:cs="Times New Roman"/>
        </w:rPr>
        <w:t>].</w:t>
      </w:r>
    </w:p>
    <w:p w:rsidR="008C1E2F" w:rsidRDefault="008C1E2F" w:rsidP="008C1E2F">
      <w:pPr>
        <w:spacing w:line="360" w:lineRule="auto"/>
        <w:rPr>
          <w:rFonts w:cs="Times New Roman"/>
          <w:b/>
        </w:rPr>
      </w:pPr>
      <w:r>
        <w:rPr>
          <w:rFonts w:eastAsia="Times New Roman" w:cs="Times New Roman"/>
          <w:b/>
          <w:bCs/>
        </w:rPr>
        <w:lastRenderedPageBreak/>
        <w:t>C. Multiphysics Coupling in Industrial Practice</w:t>
      </w:r>
    </w:p>
    <w:p w:rsidR="008C1E2F" w:rsidRDefault="008C1E2F" w:rsidP="008C1E2F">
      <w:pPr>
        <w:spacing w:line="360" w:lineRule="auto"/>
        <w:rPr>
          <w:rFonts w:cs="Times New Roman"/>
        </w:rPr>
      </w:pPr>
      <w:r>
        <w:rPr>
          <w:rFonts w:eastAsia="Times New Roman" w:cs="Times New Roman"/>
        </w:rPr>
        <w:t>Contemporary simulation platforms enable coupled-field analysis wherein multiple physical phenomena interact:</w:t>
      </w:r>
    </w:p>
    <w:p w:rsidR="008C1E2F" w:rsidRDefault="008C1E2F" w:rsidP="008C1E2F">
      <w:pPr>
        <w:numPr>
          <w:ilvl w:val="0"/>
          <w:numId w:val="50"/>
        </w:numPr>
        <w:spacing w:line="360" w:lineRule="auto"/>
        <w:rPr>
          <w:rFonts w:cs="Times New Roman"/>
        </w:rPr>
      </w:pPr>
      <w:r>
        <w:rPr>
          <w:rFonts w:eastAsia="Times New Roman" w:cs="Times New Roman"/>
          <w:b/>
          <w:bCs/>
        </w:rPr>
        <w:t>Thermal-structural coupling</w:t>
      </w:r>
      <w:r>
        <w:rPr>
          <w:rFonts w:eastAsia="Times New Roman" w:cs="Times New Roman"/>
        </w:rPr>
        <w:t>: Temperature fields from thermal analysis are applied as loads in structural analysis, predicting thermally-induced stresses and deformations.</w:t>
      </w:r>
    </w:p>
    <w:p w:rsidR="008C1E2F" w:rsidRDefault="008C1E2F" w:rsidP="008C1E2F">
      <w:pPr>
        <w:numPr>
          <w:ilvl w:val="0"/>
          <w:numId w:val="50"/>
        </w:numPr>
        <w:spacing w:line="360" w:lineRule="auto"/>
        <w:rPr>
          <w:rFonts w:cs="Times New Roman"/>
        </w:rPr>
      </w:pPr>
      <w:r>
        <w:rPr>
          <w:rFonts w:eastAsia="Times New Roman" w:cs="Times New Roman"/>
          <w:b/>
          <w:bCs/>
        </w:rPr>
        <w:t>Fluid-structure interaction</w:t>
      </w:r>
      <w:r>
        <w:rPr>
          <w:rFonts w:eastAsia="Times New Roman" w:cs="Times New Roman"/>
        </w:rPr>
        <w:t>: Airflow patterns within the VFFS forming tube (from film transport) interact with falling powder trajectories.</w:t>
      </w:r>
    </w:p>
    <w:p w:rsidR="008C1E2F" w:rsidRDefault="008C1E2F" w:rsidP="008C1E2F">
      <w:pPr>
        <w:numPr>
          <w:ilvl w:val="0"/>
          <w:numId w:val="50"/>
        </w:numPr>
        <w:spacing w:line="360" w:lineRule="auto"/>
        <w:rPr>
          <w:rFonts w:cs="Times New Roman"/>
        </w:rPr>
      </w:pPr>
      <w:r>
        <w:rPr>
          <w:rFonts w:eastAsia="Times New Roman" w:cs="Times New Roman"/>
          <w:b/>
          <w:bCs/>
        </w:rPr>
        <w:t>DEM-FEA coupling</w:t>
      </w:r>
      <w:r>
        <w:rPr>
          <w:rFonts w:eastAsia="Times New Roman" w:cs="Times New Roman"/>
        </w:rPr>
        <w:t>: Particle-scale forces from granular flow simulations are mapped to structural models for fatigue life prediction.</w:t>
      </w:r>
    </w:p>
    <w:p w:rsidR="008C1E2F" w:rsidRDefault="008C1E2F" w:rsidP="008C1E2F">
      <w:pPr>
        <w:spacing w:line="360" w:lineRule="auto"/>
        <w:rPr>
          <w:rFonts w:cs="Times New Roman"/>
        </w:rPr>
      </w:pPr>
      <w:r>
        <w:rPr>
          <w:rFonts w:eastAsia="Times New Roman" w:cs="Times New Roman"/>
        </w:rPr>
        <w:t>For the current project, this multiphysics approach enables comprehensive verification that:</w:t>
      </w:r>
    </w:p>
    <w:p w:rsidR="008C1E2F" w:rsidRDefault="008C1E2F" w:rsidP="008C1E2F">
      <w:pPr>
        <w:numPr>
          <w:ilvl w:val="0"/>
          <w:numId w:val="51"/>
        </w:numPr>
        <w:spacing w:line="360" w:lineRule="auto"/>
        <w:rPr>
          <w:rFonts w:cs="Times New Roman"/>
        </w:rPr>
      </w:pPr>
      <w:r>
        <w:rPr>
          <w:rFonts w:eastAsia="Times New Roman" w:cs="Times New Roman"/>
        </w:rPr>
        <w:t>Structural stresses remain within safe limits under combined mechanical and thermal loads.</w:t>
      </w:r>
    </w:p>
    <w:p w:rsidR="008C1E2F" w:rsidRDefault="008C1E2F" w:rsidP="008C1E2F">
      <w:pPr>
        <w:numPr>
          <w:ilvl w:val="0"/>
          <w:numId w:val="51"/>
        </w:numPr>
        <w:spacing w:line="360" w:lineRule="auto"/>
        <w:rPr>
          <w:rFonts w:cs="Times New Roman"/>
        </w:rPr>
      </w:pPr>
      <w:r>
        <w:rPr>
          <w:rFonts w:eastAsia="Times New Roman" w:cs="Times New Roman"/>
        </w:rPr>
        <w:t>Natural frequencies are sufficiently separated from operational excitation frequencies.</w:t>
      </w:r>
    </w:p>
    <w:p w:rsidR="008C1E2F" w:rsidRDefault="008C1E2F" w:rsidP="008C1E2F">
      <w:pPr>
        <w:numPr>
          <w:ilvl w:val="0"/>
          <w:numId w:val="51"/>
        </w:numPr>
        <w:spacing w:line="360" w:lineRule="auto"/>
        <w:rPr>
          <w:rFonts w:cs="Times New Roman"/>
        </w:rPr>
      </w:pPr>
      <w:r>
        <w:rPr>
          <w:rFonts w:eastAsia="Times New Roman" w:cs="Times New Roman"/>
        </w:rPr>
        <w:t>Thermal expansion preserves critical clearances for continuous operation.</w:t>
      </w:r>
    </w:p>
    <w:p w:rsidR="008C1E2F" w:rsidRDefault="008C1E2F" w:rsidP="008C1E2F">
      <w:pPr>
        <w:numPr>
          <w:ilvl w:val="0"/>
          <w:numId w:val="51"/>
        </w:numPr>
        <w:spacing w:line="360" w:lineRule="auto"/>
        <w:rPr>
          <w:rFonts w:cs="Times New Roman"/>
        </w:rPr>
      </w:pPr>
      <w:r>
        <w:rPr>
          <w:rFonts w:eastAsia="Times New Roman" w:cs="Times New Roman"/>
        </w:rPr>
        <w:t>Control system dynamics do not excite mechanical resonances.</w:t>
      </w:r>
    </w:p>
    <w:p w:rsidR="008C1E2F" w:rsidRDefault="008C1E2F" w:rsidP="008C1E2F">
      <w:pPr>
        <w:spacing w:line="360" w:lineRule="auto"/>
        <w:rPr>
          <w:rFonts w:cs="Times New Roman"/>
        </w:rPr>
      </w:pPr>
      <w:r>
        <w:rPr>
          <w:rFonts w:eastAsia="Times New Roman" w:cs="Times New Roman"/>
        </w:rPr>
        <w:t>This simulation-driven methodology significantly reduces time-to-market, minimizes costly physical prototyping iterations, and enhances confidence in the structural integrity and performance of the final prototype.</w:t>
      </w:r>
    </w:p>
    <w:p w:rsidR="008C1E2F" w:rsidRDefault="008C1E2F" w:rsidP="008C1E2F">
      <w:pPr>
        <w:spacing w:line="360" w:lineRule="auto"/>
        <w:rPr>
          <w:rFonts w:cs="Times New Roman"/>
        </w:rPr>
      </w:pPr>
    </w:p>
    <w:p w:rsidR="008C1E2F" w:rsidRDefault="008C1E2F" w:rsidP="008C1E2F">
      <w:pPr>
        <w:spacing w:line="360" w:lineRule="auto"/>
        <w:rPr>
          <w:rFonts w:cs="Times New Roman"/>
          <w:b/>
          <w:rtl/>
        </w:rPr>
      </w:pP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2.5 Research Gap and Summary</w:t>
      </w:r>
    </w:p>
    <w:p w:rsidR="008C1E2F" w:rsidRDefault="008C1E2F" w:rsidP="008C1E2F">
      <w:pPr>
        <w:spacing w:line="360" w:lineRule="auto"/>
        <w:rPr>
          <w:rFonts w:cs="Times New Roman"/>
        </w:rPr>
      </w:pPr>
      <w:r>
        <w:rPr>
          <w:rFonts w:eastAsia="Times New Roman" w:cs="Times New Roman"/>
        </w:rPr>
        <w:lastRenderedPageBreak/>
        <w:t>This chapter has provided a comprehensive review of the scientific literature governing Vertical Form-Fill-Seal (VFFS) systems, powder rheology, auger filler engineering, and the application of multiphysics simulations. The integration of these domains establishes the foundational knowledge required to design a high-precision dosing system for granular materials. This concluding section synthesizes the reviewed literature, identifies critical research gaps, and delineates the specific contributions of the present work.</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2.5.1 Summary of Literature Findings</w:t>
      </w:r>
    </w:p>
    <w:p w:rsidR="008C1E2F" w:rsidRDefault="008C1E2F" w:rsidP="008C1E2F">
      <w:pPr>
        <w:spacing w:line="360" w:lineRule="auto"/>
        <w:rPr>
          <w:rFonts w:cs="Times New Roman"/>
        </w:rPr>
      </w:pPr>
      <w:r>
        <w:rPr>
          <w:rFonts w:eastAsia="Times New Roman" w:cs="Times New Roman"/>
        </w:rPr>
        <w:t>The preceding sections have established a comprehensive technical foundation for the design of a VFFS auger filling system. The review commenced with an analysis of the mechanical kinematics of VFFS machines, emphasizing the synchronization requirements between film transport, forming, filling, and sealing operations [</w:t>
      </w:r>
      <w:r w:rsidRPr="00B52433">
        <w:rPr>
          <w:rFonts w:eastAsia="Times New Roman" w:cs="Times New Roman"/>
        </w:rPr>
        <w:t>57</w:t>
      </w:r>
      <w:r>
        <w:rPr>
          <w:rFonts w:eastAsia="Times New Roman" w:cs="Times New Roman"/>
        </w:rPr>
        <w:t>]. The comparative analysis of dosing methodologies established that while gravimetric systems offer superior absolute accuracy, volumetric auger fillers remain the industry standard for high-speed applications due to their rapid kinematic response, continuous flow capabilities, and mechanical simplicity [</w:t>
      </w:r>
      <w:r w:rsidRPr="00B52433">
        <w:rPr>
          <w:rFonts w:eastAsia="Times New Roman" w:cs="Times New Roman"/>
        </w:rPr>
        <w:t>58</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The examination of powder rheology highlighted the non-Newtonian behavior of granular materials, emphasizing the criticality of the Mohr-Coulomb yield criterion in predicting the flow of Sodium Chloride (NaCl) and the destabilizing effects of density variation on volumetric dosing accuracy [</w:t>
      </w:r>
      <w:r w:rsidRPr="00B52433">
        <w:rPr>
          <w:rFonts w:eastAsia="Times New Roman" w:cs="Times New Roman"/>
        </w:rPr>
        <w:t>59</w:t>
      </w:r>
      <w:r>
        <w:rPr>
          <w:rFonts w:eastAsia="Times New Roman" w:cs="Times New Roman"/>
        </w:rPr>
        <w:t>]. The engineering state-of-the-art section demonstrated that geometry optimization—specifically square-pitch configuration (</w:t>
      </w:r>
      <w:r>
        <w:rPr>
          <w:rFonts w:eastAsia="Times New Roman" w:cs="Times New Roman"/>
          <w:b/>
          <w:bCs/>
        </w:rPr>
        <w:t>P/D = 1.0</w:t>
      </w:r>
      <w:r>
        <w:rPr>
          <w:rFonts w:eastAsia="Times New Roman" w:cs="Times New Roman"/>
        </w:rPr>
        <w:t xml:space="preserve">), flight depth selection, and radial clearance minimization—is vital for volumetric efficiency, while material selection (AISI </w:t>
      </w:r>
      <w:r>
        <w:rPr>
          <w:rFonts w:eastAsia="Times New Roman" w:cs="Times New Roman" w:hint="cs"/>
          <w:rtl/>
        </w:rPr>
        <w:t>304</w:t>
      </w:r>
      <w:r>
        <w:rPr>
          <w:rFonts w:eastAsia="Times New Roman" w:cs="Times New Roman"/>
        </w:rPr>
        <w:t xml:space="preserve"> stainless steel) addresses the corrosive and abrasive challenges of salt processing [</w:t>
      </w:r>
      <w:r w:rsidRPr="00B52433">
        <w:rPr>
          <w:rFonts w:eastAsia="Times New Roman" w:cs="Times New Roman"/>
        </w:rPr>
        <w:t>60</w:t>
      </w:r>
      <w:r>
        <w:rPr>
          <w:rFonts w:eastAsia="Times New Roman" w:cs="Times New Roman"/>
        </w:rPr>
        <w:t>].</w:t>
      </w:r>
    </w:p>
    <w:p w:rsidR="008C1E2F" w:rsidRDefault="008C1E2F" w:rsidP="008C1E2F">
      <w:pPr>
        <w:spacing w:line="360" w:lineRule="auto"/>
        <w:rPr>
          <w:rFonts w:cs="Times New Roman"/>
        </w:rPr>
      </w:pPr>
      <w:r>
        <w:rPr>
          <w:rFonts w:eastAsia="Times New Roman" w:cs="Times New Roman"/>
        </w:rPr>
        <w:t xml:space="preserve">Furthermore, the review of multiphysics simulation frameworks established that modern validation techniques have shifted toward integrated computational approaches, encompassing Finite Element Analysis (FEA) for structural integrity, thermal analysis for expansion effects, and modal analysis for dynamic characterization. These numerical methods provide necessary predictive capabilities </w:t>
      </w:r>
      <w:r>
        <w:rPr>
          <w:rFonts w:eastAsia="Times New Roman" w:cs="Times New Roman"/>
        </w:rPr>
        <w:lastRenderedPageBreak/>
        <w:t>to ensure structural reliability under the dynamic loads and thermal gradients characteristic of high-speed packaging operations [5].</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2.5.2 Identification of Research Gaps</w:t>
      </w:r>
    </w:p>
    <w:p w:rsidR="008C1E2F" w:rsidRDefault="008C1E2F" w:rsidP="008C1E2F">
      <w:pPr>
        <w:spacing w:line="360" w:lineRule="auto"/>
        <w:rPr>
          <w:rFonts w:cs="Times New Roman"/>
        </w:rPr>
      </w:pPr>
      <w:r>
        <w:rPr>
          <w:rFonts w:eastAsia="Times New Roman" w:cs="Times New Roman"/>
        </w:rPr>
        <w:t>Despite the extensive body of knowledge regarding individual mechanical components and isolated physical phenomena, a critical review of the existing literature reveals several pronounced research gaps in the context of integrated mechatronic systems for salt packaging applications:</w:t>
      </w:r>
    </w:p>
    <w:p w:rsidR="008C1E2F" w:rsidRDefault="008C1E2F" w:rsidP="008C1E2F">
      <w:pPr>
        <w:spacing w:line="360" w:lineRule="auto"/>
        <w:rPr>
          <w:rFonts w:cs="Times New Roman"/>
          <w:b/>
        </w:rPr>
      </w:pPr>
      <w:r>
        <w:rPr>
          <w:rFonts w:eastAsia="Times New Roman" w:cs="Times New Roman"/>
          <w:b/>
          <w:bCs/>
        </w:rPr>
        <w:t>Gap 1: Material-Specific Design Disconnect</w:t>
      </w:r>
    </w:p>
    <w:p w:rsidR="008C1E2F" w:rsidRDefault="008C1E2F" w:rsidP="008C1E2F">
      <w:pPr>
        <w:spacing w:line="360" w:lineRule="auto"/>
        <w:rPr>
          <w:rFonts w:cs="Times New Roman"/>
        </w:rPr>
      </w:pPr>
      <w:r>
        <w:rPr>
          <w:rFonts w:eastAsia="Times New Roman" w:cs="Times New Roman"/>
        </w:rPr>
        <w:t>Most existing studies provide general models for "free-flowing powders" but lack specific engineering frameworks for highly hygroscopic and abrasive materials like Sodium Chloride. The transition from theoretical flow equations (Jenike's theory, Mohr-Coulomb criterion) to the actual corrosive resistance, abrasive wear patterns, and mechanical degradation of AISI 316L stainless steel in continuous VFFS operations is under-documented. Specifically, the quantitative relationship between salt's hygroscopic-induced cohesion variations and auger torque requirements remains empirically uncharacterized in the open literature.</w:t>
      </w:r>
    </w:p>
    <w:p w:rsidR="008C1E2F" w:rsidRDefault="008C1E2F" w:rsidP="008C1E2F">
      <w:pPr>
        <w:spacing w:line="360" w:lineRule="auto"/>
        <w:rPr>
          <w:rFonts w:cs="Times New Roman"/>
          <w:b/>
        </w:rPr>
      </w:pPr>
      <w:r>
        <w:rPr>
          <w:rFonts w:eastAsia="Times New Roman" w:cs="Times New Roman"/>
          <w:b/>
          <w:bCs/>
        </w:rPr>
        <w:t>Gap 2: The Mechatronic Disconnect in Volumetric Compensation</w:t>
      </w:r>
    </w:p>
    <w:p w:rsidR="008C1E2F" w:rsidRDefault="008C1E2F" w:rsidP="008C1E2F">
      <w:pPr>
        <w:spacing w:line="360" w:lineRule="auto"/>
        <w:rPr>
          <w:rFonts w:cs="Times New Roman"/>
        </w:rPr>
      </w:pPr>
      <w:r>
        <w:rPr>
          <w:rFonts w:eastAsia="Times New Roman" w:cs="Times New Roman"/>
        </w:rPr>
        <w:t>Traditional literature extensively covers the mechanical geometry of Archimedean screws but often treats the auger as a static, isolated mechanism. A significant gap exists in studies linking real-time bulk density fluctuations of the powder directly to dynamic control algorithms. Most conventional systems rely on manual calibration or post-process check-weighing, lacking an embedded, low-cost adaptive control layer capable of real-time volumetric correction during the high-speed "Filling Window."</w:t>
      </w:r>
    </w:p>
    <w:p w:rsidR="008C1E2F" w:rsidRDefault="008C1E2F" w:rsidP="008C1E2F">
      <w:pPr>
        <w:spacing w:line="360" w:lineRule="auto"/>
        <w:rPr>
          <w:rFonts w:cs="Times New Roman"/>
        </w:rPr>
      </w:pPr>
      <w:r>
        <w:rPr>
          <w:rFonts w:eastAsia="Times New Roman" w:cs="Times New Roman"/>
        </w:rPr>
        <w:t>While research by Kruppa et al. [</w:t>
      </w:r>
      <w:r w:rsidRPr="00B52433">
        <w:rPr>
          <w:rFonts w:eastAsia="Times New Roman" w:cs="Times New Roman"/>
        </w:rPr>
        <w:t>61</w:t>
      </w:r>
      <w:r>
        <w:rPr>
          <w:rFonts w:eastAsia="Times New Roman" w:cs="Times New Roman"/>
        </w:rPr>
        <w:t>] discusses density fluctuations and compensation strategies, there is a significant scarcity of studies that integrate low-cost, high-frequency microcontrollers (such as the ESP32) to perform real-time error correction for "back-flow" and "slip" within the auger channel. Most industrial solutions are either purely mechanical or utilize expensive, closed-source PLC architectures, limiting accessibility for small-to-medium enterprises and academic research.</w:t>
      </w:r>
    </w:p>
    <w:p w:rsidR="008C1E2F" w:rsidRDefault="008C1E2F" w:rsidP="008C1E2F">
      <w:pPr>
        <w:spacing w:line="360" w:lineRule="auto"/>
        <w:rPr>
          <w:rFonts w:cs="Times New Roman"/>
          <w:b/>
        </w:rPr>
      </w:pPr>
      <w:r>
        <w:rPr>
          <w:rFonts w:eastAsia="Times New Roman" w:cs="Times New Roman"/>
          <w:b/>
          <w:bCs/>
        </w:rPr>
        <w:lastRenderedPageBreak/>
        <w:t>Gap 3: Fragmented Simulation Frameworks and Lack of Integrated Validation</w:t>
      </w:r>
    </w:p>
    <w:p w:rsidR="008C1E2F" w:rsidRDefault="008C1E2F" w:rsidP="008C1E2F">
      <w:pPr>
        <w:spacing w:line="360" w:lineRule="auto"/>
        <w:rPr>
          <w:rFonts w:cs="Times New Roman"/>
        </w:rPr>
      </w:pPr>
      <w:r>
        <w:rPr>
          <w:rFonts w:eastAsia="Times New Roman" w:cs="Times New Roman"/>
        </w:rPr>
        <w:t>Many researchers perform either static structural analysis or Discrete Element Modeling (DEM) in isolation. There is a clear research gap in providing a "Multiphysics Validation Cycle" that combines:</w:t>
      </w:r>
    </w:p>
    <w:p w:rsidR="008C1E2F" w:rsidRDefault="008C1E2F" w:rsidP="008C1E2F">
      <w:pPr>
        <w:numPr>
          <w:ilvl w:val="0"/>
          <w:numId w:val="52"/>
        </w:numPr>
        <w:spacing w:line="360" w:lineRule="auto"/>
        <w:rPr>
          <w:rFonts w:cs="Times New Roman"/>
        </w:rPr>
      </w:pPr>
      <w:r>
        <w:rPr>
          <w:rFonts w:eastAsia="Times New Roman" w:cs="Times New Roman"/>
          <w:b/>
          <w:bCs/>
        </w:rPr>
        <w:t>Static structural analysis</w:t>
      </w:r>
      <w:r>
        <w:rPr>
          <w:rFonts w:eastAsia="Times New Roman" w:cs="Times New Roman"/>
        </w:rPr>
        <w:t xml:space="preserve"> (von Mises stress, deformation)</w:t>
      </w:r>
    </w:p>
    <w:p w:rsidR="008C1E2F" w:rsidRDefault="008C1E2F" w:rsidP="008C1E2F">
      <w:pPr>
        <w:numPr>
          <w:ilvl w:val="0"/>
          <w:numId w:val="52"/>
        </w:numPr>
        <w:spacing w:line="360" w:lineRule="auto"/>
        <w:rPr>
          <w:rFonts w:cs="Times New Roman"/>
        </w:rPr>
      </w:pPr>
      <w:r>
        <w:rPr>
          <w:rFonts w:eastAsia="Times New Roman" w:cs="Times New Roman"/>
          <w:b/>
          <w:bCs/>
        </w:rPr>
        <w:t>Thermal analysis</w:t>
      </w:r>
      <w:r>
        <w:rPr>
          <w:rFonts w:eastAsia="Times New Roman" w:cs="Times New Roman"/>
        </w:rPr>
        <w:t xml:space="preserve"> (expansion, heat transfer)</w:t>
      </w:r>
    </w:p>
    <w:p w:rsidR="008C1E2F" w:rsidRDefault="008C1E2F" w:rsidP="008C1E2F">
      <w:pPr>
        <w:numPr>
          <w:ilvl w:val="0"/>
          <w:numId w:val="52"/>
        </w:numPr>
        <w:spacing w:line="360" w:lineRule="auto"/>
        <w:rPr>
          <w:rFonts w:cs="Times New Roman"/>
        </w:rPr>
      </w:pPr>
      <w:r>
        <w:rPr>
          <w:rFonts w:eastAsia="Times New Roman" w:cs="Times New Roman"/>
          <w:b/>
          <w:bCs/>
        </w:rPr>
        <w:t>Modal analysis</w:t>
      </w:r>
      <w:r>
        <w:rPr>
          <w:rFonts w:eastAsia="Times New Roman" w:cs="Times New Roman"/>
        </w:rPr>
        <w:t xml:space="preserve"> (natural frequencies, resonance avoidance)</w:t>
      </w:r>
    </w:p>
    <w:p w:rsidR="008C1E2F" w:rsidRDefault="008C1E2F" w:rsidP="008C1E2F">
      <w:pPr>
        <w:numPr>
          <w:ilvl w:val="0"/>
          <w:numId w:val="52"/>
        </w:numPr>
        <w:spacing w:line="360" w:lineRule="auto"/>
        <w:rPr>
          <w:rFonts w:cs="Times New Roman"/>
        </w:rPr>
      </w:pPr>
      <w:r>
        <w:rPr>
          <w:rFonts w:eastAsia="Times New Roman" w:cs="Times New Roman"/>
          <w:b/>
          <w:bCs/>
        </w:rPr>
        <w:t>DEM</w:t>
      </w:r>
      <w:r>
        <w:rPr>
          <w:rFonts w:eastAsia="Times New Roman" w:cs="Times New Roman"/>
        </w:rPr>
        <w:t xml:space="preserve"> (particle-scale flow behavior)</w:t>
      </w:r>
    </w:p>
    <w:p w:rsidR="008C1E2F" w:rsidRDefault="008C1E2F" w:rsidP="008C1E2F">
      <w:pPr>
        <w:spacing w:line="360" w:lineRule="auto"/>
        <w:rPr>
          <w:rFonts w:cs="Times New Roman"/>
        </w:rPr>
      </w:pPr>
      <w:r>
        <w:rPr>
          <w:rFonts w:eastAsia="Times New Roman" w:cs="Times New Roman"/>
        </w:rPr>
        <w:t>within a unified methodological framework to verify a single mechatronic prototype before fabrication. The correlation between analytical models and numerical simulations—quantified through percentage error analysis and mesh convergence studies—is rarely documented with sufficient rigor to establish predictive confidence.</w:t>
      </w:r>
    </w:p>
    <w:p w:rsidR="008C1E2F" w:rsidRDefault="008C1E2F" w:rsidP="008C1E2F">
      <w:pPr>
        <w:spacing w:line="360" w:lineRule="auto"/>
        <w:rPr>
          <w:rFonts w:cs="Times New Roman"/>
          <w:b/>
        </w:rPr>
      </w:pPr>
      <w:r>
        <w:rPr>
          <w:rFonts w:eastAsia="Times New Roman" w:cs="Times New Roman"/>
          <w:b/>
          <w:bCs/>
        </w:rPr>
        <w:t>Gap 4: Thermo-Mechanical Coupling Neglect</w:t>
      </w:r>
    </w:p>
    <w:p w:rsidR="008C1E2F" w:rsidRDefault="008C1E2F" w:rsidP="008C1E2F">
      <w:pPr>
        <w:spacing w:line="360" w:lineRule="auto"/>
        <w:rPr>
          <w:rFonts w:cs="Times New Roman"/>
        </w:rPr>
      </w:pPr>
      <w:r>
        <w:rPr>
          <w:rFonts w:eastAsia="Times New Roman" w:cs="Times New Roman"/>
        </w:rPr>
        <w:t>The majority of studies address either thermal or structural phenomena independently, neglecting the coupled thermo-mechanical behavior critical for continuous operation. Thermal expansion effects on radial clearances (</w:t>
      </w:r>
      <m:oMath>
        <m:r>
          <m:rPr>
            <m:sty m:val="p"/>
          </m:rPr>
          <w:rPr>
            <w:rFonts w:ascii="Cambria Math" w:eastAsia="Cambria Math" w:hAnsi="Cambria Math" w:cs="Cambria Math"/>
          </w:rPr>
          <m:t>δ</m:t>
        </m:r>
      </m:oMath>
      <w:r>
        <w:rPr>
          <w:rFonts w:eastAsia="Times New Roman" w:cs="Times New Roman"/>
        </w:rPr>
        <w:t xml:space="preserve"> </w:t>
      </w:r>
      <w:r>
        <w:rPr>
          <w:rFonts w:eastAsia="Times New Roman" w:cs="Times New Roman"/>
          <w:b/>
          <w:bCs/>
        </w:rPr>
        <w:t>&lt; 1.5 mm</w:t>
      </w:r>
      <w:r>
        <w:rPr>
          <w:rFonts w:eastAsia="Times New Roman" w:cs="Times New Roman"/>
        </w:rPr>
        <w:t>) and the resulting potential for "thermal binding" or seizure are not adequately integrated into design methodologies for salt-processing equipment.</w:t>
      </w:r>
    </w:p>
    <w:p w:rsidR="008C1E2F" w:rsidRDefault="008C1E2F" w:rsidP="008C1E2F">
      <w:pPr>
        <w:spacing w:line="360" w:lineRule="auto"/>
        <w:rPr>
          <w:rFonts w:cs="Times New Roman"/>
          <w:b/>
        </w:rPr>
      </w:pPr>
      <w:r>
        <w:rPr>
          <w:rFonts w:eastAsia="Times New Roman" w:cs="Times New Roman"/>
          <w:b/>
          <w:bCs/>
        </w:rPr>
        <w:t>Gap 5: Limited Documentation of Servo-Controlled Auger Systems</w:t>
      </w:r>
    </w:p>
    <w:p w:rsidR="008C1E2F" w:rsidRDefault="008C1E2F" w:rsidP="008C1E2F">
      <w:pPr>
        <w:spacing w:line="360" w:lineRule="auto"/>
        <w:rPr>
          <w:rFonts w:cs="Times New Roman"/>
        </w:rPr>
      </w:pPr>
      <w:r>
        <w:rPr>
          <w:rFonts w:eastAsia="Times New Roman" w:cs="Times New Roman"/>
        </w:rPr>
        <w:t>Despite the widespread adoption of servo motor technology in industrial packaging, there is a documented scarcity of peer-reviewed studies specifically addressing:</w:t>
      </w:r>
    </w:p>
    <w:p w:rsidR="008C1E2F" w:rsidRDefault="008C1E2F" w:rsidP="008C1E2F">
      <w:pPr>
        <w:numPr>
          <w:ilvl w:val="0"/>
          <w:numId w:val="53"/>
        </w:numPr>
        <w:spacing w:line="360" w:lineRule="auto"/>
        <w:rPr>
          <w:rFonts w:cs="Times New Roman"/>
        </w:rPr>
      </w:pPr>
      <w:r>
        <w:rPr>
          <w:rFonts w:eastAsia="Times New Roman" w:cs="Times New Roman"/>
        </w:rPr>
        <w:t>The relationship between servo motion control parameters (acceleration profiles, jerk limiting) and dosing accuracy.</w:t>
      </w:r>
    </w:p>
    <w:p w:rsidR="008C1E2F" w:rsidRDefault="008C1E2F" w:rsidP="008C1E2F">
      <w:pPr>
        <w:numPr>
          <w:ilvl w:val="0"/>
          <w:numId w:val="53"/>
        </w:numPr>
        <w:spacing w:line="360" w:lineRule="auto"/>
        <w:rPr>
          <w:rFonts w:cs="Times New Roman"/>
        </w:rPr>
      </w:pPr>
      <w:r>
        <w:rPr>
          <w:rFonts w:eastAsia="Times New Roman" w:cs="Times New Roman"/>
        </w:rPr>
        <w:t>Real-time feedback integration from load cells for hybrid volumetric-gravimetric operation.</w:t>
      </w:r>
    </w:p>
    <w:p w:rsidR="008C1E2F" w:rsidRDefault="008C1E2F" w:rsidP="008C1E2F">
      <w:pPr>
        <w:numPr>
          <w:ilvl w:val="0"/>
          <w:numId w:val="53"/>
        </w:numPr>
        <w:spacing w:line="360" w:lineRule="auto"/>
        <w:rPr>
          <w:rFonts w:cs="Times New Roman"/>
        </w:rPr>
      </w:pPr>
      <w:r>
        <w:rPr>
          <w:rFonts w:eastAsia="Times New Roman" w:cs="Times New Roman"/>
        </w:rPr>
        <w:t>Performance characterization for NaCl specifically, as opposed to generic "free-flowing powders".</w:t>
      </w:r>
    </w:p>
    <w:p w:rsidR="008C1E2F" w:rsidRDefault="008C1E2F" w:rsidP="008C1E2F">
      <w:pPr>
        <w:spacing w:line="360" w:lineRule="auto"/>
        <w:rPr>
          <w:rFonts w:cs="Times New Roman"/>
          <w:b/>
        </w:rPr>
      </w:pPr>
      <w:r>
        <w:rPr>
          <w:rFonts w:eastAsia="Times New Roman" w:cs="Times New Roman"/>
          <w:b/>
          <w:bCs/>
        </w:rPr>
        <w:lastRenderedPageBreak/>
        <w:t>Gap 6: Over-Reliance on Empirical Methods</w:t>
      </w:r>
    </w:p>
    <w:p w:rsidR="008C1E2F" w:rsidRDefault="008C1E2F" w:rsidP="008C1E2F">
      <w:pPr>
        <w:spacing w:line="360" w:lineRule="auto"/>
        <w:rPr>
          <w:rFonts w:cs="Times New Roman"/>
        </w:rPr>
      </w:pPr>
      <w:r>
        <w:rPr>
          <w:rFonts w:eastAsia="Times New Roman" w:cs="Times New Roman"/>
        </w:rPr>
        <w:t>Many previous studies rely either purely on empirical "trial-and-error" prototyping or entirely on theoretical mathematical models without experimental validation. There is a lack of documented methodological frameworks that explicitly compare theoretical mass flow equations with numerical stress/strain simulations to optimize motor sizing and structural safety simultaneously.</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2.5.3 Proposed Contribution of This Study</w:t>
      </w:r>
    </w:p>
    <w:p w:rsidR="008C1E2F" w:rsidRDefault="008C1E2F" w:rsidP="008C1E2F">
      <w:pPr>
        <w:spacing w:line="360" w:lineRule="auto"/>
        <w:rPr>
          <w:rFonts w:cs="Times New Roman"/>
        </w:rPr>
      </w:pPr>
      <w:r>
        <w:rPr>
          <w:rFonts w:eastAsia="Times New Roman" w:cs="Times New Roman"/>
        </w:rPr>
        <w:t>This project addresses the identified gaps through the development of an integrated mechatronic packaging system that synthesizes mechanical engineering, powder technology, and advanced control systems. Unlike previous empirical designs or isolated analytical studies, this work makes the following specific contributions:</w:t>
      </w:r>
    </w:p>
    <w:p w:rsidR="008C1E2F" w:rsidRDefault="008C1E2F" w:rsidP="008C1E2F">
      <w:pPr>
        <w:spacing w:line="360" w:lineRule="auto"/>
        <w:rPr>
          <w:rFonts w:cs="Times New Roman"/>
          <w:b/>
        </w:rPr>
      </w:pPr>
      <w:r>
        <w:rPr>
          <w:rFonts w:eastAsia="Times New Roman" w:cs="Times New Roman"/>
          <w:b/>
          <w:bCs/>
        </w:rPr>
        <w:t>Contribution 1: Synthesis of Powder Physics with Precision Geometry</w:t>
      </w:r>
    </w:p>
    <w:p w:rsidR="008C1E2F" w:rsidRDefault="008C1E2F" w:rsidP="008C1E2F">
      <w:pPr>
        <w:spacing w:line="360" w:lineRule="auto"/>
        <w:rPr>
          <w:rFonts w:cs="Times New Roman"/>
        </w:rPr>
      </w:pPr>
      <w:r>
        <w:rPr>
          <w:rFonts w:eastAsia="Times New Roman" w:cs="Times New Roman"/>
        </w:rPr>
        <w:t xml:space="preserve">This project establishes a direct quantitative linkage between the physical properties of NaCl (bulk density </w:t>
      </w:r>
      <m:oMath>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b</m:t>
            </m:r>
          </m:sub>
        </m:sSub>
        <m:r>
          <m:rPr>
            <m:sty m:val="p"/>
          </m:rPr>
          <w:rPr>
            <w:rFonts w:ascii="Cambria Math" w:eastAsia="Cambria Math" w:hAnsi="Cambria Math" w:cs="Cambria Math"/>
          </w:rPr>
          <m:t xml:space="preserve"> = </m:t>
        </m:r>
        <m:r>
          <m:rPr>
            <m:sty m:val="b"/>
          </m:rPr>
          <w:rPr>
            <w:rFonts w:ascii="Cambria Math" w:eastAsia="Cambria Math" w:hAnsi="Cambria Math" w:cs="Cambria Math"/>
          </w:rPr>
          <m:t>1200-1300 kg/m</m:t>
        </m:r>
      </m:oMath>
      <w:r>
        <w:rPr>
          <w:rFonts w:eastAsia="Times New Roman" w:cs="Times New Roman"/>
          <w:b/>
          <w:bCs/>
        </w:rPr>
        <w:t>³</w:t>
      </w:r>
      <w:r>
        <w:rPr>
          <w:rFonts w:eastAsia="Times New Roman" w:cs="Times New Roman"/>
        </w:rPr>
        <w:t xml:space="preserve">, internal friction angle  </w:t>
      </w:r>
      <m:oMath>
        <m:sSub>
          <m:sSubPr>
            <m:ctrlPr>
              <w:rPr>
                <w:rFonts w:ascii="Cambria Math" w:eastAsia="Cambria Math" w:hAnsi="Cambria Math" w:cs="Cambria Math"/>
              </w:rPr>
            </m:ctrlPr>
          </m:sSubPr>
          <m:e>
            <m:r>
              <m:rPr>
                <m:sty m:val="p"/>
              </m:rPr>
              <w:rPr>
                <w:rFonts w:ascii="Cambria Math" w:eastAsia="Cambria Math" w:hAnsi="Cambria Math" w:cs="Cambria Math"/>
              </w:rPr>
              <m:t>Q</m:t>
            </m:r>
          </m:e>
          <m:sub>
            <m:r>
              <m:rPr>
                <m:sty m:val="p"/>
              </m:rPr>
              <w:rPr>
                <w:rFonts w:ascii="Cambria Math" w:eastAsia="Cambria Math" w:hAnsi="Cambria Math" w:cs="Cambria Math"/>
              </w:rPr>
              <m:t>i</m:t>
            </m:r>
          </m:sub>
        </m:sSub>
        <m:r>
          <m:rPr>
            <m:sty m:val="p"/>
          </m:rPr>
          <w:rPr>
            <w:rFonts w:ascii="Cambria Math" w:eastAsia="Cambria Math" w:hAnsi="Cambria Math" w:cs="Cambria Math"/>
          </w:rPr>
          <m:t xml:space="preserve">= </m:t>
        </m:r>
        <m:r>
          <m:rPr>
            <m:sty m:val="b"/>
          </m:rPr>
          <w:rPr>
            <w:rFonts w:ascii="Cambria Math" w:eastAsia="Cambria Math" w:hAnsi="Cambria Math" w:cs="Cambria Math"/>
          </w:rPr>
          <m:t>25°-35°</m:t>
        </m:r>
        <m:r>
          <m:rPr>
            <m:sty m:val="p"/>
          </m:rPr>
          <w:rPr>
            <w:rFonts w:ascii="Cambria Math" w:eastAsia="Cambria Math" w:hAnsi="Cambria Math" w:cs="Cambria Math"/>
          </w:rPr>
          <m:t>,</m:t>
        </m:r>
      </m:oMath>
      <w:r>
        <w:rPr>
          <w:rFonts w:eastAsia="Times New Roman" w:cs="Times New Roman"/>
        </w:rPr>
        <w:t xml:space="preserve"> hygroscopic cohesion variations) and custom-engineered auger geometry. The square-pitch configuration (</w:t>
      </w:r>
      <w:r>
        <w:rPr>
          <w:rFonts w:eastAsia="Times New Roman" w:cs="Times New Roman"/>
          <w:b/>
          <w:bCs/>
        </w:rPr>
        <w:t>D = P = 60 mm</w:t>
      </w:r>
      <w:r>
        <w:rPr>
          <w:rFonts w:eastAsia="Times New Roman" w:cs="Times New Roman"/>
        </w:rPr>
        <w:t xml:space="preserve">) with </w:t>
      </w:r>
      <w:r>
        <w:rPr>
          <w:rFonts w:eastAsia="Times New Roman" w:cs="Times New Roman"/>
          <w:b/>
          <w:bCs/>
        </w:rPr>
        <w:t>d = 16 mm</w:t>
      </w:r>
      <w:r>
        <w:rPr>
          <w:rFonts w:eastAsia="Times New Roman" w:cs="Times New Roman"/>
        </w:rPr>
        <w:t xml:space="preserve"> shaft diameter is not selected arbitrarily but derived from torsional rigidity requirements, volumetric efficiency optimization, and particle-scale flow dynamics specific to crystalline salt.</w:t>
      </w:r>
    </w:p>
    <w:p w:rsidR="008C1E2F" w:rsidRDefault="008C1E2F" w:rsidP="008C1E2F">
      <w:pPr>
        <w:spacing w:line="360" w:lineRule="auto"/>
        <w:rPr>
          <w:rFonts w:cs="Times New Roman"/>
          <w:b/>
        </w:rPr>
      </w:pPr>
      <w:r>
        <w:rPr>
          <w:rFonts w:eastAsia="Times New Roman" w:cs="Times New Roman"/>
          <w:b/>
          <w:bCs/>
        </w:rPr>
        <w:t>Contribution 2: Implementation of Adaptive Mechatronic Control</w:t>
      </w:r>
    </w:p>
    <w:p w:rsidR="008C1E2F" w:rsidRDefault="008C1E2F" w:rsidP="008C1E2F">
      <w:pPr>
        <w:spacing w:line="360" w:lineRule="auto"/>
        <w:rPr>
          <w:rFonts w:cs="Times New Roman"/>
        </w:rPr>
      </w:pPr>
      <w:r>
        <w:rPr>
          <w:rFonts w:eastAsia="Times New Roman" w:cs="Times New Roman"/>
        </w:rPr>
        <w:t>This project introduces an ESP32-based hybrid control architecture that mathematically accounts for:</w:t>
      </w:r>
    </w:p>
    <w:p w:rsidR="008C1E2F" w:rsidRDefault="008C1E2F" w:rsidP="008C1E2F">
      <w:pPr>
        <w:numPr>
          <w:ilvl w:val="0"/>
          <w:numId w:val="54"/>
        </w:numPr>
        <w:spacing w:line="360" w:lineRule="auto"/>
        <w:rPr>
          <w:rFonts w:cs="Times New Roman"/>
        </w:rPr>
      </w:pPr>
      <w:r>
        <w:rPr>
          <w:rFonts w:eastAsia="Times New Roman" w:cs="Times New Roman"/>
        </w:rPr>
        <w:t>Volumetric slip (</w:t>
      </w:r>
      <m:oMath>
        <m:sSub>
          <m:sSubPr>
            <m:ctrlPr>
              <w:rPr>
                <w:rFonts w:ascii="Cambria Math" w:eastAsia="Cambria Math" w:hAnsi="Cambria Math" w:cs="Cambria Math"/>
              </w:rPr>
            </m:ctrlPr>
          </m:sSubPr>
          <m:e>
            <m:r>
              <m:rPr>
                <m:sty m:val="p"/>
              </m:rPr>
              <w:rPr>
                <w:rFonts w:ascii="Cambria Math" w:eastAsia="Cambria Math" w:hAnsi="Cambria Math" w:cs="Cambria Math"/>
              </w:rPr>
              <m:t>n</m:t>
            </m:r>
          </m:e>
          <m:sub>
            <m:r>
              <m:rPr>
                <m:sty m:val="p"/>
              </m:rPr>
              <w:rPr>
                <w:rFonts w:ascii="Cambria Math" w:eastAsia="Cambria Math" w:hAnsi="Cambria Math" w:cs="Cambria Math"/>
              </w:rPr>
              <m:t>v</m:t>
            </m:r>
          </m:sub>
        </m:sSub>
        <m:r>
          <m:rPr>
            <m:sty m:val="p"/>
          </m:rPr>
          <w:rPr>
            <w:rFonts w:ascii="Cambria Math" w:eastAsia="Cambria Math" w:hAnsi="Cambria Math" w:cs="Cambria Math"/>
          </w:rPr>
          <m:t xml:space="preserve">≈ </m:t>
        </m:r>
        <m:r>
          <m:rPr>
            <m:sty m:val="b"/>
          </m:rPr>
          <w:rPr>
            <w:rFonts w:ascii="Cambria Math" w:eastAsia="Cambria Math" w:hAnsi="Cambria Math" w:cs="Cambria Math"/>
          </w:rPr>
          <m:t>0.65</m:t>
        </m:r>
      </m:oMath>
      <w:r>
        <w:rPr>
          <w:rFonts w:eastAsia="Times New Roman" w:cs="Times New Roman"/>
        </w:rPr>
        <w:t>)</w:t>
      </w:r>
    </w:p>
    <w:p w:rsidR="008C1E2F" w:rsidRDefault="008C1E2F" w:rsidP="008C1E2F">
      <w:pPr>
        <w:numPr>
          <w:ilvl w:val="0"/>
          <w:numId w:val="54"/>
        </w:numPr>
        <w:spacing w:line="360" w:lineRule="auto"/>
        <w:rPr>
          <w:rFonts w:cs="Times New Roman"/>
        </w:rPr>
      </w:pPr>
      <w:r>
        <w:rPr>
          <w:rFonts w:eastAsia="Times New Roman" w:cs="Times New Roman"/>
        </w:rPr>
        <w:t xml:space="preserve">Density variations </w:t>
      </w:r>
      <m:oMath>
        <m:r>
          <m:rPr>
            <m:sty m:val="p"/>
          </m:rPr>
          <w:rPr>
            <w:rFonts w:ascii="Cambria Math" w:eastAsia="Cambria Math" w:hAnsi="Cambria Math" w:cs="Cambria Math"/>
          </w:rPr>
          <m:t xml:space="preserve">( ∆ </m:t>
        </m:r>
        <m:sSub>
          <m:sSubPr>
            <m:ctrlPr>
              <w:rPr>
                <w:rFonts w:ascii="Cambria Math" w:eastAsia="Cambria Math" w:hAnsi="Cambria Math" w:cs="Cambria Math"/>
              </w:rPr>
            </m:ctrlPr>
          </m:sSubPr>
          <m:e>
            <m:r>
              <m:rPr>
                <m:sty m:val="p"/>
              </m:rPr>
              <w:rPr>
                <w:rFonts w:ascii="Cambria Math" w:eastAsia="Cambria Math" w:hAnsi="Cambria Math" w:cs="Cambria Math"/>
              </w:rPr>
              <m:t>ρ</m:t>
            </m:r>
          </m:e>
          <m:sub>
            <m:r>
              <m:rPr>
                <m:sty m:val="p"/>
              </m:rPr>
              <w:rPr>
                <w:rFonts w:ascii="Cambria Math" w:eastAsia="Cambria Math" w:hAnsi="Cambria Math" w:cs="Cambria Math"/>
              </w:rPr>
              <m:t>v</m:t>
            </m:r>
          </m:sub>
        </m:sSub>
        <m:r>
          <m:rPr>
            <m:sty m:val="p"/>
          </m:rPr>
          <w:rPr>
            <w:rFonts w:ascii="Cambria Math" w:eastAsia="Cambria Math" w:hAnsi="Cambria Math" w:cs="Cambria Math"/>
          </w:rPr>
          <m:t xml:space="preserve">= </m:t>
        </m:r>
        <m:r>
          <m:rPr>
            <m:sty m:val="b"/>
          </m:rPr>
          <w:rPr>
            <w:rFonts w:ascii="Cambria Math" w:eastAsia="Cambria Math" w:hAnsi="Cambria Math" w:cs="Cambria Math"/>
          </w:rPr>
          <m:t>±5-10%</m:t>
        </m:r>
        <m:r>
          <m:rPr>
            <m:sty m:val="p"/>
          </m:rPr>
          <w:rPr>
            <w:rFonts w:ascii="Cambria Math" w:eastAsia="Cambria Math" w:hAnsi="Cambria Math" w:cs="Cambria Math"/>
          </w:rPr>
          <m:t>)</m:t>
        </m:r>
      </m:oMath>
    </w:p>
    <w:p w:rsidR="008C1E2F" w:rsidRDefault="008C1E2F" w:rsidP="008C1E2F">
      <w:pPr>
        <w:numPr>
          <w:ilvl w:val="0"/>
          <w:numId w:val="54"/>
        </w:numPr>
        <w:spacing w:line="360" w:lineRule="auto"/>
        <w:rPr>
          <w:rFonts w:cs="Times New Roman"/>
        </w:rPr>
      </w:pPr>
      <w:r>
        <w:rPr>
          <w:rFonts w:eastAsia="Times New Roman" w:cs="Times New Roman"/>
        </w:rPr>
        <w:t>Back-flow through radial clearance</w:t>
      </w:r>
    </w:p>
    <w:p w:rsidR="008C1E2F" w:rsidRDefault="008C1E2F" w:rsidP="008C1E2F">
      <w:pPr>
        <w:spacing w:line="360" w:lineRule="auto"/>
        <w:rPr>
          <w:rFonts w:cs="Times New Roman"/>
        </w:rPr>
      </w:pPr>
      <w:r>
        <w:rPr>
          <w:rFonts w:eastAsia="Times New Roman" w:cs="Times New Roman"/>
        </w:rPr>
        <w:t xml:space="preserve">through real-time algorithmic compensation. The "Bulk and Trim" filling strategy—rapid volumetric dispensing to </w:t>
      </w:r>
      <w:r>
        <w:rPr>
          <w:rFonts w:eastAsia="Times New Roman" w:cs="Times New Roman"/>
          <w:b/>
          <w:bCs/>
        </w:rPr>
        <w:t>90-95%</w:t>
      </w:r>
      <w:r>
        <w:rPr>
          <w:rFonts w:eastAsia="Times New Roman" w:cs="Times New Roman"/>
        </w:rPr>
        <w:t xml:space="preserve"> of target mass followed by slow, load-cell-feedback-controlled completion bridges the historical gap between volumetric speed </w:t>
      </w:r>
      <w:r>
        <w:rPr>
          <w:rFonts w:eastAsia="Times New Roman" w:cs="Times New Roman"/>
        </w:rPr>
        <w:lastRenderedPageBreak/>
        <w:t>and gravimetric accuracy. This low-cost, open-source control approach democratizes access to precision dosing technology.</w:t>
      </w:r>
    </w:p>
    <w:p w:rsidR="008C1E2F" w:rsidRDefault="008C1E2F" w:rsidP="008C1E2F">
      <w:pPr>
        <w:spacing w:line="360" w:lineRule="auto"/>
        <w:rPr>
          <w:rFonts w:cs="Times New Roman"/>
          <w:b/>
        </w:rPr>
      </w:pPr>
      <w:r>
        <w:rPr>
          <w:rFonts w:eastAsia="Times New Roman" w:cs="Times New Roman"/>
          <w:b/>
          <w:bCs/>
        </w:rPr>
        <w:t>Contribution 3: Rigorous Multiphysics Validation (The V-Model Approach)</w:t>
      </w:r>
    </w:p>
    <w:p w:rsidR="008C1E2F" w:rsidRDefault="008C1E2F" w:rsidP="008C1E2F">
      <w:pPr>
        <w:spacing w:line="360" w:lineRule="auto"/>
        <w:rPr>
          <w:rFonts w:cs="Times New Roman"/>
        </w:rPr>
      </w:pPr>
      <w:r>
        <w:rPr>
          <w:rFonts w:eastAsia="Times New Roman" w:cs="Times New Roman"/>
        </w:rPr>
        <w:t>In contrast to literature that relies on over-engineered safety factors or isolated simulations, this project employs a comprehensive, correlated validation methodology:</w:t>
      </w:r>
    </w:p>
    <w:p w:rsidR="008C1E2F" w:rsidRDefault="008C1E2F" w:rsidP="008C1E2F">
      <w:pPr>
        <w:numPr>
          <w:ilvl w:val="0"/>
          <w:numId w:val="55"/>
        </w:numPr>
        <w:spacing w:line="360" w:lineRule="auto"/>
        <w:rPr>
          <w:rFonts w:cs="Times New Roman"/>
        </w:rPr>
      </w:pPr>
      <w:r>
        <w:rPr>
          <w:rFonts w:eastAsia="Times New Roman" w:cs="Times New Roman"/>
          <w:b/>
          <w:bCs/>
        </w:rPr>
        <w:t>Analytical models</w:t>
      </w:r>
      <w:r>
        <w:rPr>
          <w:rFonts w:eastAsia="Times New Roman" w:cs="Times New Roman"/>
        </w:rPr>
        <w:t xml:space="preserve"> provide theoretical baselines for torque, stress, and flow rate.</w:t>
      </w:r>
    </w:p>
    <w:p w:rsidR="008C1E2F" w:rsidRDefault="008C1E2F" w:rsidP="008C1E2F">
      <w:pPr>
        <w:numPr>
          <w:ilvl w:val="0"/>
          <w:numId w:val="55"/>
        </w:numPr>
        <w:spacing w:line="360" w:lineRule="auto"/>
        <w:rPr>
          <w:rFonts w:cs="Times New Roman"/>
        </w:rPr>
      </w:pPr>
      <w:r>
        <w:rPr>
          <w:rFonts w:eastAsia="Times New Roman" w:cs="Times New Roman"/>
          <w:b/>
          <w:bCs/>
        </w:rPr>
        <w:t>FEA simulations</w:t>
      </w:r>
      <w:r>
        <w:rPr>
          <w:rFonts w:eastAsia="Times New Roman" w:cs="Times New Roman"/>
        </w:rPr>
        <w:t xml:space="preserve"> (ANSYS/SolidWorks) evaluate von Mises stress distribution, thermal expansion, and modal frequencies.</w:t>
      </w:r>
    </w:p>
    <w:p w:rsidR="008C1E2F" w:rsidRDefault="008C1E2F" w:rsidP="008C1E2F">
      <w:pPr>
        <w:numPr>
          <w:ilvl w:val="0"/>
          <w:numId w:val="55"/>
        </w:numPr>
        <w:spacing w:line="360" w:lineRule="auto"/>
        <w:rPr>
          <w:rFonts w:cs="Times New Roman"/>
        </w:rPr>
      </w:pPr>
      <w:r>
        <w:rPr>
          <w:rFonts w:eastAsia="Times New Roman" w:cs="Times New Roman"/>
          <w:b/>
          <w:bCs/>
        </w:rPr>
        <w:t>DEM simulations</w:t>
      </w:r>
      <w:r>
        <w:rPr>
          <w:rFonts w:eastAsia="Times New Roman" w:cs="Times New Roman"/>
        </w:rPr>
        <w:t xml:space="preserve"> characterize particle-scale flow behavior, slip mechanisms, and back-flow phenomena.</w:t>
      </w:r>
    </w:p>
    <w:p w:rsidR="008C1E2F" w:rsidRDefault="008C1E2F" w:rsidP="008C1E2F">
      <w:pPr>
        <w:numPr>
          <w:ilvl w:val="0"/>
          <w:numId w:val="55"/>
        </w:numPr>
        <w:spacing w:line="360" w:lineRule="auto"/>
        <w:rPr>
          <w:rFonts w:cs="Times New Roman"/>
        </w:rPr>
      </w:pPr>
      <w:r>
        <w:rPr>
          <w:rFonts w:eastAsia="Times New Roman" w:cs="Times New Roman"/>
          <w:b/>
          <w:bCs/>
        </w:rPr>
        <w:t>Correlation analysis</w:t>
      </w:r>
      <w:r>
        <w:rPr>
          <w:rFonts w:eastAsia="Times New Roman" w:cs="Times New Roman"/>
        </w:rPr>
        <w:t xml:space="preserve"> quantifies the percentage error between analytical predictions and numerical results, establishing predictive confidence.</w:t>
      </w:r>
    </w:p>
    <w:p w:rsidR="008C1E2F" w:rsidRDefault="008C1E2F" w:rsidP="008C1E2F">
      <w:pPr>
        <w:spacing w:line="360" w:lineRule="auto"/>
        <w:rPr>
          <w:rFonts w:cs="Times New Roman"/>
        </w:rPr>
      </w:pPr>
      <w:r>
        <w:rPr>
          <w:rFonts w:eastAsia="Times New Roman" w:cs="Times New Roman"/>
        </w:rPr>
        <w:t>This dual-verification approach ensures a Factor of Safety optimized for both reliability (</w:t>
      </w:r>
      <m:oMath>
        <m:r>
          <m:rPr>
            <m:sty m:val="b"/>
          </m:rPr>
          <w:rPr>
            <w:rFonts w:ascii="Cambria Math" w:eastAsia="Cambria Math" w:hAnsi="Cambria Math" w:cs="Cambria Math"/>
          </w:rPr>
          <m:t>FoS &gt; 1.5</m:t>
        </m:r>
      </m:oMath>
      <w:r>
        <w:rPr>
          <w:rFonts w:eastAsia="Times New Roman" w:cs="Times New Roman"/>
        </w:rPr>
        <w:t>) and manufacturing efficiency, effectively creating a "Digital Twin" of the physical system.</w:t>
      </w:r>
    </w:p>
    <w:p w:rsidR="008C1E2F" w:rsidRDefault="008C1E2F" w:rsidP="008C1E2F">
      <w:pPr>
        <w:spacing w:line="360" w:lineRule="auto"/>
        <w:rPr>
          <w:rFonts w:cs="Times New Roman"/>
          <w:b/>
        </w:rPr>
      </w:pPr>
      <w:r>
        <w:rPr>
          <w:rFonts w:eastAsia="Times New Roman" w:cs="Times New Roman"/>
          <w:b/>
          <w:bCs/>
        </w:rPr>
        <w:t>Contribution 4: Integrated System Architecture</w:t>
      </w:r>
    </w:p>
    <w:p w:rsidR="008C1E2F" w:rsidRDefault="008C1E2F" w:rsidP="008C1E2F">
      <w:pPr>
        <w:spacing w:line="360" w:lineRule="auto"/>
        <w:rPr>
          <w:rFonts w:cs="Times New Roman"/>
        </w:rPr>
      </w:pPr>
      <w:r>
        <w:rPr>
          <w:rFonts w:eastAsia="Times New Roman" w:cs="Times New Roman"/>
        </w:rPr>
        <w:t>This project moves beyond component-level analysis to demonstrate the mechatronic integration of:</w:t>
      </w:r>
    </w:p>
    <w:p w:rsidR="008C1E2F" w:rsidRDefault="008C1E2F" w:rsidP="008C1E2F">
      <w:pPr>
        <w:numPr>
          <w:ilvl w:val="0"/>
          <w:numId w:val="56"/>
        </w:numPr>
        <w:spacing w:line="360" w:lineRule="auto"/>
        <w:rPr>
          <w:rFonts w:cs="Times New Roman"/>
        </w:rPr>
      </w:pPr>
      <w:r>
        <w:rPr>
          <w:rFonts w:eastAsia="Times New Roman" w:cs="Times New Roman"/>
        </w:rPr>
        <w:t>Mechanical subsystem (auger, hopper, spinner plate, VFFS forming collar).</w:t>
      </w:r>
    </w:p>
    <w:p w:rsidR="008C1E2F" w:rsidRDefault="008C1E2F" w:rsidP="008C1E2F">
      <w:pPr>
        <w:numPr>
          <w:ilvl w:val="0"/>
          <w:numId w:val="56"/>
        </w:numPr>
        <w:spacing w:line="360" w:lineRule="auto"/>
        <w:rPr>
          <w:rFonts w:cs="Times New Roman"/>
        </w:rPr>
      </w:pPr>
      <w:r>
        <w:rPr>
          <w:rFonts w:eastAsia="Times New Roman" w:cs="Times New Roman"/>
        </w:rPr>
        <w:t>Control subsystem (ESP32 microcontroller, servo driver, load cell interface).</w:t>
      </w:r>
    </w:p>
    <w:p w:rsidR="008C1E2F" w:rsidRDefault="008C1E2F" w:rsidP="008C1E2F">
      <w:pPr>
        <w:numPr>
          <w:ilvl w:val="0"/>
          <w:numId w:val="56"/>
        </w:numPr>
        <w:spacing w:line="360" w:lineRule="auto"/>
        <w:rPr>
          <w:rFonts w:cs="Times New Roman"/>
        </w:rPr>
      </w:pPr>
      <w:r>
        <w:rPr>
          <w:rFonts w:eastAsia="Times New Roman" w:cs="Times New Roman"/>
        </w:rPr>
        <w:t>Simulation subsystem (FEA, thermal, modal, DEM).</w:t>
      </w:r>
    </w:p>
    <w:p w:rsidR="008C1E2F" w:rsidRDefault="008C1E2F" w:rsidP="008C1E2F">
      <w:pPr>
        <w:spacing w:line="360" w:lineRule="auto"/>
        <w:rPr>
          <w:rFonts w:cs="Times New Roman"/>
        </w:rPr>
      </w:pPr>
      <w:r>
        <w:rPr>
          <w:rFonts w:eastAsia="Times New Roman" w:cs="Times New Roman"/>
        </w:rPr>
        <w:t>within a unified framework validated through multiphysics simulation.</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2.5.4 Comparative Positioning</w:t>
      </w:r>
    </w:p>
    <w:p w:rsidR="008C1E2F" w:rsidRDefault="008C1E2F" w:rsidP="008C1E2F">
      <w:pPr>
        <w:spacing w:line="360" w:lineRule="auto"/>
        <w:rPr>
          <w:rFonts w:cs="Times New Roman"/>
        </w:rPr>
      </w:pPr>
      <w:r>
        <w:rPr>
          <w:rFonts w:eastAsia="Times New Roman" w:cs="Times New Roman"/>
          <w:b/>
          <w:bCs/>
        </w:rPr>
        <w:lastRenderedPageBreak/>
        <w:t>Table 2.3: Comparative Analysis of Present Work Against Literature</w:t>
      </w:r>
    </w:p>
    <w:tbl>
      <w:tblPr>
        <w:tblW w:w="0" w:type="auto"/>
        <w:tblCellSpacing w:w="15" w:type="dxa"/>
        <w:tblCellMar>
          <w:left w:w="0" w:type="dxa"/>
          <w:right w:w="0" w:type="dxa"/>
        </w:tblCellMar>
        <w:tblLook w:val="04A0" w:firstRow="1" w:lastRow="0" w:firstColumn="1" w:lastColumn="0" w:noHBand="0" w:noVBand="1"/>
      </w:tblPr>
      <w:tblGrid>
        <w:gridCol w:w="2046"/>
        <w:gridCol w:w="3052"/>
        <w:gridCol w:w="3192"/>
      </w:tblGrid>
      <w:tr w:rsidR="008C1E2F" w:rsidTr="00F561AD">
        <w:trPr>
          <w:tblHeade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Aspect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Previous Studies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b/>
                <w:bCs/>
              </w:rPr>
              <w:t>Present Work</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Flow Modeling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Analytical OR DEM in isolation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Integrated Analytical + DEM with correlation validation</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Auger Design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Generic geometry, material-agnostic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NaCl-specific geometry linked to powder rheology</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Control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Mechanical-only OR expensive PLCs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Low-cost ESP32 with real-time adaptive compensation</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Analysis Methodology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Single-domain (structural OR thermal OR modal)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Full multiphysics (structural-thermal-modal coupled)</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Validation Approach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rPr>
              <w:t>Experimental trial-and-error OR simulation-only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rPr>
              <w:t>Correlated analytical-numerical-experimental validation</w:t>
            </w:r>
          </w:p>
        </w:tc>
      </w:tr>
      <w:tr w:rsidR="008C1E2F" w:rsidTr="00F561AD">
        <w:trPr>
          <w:tblCellSpacing w:w="15" w:type="dxa"/>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Accuracy Achievement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rsidR="008C1E2F" w:rsidRDefault="008C1E2F" w:rsidP="00F561AD">
            <w:pPr>
              <w:spacing w:line="360" w:lineRule="auto"/>
              <w:jc w:val="center"/>
              <w:rPr>
                <w:rFonts w:cs="Times New Roman"/>
              </w:rPr>
            </w:pPr>
            <w:r>
              <w:rPr>
                <w:rFonts w:eastAsia="Times New Roman" w:cs="Times New Roman"/>
                <w:b/>
                <w:bCs/>
              </w:rPr>
              <w:t>±2-5%</w:t>
            </w:r>
            <w:r>
              <w:rPr>
                <w:rFonts w:eastAsia="Times New Roman" w:cs="Times New Roman"/>
              </w:rPr>
              <w:t xml:space="preserve"> (volumetric) OR slow gravimetric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rsidR="008C1E2F" w:rsidRDefault="008C1E2F" w:rsidP="00F561AD">
            <w:pPr>
              <w:spacing w:line="360" w:lineRule="auto"/>
              <w:jc w:val="center"/>
              <w:rPr>
                <w:rFonts w:cs="Times New Roman"/>
              </w:rPr>
            </w:pPr>
            <w:r>
              <w:rPr>
                <w:rFonts w:eastAsia="Times New Roman" w:cs="Times New Roman"/>
                <w:b/>
                <w:bCs/>
              </w:rPr>
              <w:t>±1.5%</w:t>
            </w:r>
            <w:r>
              <w:rPr>
                <w:rFonts w:eastAsia="Times New Roman" w:cs="Times New Roman"/>
              </w:rPr>
              <w:t xml:space="preserve"> at </w:t>
            </w:r>
            <w:r>
              <w:rPr>
                <w:rFonts w:eastAsia="Times New Roman" w:cs="Times New Roman"/>
                <w:b/>
                <w:bCs/>
              </w:rPr>
              <w:t>30-35</w:t>
            </w:r>
            <w:r>
              <w:rPr>
                <w:rFonts w:eastAsia="Times New Roman" w:cs="Times New Roman"/>
              </w:rPr>
              <w:t xml:space="preserve"> bags/minute (hybrid approach)</w:t>
            </w:r>
          </w:p>
        </w:tc>
      </w:tr>
    </w:tbl>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2.5.5 Rationale for Upcoming Chapters</w:t>
      </w:r>
    </w:p>
    <w:p w:rsidR="008C1E2F" w:rsidRDefault="008C1E2F" w:rsidP="008C1E2F">
      <w:pPr>
        <w:spacing w:line="360" w:lineRule="auto"/>
        <w:rPr>
          <w:rFonts w:cs="Times New Roman"/>
        </w:rPr>
      </w:pPr>
      <w:r>
        <w:rPr>
          <w:rFonts w:eastAsia="Times New Roman" w:cs="Times New Roman"/>
        </w:rPr>
        <w:t xml:space="preserve">The synthesis of mechanical geometry optimization, material science, powder rheology, and advanced mechatronic control logic presented in this review provides robust justification for the proposed design. The identified research gaps—specifically </w:t>
      </w:r>
      <w:r>
        <w:rPr>
          <w:rFonts w:eastAsia="Times New Roman" w:cs="Times New Roman"/>
        </w:rPr>
        <w:lastRenderedPageBreak/>
        <w:t>the lack of material-specific design frameworks, integrated mechatronic compensation, and rigorous multiphysics validation—directly inform the structure of subsequent chapters:</w:t>
      </w:r>
    </w:p>
    <w:p w:rsidR="008C1E2F" w:rsidRDefault="008C1E2F" w:rsidP="008C1E2F">
      <w:pPr>
        <w:numPr>
          <w:ilvl w:val="0"/>
          <w:numId w:val="57"/>
        </w:numPr>
        <w:spacing w:line="360" w:lineRule="auto"/>
        <w:rPr>
          <w:rFonts w:cs="Times New Roman"/>
        </w:rPr>
      </w:pPr>
      <w:r>
        <w:rPr>
          <w:rFonts w:eastAsia="Times New Roman" w:cs="Times New Roman"/>
          <w:b/>
          <w:bCs/>
        </w:rPr>
        <w:t>Chapter 3 (System Design and Specifications)</w:t>
      </w:r>
      <w:r>
        <w:rPr>
          <w:rFonts w:eastAsia="Times New Roman" w:cs="Times New Roman"/>
        </w:rPr>
        <w:t xml:space="preserve"> translates the design constraints identified herein into detailed engineering specifications, CAD models, and component selection rationale.</w:t>
      </w:r>
    </w:p>
    <w:p w:rsidR="008C1E2F" w:rsidRDefault="008C1E2F" w:rsidP="008C1E2F">
      <w:pPr>
        <w:numPr>
          <w:ilvl w:val="0"/>
          <w:numId w:val="57"/>
        </w:numPr>
        <w:spacing w:line="360" w:lineRule="auto"/>
        <w:rPr>
          <w:rFonts w:cs="Times New Roman"/>
        </w:rPr>
      </w:pPr>
      <w:r>
        <w:rPr>
          <w:rFonts w:eastAsia="Times New Roman" w:cs="Times New Roman"/>
          <w:b/>
          <w:bCs/>
        </w:rPr>
        <w:t>Chapter 4 (Analytical Modeling)</w:t>
      </w:r>
      <w:r>
        <w:rPr>
          <w:rFonts w:eastAsia="Times New Roman" w:cs="Times New Roman"/>
        </w:rPr>
        <w:t xml:space="preserve"> develops the mathematical foundations for torque calculation, volumetric flow prediction, and control algorithm design.</w:t>
      </w:r>
    </w:p>
    <w:p w:rsidR="008C1E2F" w:rsidRDefault="008C1E2F" w:rsidP="008C1E2F">
      <w:pPr>
        <w:numPr>
          <w:ilvl w:val="0"/>
          <w:numId w:val="57"/>
        </w:numPr>
        <w:spacing w:line="360" w:lineRule="auto"/>
        <w:rPr>
          <w:rFonts w:cs="Times New Roman"/>
        </w:rPr>
      </w:pPr>
      <w:r>
        <w:rPr>
          <w:rFonts w:eastAsia="Times New Roman" w:cs="Times New Roman"/>
          <w:b/>
          <w:bCs/>
        </w:rPr>
        <w:t>Chapter 5 (Multiphysics Validation)</w:t>
      </w:r>
      <w:r>
        <w:rPr>
          <w:rFonts w:eastAsia="Times New Roman" w:cs="Times New Roman"/>
        </w:rPr>
        <w:t xml:space="preserve"> subjects the proposed design to comprehensive FEA, thermal, modal, and DEM simulations, establishing correlation with analytical models and verifying structural integrity.</w:t>
      </w:r>
    </w:p>
    <w:p w:rsidR="008C1E2F" w:rsidRDefault="008C1E2F" w:rsidP="008C1E2F">
      <w:pPr>
        <w:numPr>
          <w:ilvl w:val="0"/>
          <w:numId w:val="57"/>
        </w:numPr>
        <w:spacing w:line="360" w:lineRule="auto"/>
        <w:rPr>
          <w:rFonts w:cs="Times New Roman"/>
        </w:rPr>
      </w:pPr>
      <w:r>
        <w:rPr>
          <w:rFonts w:eastAsia="Times New Roman" w:cs="Times New Roman"/>
          <w:b/>
          <w:bCs/>
        </w:rPr>
        <w:t>Chapter 6 (Mechatronic Implementation)</w:t>
      </w:r>
      <w:r>
        <w:rPr>
          <w:rFonts w:eastAsia="Times New Roman" w:cs="Times New Roman"/>
        </w:rPr>
        <w:t xml:space="preserve"> details the ESP32 control architecture, sensor integration, and real-time compensation algorithms.</w:t>
      </w:r>
    </w:p>
    <w:p w:rsidR="008C1E2F" w:rsidRDefault="008C1E2F" w:rsidP="008C1E2F">
      <w:pPr>
        <w:numPr>
          <w:ilvl w:val="0"/>
          <w:numId w:val="57"/>
        </w:numPr>
        <w:spacing w:line="360" w:lineRule="auto"/>
        <w:rPr>
          <w:rFonts w:cs="Times New Roman"/>
        </w:rPr>
      </w:pPr>
      <w:r>
        <w:rPr>
          <w:rFonts w:eastAsia="Times New Roman" w:cs="Times New Roman"/>
          <w:b/>
          <w:bCs/>
        </w:rPr>
        <w:t>Chapter 7 (Results and Discussion)</w:t>
      </w:r>
      <w:r>
        <w:rPr>
          <w:rFonts w:eastAsia="Times New Roman" w:cs="Times New Roman"/>
        </w:rPr>
        <w:t xml:space="preserve"> presents experimental validation and performance characterization.</w:t>
      </w:r>
    </w:p>
    <w:p w:rsidR="008C1E2F" w:rsidRDefault="008C1E2F" w:rsidP="008C1E2F">
      <w:pPr>
        <w:spacing w:line="360" w:lineRule="auto"/>
        <w:rPr>
          <w:rFonts w:cs="Times New Roman"/>
        </w:rPr>
      </w:pPr>
    </w:p>
    <w:p w:rsidR="008C1E2F" w:rsidRDefault="008C1E2F" w:rsidP="008C1E2F">
      <w:pPr>
        <w:spacing w:line="360" w:lineRule="auto"/>
        <w:rPr>
          <w:rFonts w:cs="Times New Roman"/>
          <w:b/>
        </w:rPr>
      </w:pPr>
      <w:r>
        <w:rPr>
          <w:rFonts w:eastAsia="Times New Roman" w:cs="Times New Roman"/>
          <w:b/>
          <w:bCs/>
        </w:rPr>
        <w:t>2.5.6 Concluding Remarks</w:t>
      </w:r>
    </w:p>
    <w:p w:rsidR="008C1E2F" w:rsidRDefault="008C1E2F" w:rsidP="008C1E2F">
      <w:pPr>
        <w:spacing w:line="360" w:lineRule="auto"/>
        <w:rPr>
          <w:rFonts w:cs="Times New Roman"/>
        </w:rPr>
      </w:pPr>
      <w:r>
        <w:rPr>
          <w:rFonts w:eastAsia="Times New Roman" w:cs="Times New Roman"/>
        </w:rPr>
        <w:t>The literature confirms the necessity of a more integrated, scientifically grounded approach to VFFS design—one that transcends empirical trial-and-error and isolated component optimization. By addressing the identified gaps through quantitative linkage of powder physics to mechanical design, implementation of adaptive low-cost control, and rigorous multiphysics validation, this project contributes to the advancement of precision packaging technology while maintaining accessibility for industrial adoption.</w:t>
      </w:r>
    </w:p>
    <w:p w:rsidR="008C1E2F" w:rsidRDefault="008C1E2F" w:rsidP="008C1E2F">
      <w:pPr>
        <w:spacing w:line="360" w:lineRule="auto"/>
        <w:rPr>
          <w:rFonts w:cs="Times New Roman"/>
        </w:rPr>
      </w:pPr>
      <w:r>
        <w:rPr>
          <w:rFonts w:eastAsia="Times New Roman" w:cs="Times New Roman"/>
          <w:noProof/>
        </w:rPr>
        <mc:AlternateContent>
          <mc:Choice Requires="wps">
            <w:drawing>
              <wp:inline distT="0" distB="0" distL="0" distR="0" wp14:anchorId="40563764" wp14:editId="4697CD32">
                <wp:extent cx="0" cy="19050"/>
                <wp:effectExtent l="0" t="0" r="0" b="0"/>
                <wp:docPr id="5" name="_x0000_i1293"/>
                <wp:cNvGraphicFramePr/>
                <a:graphic xmlns:a="http://schemas.openxmlformats.org/drawingml/2006/main">
                  <a:graphicData uri="http://schemas.microsoft.com/office/word/2010/wordprocessingShape">
                    <wps:wsp>
                      <wps:cNvSpPr/>
                      <wps:spPr bwMode="auto">
                        <a:xfrm>
                          <a:off x="0" y="0"/>
                          <a:ext cx="0" cy="19049"/>
                        </a:xfrm>
                        <a:prstGeom prst="rect">
                          <a:avLst/>
                        </a:prstGeom>
                        <a:solidFill>
                          <a:srgbClr val="808080"/>
                        </a:solidFill>
                        <a:ln>
                          <a:noFill/>
                        </a:ln>
                      </wps:spPr>
                      <wps:bodyPr rot="0">
                        <a:prstTxWarp prst="textNoShape">
                          <a:avLst/>
                        </a:prstTxWarp>
                        <a:noAutofit/>
                      </wps:bodyPr>
                    </wps:wsp>
                  </a:graphicData>
                </a:graphic>
              </wp:inline>
            </w:drawing>
          </mc:Choice>
          <mc:Fallback>
            <w:pict>
              <v:rect w14:anchorId="349F7430" id="_x0000_i1293" o:spid="_x0000_s1026" style="width:0;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" fillcolor="gray" stroked="f">
                <w10:wrap anchorx="page"/>
                <w10:anchorlock/>
              </v:rect>
            </w:pict>
          </mc:Fallback>
        </mc:AlternateContent>
      </w:r>
    </w:p>
    <w:p w:rsidR="008C1E2F" w:rsidRDefault="008C1E2F" w:rsidP="008C1E2F">
      <w:pPr>
        <w:spacing w:line="360" w:lineRule="auto"/>
        <w:rPr>
          <w:rFonts w:cs="Times New Roman"/>
          <w:b/>
        </w:rPr>
      </w:pPr>
      <w:r>
        <w:rPr>
          <w:rFonts w:eastAsia="Times New Roman" w:cs="Times New Roman"/>
          <w:b/>
          <w:bCs/>
        </w:rPr>
        <w:t>References</w:t>
      </w:r>
    </w:p>
    <w:p w:rsidR="008C1E2F" w:rsidRDefault="008C1E2F" w:rsidP="008C1E2F">
      <w:pPr>
        <w:spacing w:line="360" w:lineRule="auto"/>
        <w:rPr>
          <w:rFonts w:cs="Times New Roman"/>
          <w:b/>
        </w:rPr>
      </w:pPr>
    </w:p>
    <w:p w:rsidR="008C1E2F" w:rsidRDefault="008C1E2F" w:rsidP="008C1E2F">
      <w:pPr>
        <w:spacing w:line="360" w:lineRule="auto"/>
        <w:rPr>
          <w:rFonts w:cs="Times New Roman"/>
        </w:rPr>
      </w:pPr>
      <w:r>
        <w:rPr>
          <w:rFonts w:eastAsia="Times New Roman" w:cs="Times New Roman"/>
        </w:rPr>
        <w:lastRenderedPageBreak/>
        <w:t>[1] Schulze, D. (2008). Powders and Bulk Solids: Behavior, Characterization, Storage and Flow. Springer Science &amp; Business Media.</w:t>
      </w:r>
    </w:p>
    <w:p w:rsidR="008C1E2F" w:rsidRDefault="008C1E2F" w:rsidP="008C1E2F">
      <w:pPr>
        <w:spacing w:line="360" w:lineRule="auto"/>
        <w:rPr>
          <w:rFonts w:cs="Times New Roman"/>
        </w:rPr>
      </w:pPr>
      <w:r>
        <w:rPr>
          <w:rFonts w:eastAsia="Times New Roman" w:cs="Times New Roman"/>
        </w:rPr>
        <w:t>[2] Yam, K. L. (2009). The Wiley Encyclopedia of Packaging Technology (3rd ed.). John Wiley &amp; Sons.</w:t>
      </w:r>
    </w:p>
    <w:p w:rsidR="008C1E2F" w:rsidRDefault="008C1E2F" w:rsidP="008C1E2F">
      <w:pPr>
        <w:spacing w:line="360" w:lineRule="auto"/>
        <w:rPr>
          <w:rFonts w:cs="Times New Roman"/>
        </w:rPr>
      </w:pPr>
      <w:r>
        <w:rPr>
          <w:rFonts w:eastAsia="Times New Roman" w:cs="Times New Roman"/>
        </w:rPr>
        <w:t>[3] Baines, R. W., &amp; Fisher, R. (1998). "Analysis of the vertical form-fill-seal packaging machine dynamics". Journal of Packaging Technology and Science, 11(5), 211-224.</w:t>
      </w:r>
    </w:p>
    <w:p w:rsidR="008C1E2F" w:rsidRDefault="008C1E2F" w:rsidP="008C1E2F">
      <w:pPr>
        <w:spacing w:line="360" w:lineRule="auto"/>
        <w:rPr>
          <w:rFonts w:cs="Times New Roman"/>
        </w:rPr>
      </w:pPr>
      <w:r>
        <w:rPr>
          <w:rFonts w:eastAsia="Times New Roman" w:cs="Times New Roman"/>
        </w:rPr>
        <w:t>[4] Baines, R. W., &amp; Fisher, R. (1998). Ibid.</w:t>
      </w:r>
    </w:p>
    <w:p w:rsidR="008C1E2F" w:rsidRDefault="008C1E2F" w:rsidP="008C1E2F">
      <w:pPr>
        <w:spacing w:line="360" w:lineRule="auto"/>
        <w:rPr>
          <w:rFonts w:cs="Times New Roman"/>
        </w:rPr>
      </w:pPr>
      <w:r>
        <w:rPr>
          <w:rFonts w:eastAsia="Times New Roman" w:cs="Times New Roman"/>
        </w:rPr>
        <w:t>[5] Mistry, V., &amp; Singh, R. (2015). "Heat transfer optimization in vertical form fill seal machine jaws". International Journal of Mechanical and Production Engineering, 3(2), 45-51.</w:t>
      </w:r>
    </w:p>
    <w:p w:rsidR="008C1E2F" w:rsidRDefault="008C1E2F" w:rsidP="008C1E2F">
      <w:pPr>
        <w:spacing w:line="360" w:lineRule="auto"/>
        <w:rPr>
          <w:rFonts w:cs="Times New Roman"/>
        </w:rPr>
      </w:pPr>
      <w:r>
        <w:rPr>
          <w:rFonts w:eastAsia="Times New Roman" w:cs="Times New Roman"/>
        </w:rPr>
        <w:t>[6] Keil, M., &amp; Dröder, K. (2018). "Mechatronic synchronization in high-speed intermittent packaging machines". IEEE Transactions on Industrial Automation, 24(4), 112-120.</w:t>
      </w:r>
    </w:p>
    <w:p w:rsidR="008C1E2F" w:rsidRDefault="008C1E2F" w:rsidP="008C1E2F">
      <w:pPr>
        <w:spacing w:line="360" w:lineRule="auto"/>
        <w:rPr>
          <w:rFonts w:cs="Times New Roman"/>
        </w:rPr>
      </w:pPr>
      <w:r>
        <w:rPr>
          <w:rFonts w:eastAsia="Times New Roman" w:cs="Times New Roman"/>
        </w:rPr>
        <w:t>[7] Kruppa, F., Weiss, U., &amp; Wilke, B. (2022). "Increasing the dosing accuracy of a screw dosing device by inline measurement of the product density". Packaging Technology and Science, 35(1), 11-22.</w:t>
      </w:r>
    </w:p>
    <w:p w:rsidR="008C1E2F" w:rsidRDefault="008C1E2F" w:rsidP="008C1E2F">
      <w:pPr>
        <w:spacing w:line="360" w:lineRule="auto"/>
        <w:rPr>
          <w:rFonts w:cs="Times New Roman"/>
        </w:rPr>
      </w:pPr>
      <w:r>
        <w:rPr>
          <w:rFonts w:eastAsia="Times New Roman" w:cs="Times New Roman"/>
        </w:rPr>
        <w:t>[8] Hohmann, H. J. (1988). "Filling characteristics and dosing accuracy of volumetric dosing devices in vertical form fill seal machines". Packaging Technology and Science, 1(3), 123-135.</w:t>
      </w:r>
    </w:p>
    <w:p w:rsidR="008C1E2F" w:rsidRDefault="008C1E2F" w:rsidP="008C1E2F">
      <w:pPr>
        <w:spacing w:line="360" w:lineRule="auto"/>
        <w:rPr>
          <w:rFonts w:cs="Times New Roman"/>
        </w:rPr>
      </w:pPr>
      <w:r>
        <w:rPr>
          <w:rFonts w:eastAsia="Times New Roman" w:cs="Times New Roman"/>
        </w:rPr>
        <w:t>[9] Lipták, B. G. (2003). Instrument Engineers' Handbook: Process Measurement and Analysis (4th ed.). CRC Press.</w:t>
      </w:r>
    </w:p>
    <w:p w:rsidR="008C1E2F" w:rsidRDefault="008C1E2F" w:rsidP="008C1E2F">
      <w:pPr>
        <w:spacing w:line="360" w:lineRule="auto"/>
        <w:rPr>
          <w:rFonts w:cs="Times New Roman"/>
        </w:rPr>
      </w:pPr>
      <w:r>
        <w:rPr>
          <w:rFonts w:eastAsia="Times New Roman" w:cs="Times New Roman"/>
        </w:rPr>
        <w:t>[10] El Kassem, B. (2021). Machine Design for Auger Dosing of Powders by utilizing DEM Simulations. Ph.D. dissertation, RWTH Aachen University.</w:t>
      </w:r>
    </w:p>
    <w:p w:rsidR="008C1E2F" w:rsidRDefault="008C1E2F" w:rsidP="008C1E2F">
      <w:pPr>
        <w:spacing w:line="360" w:lineRule="auto"/>
        <w:rPr>
          <w:rFonts w:cs="Times New Roman"/>
        </w:rPr>
      </w:pPr>
      <w:r>
        <w:rPr>
          <w:rFonts w:eastAsia="Times New Roman" w:cs="Times New Roman"/>
        </w:rPr>
        <w:t>[11] Kruppa et al. (2022). Op. cit.</w:t>
      </w:r>
    </w:p>
    <w:p w:rsidR="008C1E2F" w:rsidRDefault="008C1E2F" w:rsidP="008C1E2F">
      <w:pPr>
        <w:spacing w:line="360" w:lineRule="auto"/>
        <w:rPr>
          <w:rFonts w:cs="Times New Roman"/>
        </w:rPr>
      </w:pPr>
      <w:r>
        <w:rPr>
          <w:rFonts w:eastAsia="Times New Roman" w:cs="Times New Roman"/>
        </w:rPr>
        <w:t>[12] El Kassem, B. (2021). Op. cit.</w:t>
      </w:r>
    </w:p>
    <w:p w:rsidR="008C1E2F" w:rsidRDefault="008C1E2F" w:rsidP="008C1E2F">
      <w:pPr>
        <w:spacing w:line="360" w:lineRule="auto"/>
        <w:rPr>
          <w:rFonts w:cs="Times New Roman"/>
        </w:rPr>
      </w:pPr>
      <w:r>
        <w:rPr>
          <w:rFonts w:eastAsia="Times New Roman" w:cs="Times New Roman"/>
        </w:rPr>
        <w:lastRenderedPageBreak/>
        <w:t>[13] Roberts, A. W. (1999). "The influence of granular vortex motion on the volumetric performance of enclosed screw conveyors". Powder Technology, 104(1), 56-67.</w:t>
      </w:r>
    </w:p>
    <w:p w:rsidR="008C1E2F" w:rsidRDefault="008C1E2F" w:rsidP="008C1E2F">
      <w:pPr>
        <w:spacing w:line="360" w:lineRule="auto"/>
        <w:rPr>
          <w:rFonts w:cs="Times New Roman"/>
        </w:rPr>
      </w:pPr>
      <w:r>
        <w:rPr>
          <w:rFonts w:eastAsia="Times New Roman" w:cs="Times New Roman"/>
        </w:rPr>
        <w:t>[14] Panasonic Industry. (2022). MINAS A6 Series AC Servo Motor Technical Reference. Panasonic Industry Europe GmbH.</w:t>
      </w:r>
    </w:p>
    <w:p w:rsidR="008C1E2F" w:rsidRDefault="008C1E2F" w:rsidP="008C1E2F">
      <w:pPr>
        <w:spacing w:line="360" w:lineRule="auto"/>
        <w:rPr>
          <w:rFonts w:cs="Times New Roman"/>
        </w:rPr>
      </w:pPr>
      <w:r>
        <w:rPr>
          <w:rFonts w:eastAsia="Times New Roman" w:cs="Times New Roman"/>
        </w:rPr>
        <w:t>[15] El Kassem, B. (2021). Op. cit.</w:t>
      </w:r>
    </w:p>
    <w:p w:rsidR="008C1E2F" w:rsidRDefault="008C1E2F" w:rsidP="008C1E2F">
      <w:pPr>
        <w:spacing w:line="360" w:lineRule="auto"/>
        <w:rPr>
          <w:rFonts w:cs="Times New Roman"/>
        </w:rPr>
      </w:pPr>
      <w:r>
        <w:rPr>
          <w:rFonts w:eastAsia="Times New Roman" w:cs="Times New Roman"/>
        </w:rPr>
        <w:t>[16] El Kassem, B. (2021). Op. cit.</w:t>
      </w:r>
    </w:p>
    <w:p w:rsidR="008C1E2F" w:rsidRDefault="008C1E2F" w:rsidP="008C1E2F">
      <w:pPr>
        <w:spacing w:line="360" w:lineRule="auto"/>
        <w:rPr>
          <w:rFonts w:cs="Times New Roman"/>
        </w:rPr>
      </w:pPr>
      <w:r>
        <w:rPr>
          <w:rFonts w:eastAsia="Times New Roman" w:cs="Times New Roman"/>
        </w:rPr>
        <w:t>[17] Kruppa et al. (2022). Op. cit.</w:t>
      </w:r>
    </w:p>
    <w:p w:rsidR="008C1E2F" w:rsidRDefault="008C1E2F" w:rsidP="008C1E2F">
      <w:pPr>
        <w:spacing w:line="360" w:lineRule="auto"/>
        <w:rPr>
          <w:rFonts w:cs="Times New Roman"/>
        </w:rPr>
      </w:pPr>
      <w:r>
        <w:rPr>
          <w:rFonts w:eastAsia="Times New Roman" w:cs="Times New Roman"/>
        </w:rPr>
        <w:t>[18] Hohmann, H. J. (1988). Op. cit.</w:t>
      </w:r>
    </w:p>
    <w:p w:rsidR="008C1E2F" w:rsidRDefault="008C1E2F" w:rsidP="008C1E2F">
      <w:pPr>
        <w:spacing w:line="360" w:lineRule="auto"/>
        <w:rPr>
          <w:rFonts w:cs="Times New Roman"/>
        </w:rPr>
      </w:pPr>
      <w:r>
        <w:rPr>
          <w:rFonts w:eastAsia="Times New Roman" w:cs="Times New Roman"/>
        </w:rPr>
        <w:t>[1</w:t>
      </w:r>
      <w:r w:rsidRPr="00B52433">
        <w:rPr>
          <w:rFonts w:eastAsia="Times New Roman" w:cs="Times New Roman"/>
        </w:rPr>
        <w:t>9</w:t>
      </w:r>
      <w:r>
        <w:rPr>
          <w:rFonts w:eastAsia="Times New Roman" w:cs="Times New Roman"/>
        </w:rPr>
        <w:t>] Schulze, D. (2008). Powders and Bulk Solids: Behavior, Characterization, Storage and Flow. Springer Science &amp; Business Media.</w:t>
      </w:r>
    </w:p>
    <w:p w:rsidR="008C1E2F" w:rsidRDefault="008C1E2F" w:rsidP="008C1E2F">
      <w:pPr>
        <w:spacing w:line="360" w:lineRule="auto"/>
        <w:rPr>
          <w:rFonts w:cs="Times New Roman"/>
        </w:rPr>
      </w:pPr>
      <w:r>
        <w:rPr>
          <w:rFonts w:eastAsia="Times New Roman" w:cs="Times New Roman"/>
        </w:rPr>
        <w:t>[2</w:t>
      </w:r>
      <w:r w:rsidRPr="00B52433">
        <w:rPr>
          <w:rFonts w:eastAsia="Times New Roman" w:cs="Times New Roman"/>
        </w:rPr>
        <w:t>0</w:t>
      </w:r>
      <w:r>
        <w:rPr>
          <w:rFonts w:eastAsia="Times New Roman" w:cs="Times New Roman"/>
        </w:rPr>
        <w:t>] Nedderman, R. M. (1992). Statics and Kinematics of Granular Materials. Cambridge University Press.</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21</w:t>
      </w:r>
      <w:r>
        <w:rPr>
          <w:rFonts w:eastAsia="Times New Roman" w:cs="Times New Roman"/>
        </w:rPr>
        <w:t>] El Kassem, B. (2021). Machine Design for Auger Dosing of Powders by utilizing DEM Simulations. Ph.D. dissertation, RWTH Aachen University.</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22</w:t>
      </w:r>
      <w:r>
        <w:rPr>
          <w:rFonts w:eastAsia="Times New Roman" w:cs="Times New Roman"/>
        </w:rPr>
        <w:t>] Carr, R. L. (1965). "Evaluating flow properties of solids". Chemical Engineering, 72(2), 163-168.</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23</w:t>
      </w:r>
      <w:r>
        <w:rPr>
          <w:rFonts w:eastAsia="Times New Roman" w:cs="Times New Roman"/>
        </w:rPr>
        <w:t>] Hohmann, H. J. (1988). "Filling characteristics and dosing accuracy of volumetric dosing devices". Packaging Technology and Science, 1(3), 123-135.</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24</w:t>
      </w:r>
      <w:r>
        <w:rPr>
          <w:rFonts w:eastAsia="Times New Roman" w:cs="Times New Roman"/>
        </w:rPr>
        <w:t>] Mohr, O. (1900). "Welche Umstände bedingen die Elastizitätsgrenze und den Bruch eines Materials?". Zeitschrift des Vereins Deutscher Ingenieure, 44, 1524-1530.</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25</w:t>
      </w:r>
      <w:r>
        <w:rPr>
          <w:rFonts w:eastAsia="Times New Roman" w:cs="Times New Roman"/>
        </w:rPr>
        <w:t>] Jenike, A. W. (1964). Storage and Flow of Solids. Bulletin No. 123, University of Utah Engineering Experiment Station.</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26</w:t>
      </w:r>
      <w:r>
        <w:rPr>
          <w:rFonts w:eastAsia="Times New Roman" w:cs="Times New Roman"/>
        </w:rPr>
        <w:t>] Smiechowska, M., Ruszkowska, M., &amp; Wawrzyniak, J. (2021). "Selected quality characteristics of sea salt important during transport and storage". Acta Scientiarum Polonorum Technologia Alimentaria, 20(3), 323-332.</w:t>
      </w:r>
    </w:p>
    <w:p w:rsidR="008C1E2F" w:rsidRDefault="008C1E2F" w:rsidP="008C1E2F">
      <w:pPr>
        <w:spacing w:line="360" w:lineRule="auto"/>
        <w:rPr>
          <w:rFonts w:cs="Times New Roman"/>
        </w:rPr>
      </w:pPr>
      <w:r>
        <w:rPr>
          <w:rFonts w:eastAsia="Times New Roman" w:cs="Times New Roman"/>
        </w:rPr>
        <w:lastRenderedPageBreak/>
        <w:t>[</w:t>
      </w:r>
      <w:r w:rsidRPr="00B52433">
        <w:rPr>
          <w:rFonts w:eastAsia="Times New Roman" w:cs="Times New Roman"/>
        </w:rPr>
        <w:t>27</w:t>
      </w:r>
      <w:r>
        <w:rPr>
          <w:rFonts w:eastAsia="Times New Roman" w:cs="Times New Roman"/>
        </w:rPr>
        <w:t>] Schwedes, J. (2003). "Review on testers for measuring flow properties of bulk solids". Granular Matter, 5, 1-43.</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28</w:t>
      </w:r>
      <w:r>
        <w:rPr>
          <w:rFonts w:eastAsia="Times New Roman" w:cs="Times New Roman"/>
        </w:rPr>
        <w:t>] Jenike, A. W. (1964). Op. cit.</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29</w:t>
      </w:r>
      <w:r>
        <w:rPr>
          <w:rFonts w:eastAsia="Times New Roman" w:cs="Times New Roman"/>
        </w:rPr>
        <w:t>] Woodcock, C. R., &amp; Mason, J. S. (1987). Bulk Solids Handling: An Introduction to the Practice and Technology. Blackie Academic &amp; Professional.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30</w:t>
      </w:r>
      <w:r>
        <w:rPr>
          <w:rFonts w:eastAsia="Times New Roman" w:cs="Times New Roman"/>
        </w:rPr>
        <w:t>] Roberts, A. W. (1999). "The influence of granular vortex motion on the volumetric performance of enclosed screw conveyors". Powder Technology, 104(1), 56-67.</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31</w:t>
      </w:r>
      <w:r>
        <w:rPr>
          <w:rFonts w:eastAsia="Times New Roman" w:cs="Times New Roman"/>
        </w:rPr>
        <w:t>] Janssen, H. A. (1895). "Versuche über Getreidedruck in Silozellen". Zeitschrift des Vereins Deutscher Ingenieure, 39(35), 1045-1049.</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32</w:t>
      </w:r>
      <w:r>
        <w:rPr>
          <w:rFonts w:eastAsia="Times New Roman" w:cs="Times New Roman"/>
        </w:rPr>
        <w:t>] Tatterson, G. B. (1991). Fluid Mixing and Gas Dispersion in Agitated Tanks. McGraw-Hill.</w:t>
      </w:r>
    </w:p>
    <w:p w:rsidR="008C1E2F" w:rsidRDefault="008C1E2F" w:rsidP="008C1E2F">
      <w:pPr>
        <w:spacing w:line="360" w:lineRule="auto"/>
        <w:rPr>
          <w:rFonts w:cs="Times New Roman"/>
        </w:rPr>
      </w:pPr>
      <w:r>
        <w:rPr>
          <w:rFonts w:eastAsia="Times New Roman" w:cs="Times New Roman"/>
        </w:rPr>
        <w:t>[</w:t>
      </w:r>
      <w:r>
        <w:rPr>
          <w:rFonts w:eastAsia="Times New Roman" w:cs="Times New Roman"/>
          <w:lang w:val="ar-SA"/>
        </w:rPr>
        <w:t>33</w:t>
      </w:r>
      <w:r>
        <w:rPr>
          <w:rFonts w:eastAsia="Times New Roman" w:cs="Times New Roman"/>
        </w:rPr>
        <w:t>] ASTM A240/A240M. (2023). Standard Specification for Chromium and Chromium-Nickel Stainless Steel Plate, Sheet, and Strip for Pressure Vessels and for General Applications. ASTM International.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34</w:t>
      </w:r>
      <w:r>
        <w:rPr>
          <w:rFonts w:eastAsia="Times New Roman" w:cs="Times New Roman"/>
        </w:rPr>
        <w:t>] Cleary, P. W., &amp; Sawley, M. L. (2002). "DEM modelling of industrial granular flows: 3D case studies and the effect of particle shape on hopper discharge". Applied Mathematical Modelling, 26(2), 89-111.</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35</w:t>
      </w:r>
      <w:r>
        <w:rPr>
          <w:rFonts w:eastAsia="Times New Roman" w:cs="Times New Roman"/>
        </w:rPr>
        <w:t>] Roberts, A. W. (1999). Op. cit.</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35</w:t>
      </w:r>
      <w:r>
        <w:rPr>
          <w:rFonts w:eastAsia="Times New Roman" w:cs="Times New Roman"/>
        </w:rPr>
        <w:t>] Kruppa, F., Weiss, U., &amp; Wilke, B. (2022). "Increasing the dosing accuracy of a screw dosing device by inline measurement of the product density". Packaging Technology and Science, 35(1), 11-22.</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36</w:t>
      </w:r>
      <w:r>
        <w:rPr>
          <w:rFonts w:eastAsia="Times New Roman" w:cs="Times New Roman"/>
        </w:rPr>
        <w:t>] Bates, L. (2000). User Guide to Segregation. British Materials Handling Board.</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37</w:t>
      </w:r>
      <w:r>
        <w:rPr>
          <w:rFonts w:eastAsia="Times New Roman" w:cs="Times New Roman"/>
        </w:rPr>
        <w:t>] Conveyor Equipment Manufacturers Association (CEMA). (2017). CEMA Book No. 350: Screw Conveyors. CEMA.</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38</w:t>
      </w:r>
      <w:r>
        <w:rPr>
          <w:rFonts w:eastAsia="Times New Roman" w:cs="Times New Roman"/>
        </w:rPr>
        <w:t>] El Kassem, B. (2021). Op. cit.</w:t>
      </w:r>
    </w:p>
    <w:p w:rsidR="008C1E2F" w:rsidRDefault="008C1E2F" w:rsidP="008C1E2F">
      <w:pPr>
        <w:spacing w:line="360" w:lineRule="auto"/>
        <w:rPr>
          <w:rFonts w:cs="Times New Roman"/>
        </w:rPr>
      </w:pPr>
      <w:r>
        <w:rPr>
          <w:rFonts w:eastAsia="Times New Roman" w:cs="Times New Roman"/>
        </w:rPr>
        <w:lastRenderedPageBreak/>
        <w:t>[</w:t>
      </w:r>
      <w:r w:rsidRPr="00B52433">
        <w:rPr>
          <w:rFonts w:eastAsia="Times New Roman" w:cs="Times New Roman"/>
        </w:rPr>
        <w:t>39</w:t>
      </w:r>
      <w:r>
        <w:rPr>
          <w:rFonts w:eastAsia="Times New Roman" w:cs="Times New Roman"/>
        </w:rPr>
        <w:t>] Lipták, B. G. (2003). Instrument Engineers' Handbook: Process Measurement and Analysis (4th ed.). CRC Press.</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40</w:t>
      </w:r>
      <w:r>
        <w:rPr>
          <w:rFonts w:eastAsia="Times New Roman" w:cs="Times New Roman"/>
        </w:rPr>
        <w:t>] Conveyor Equipment Manufacturers Association (CEMA). (2017). CEMA Book No. 350: Screw Conveyors. CEMA, Naples, FL.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41</w:t>
      </w:r>
      <w:r>
        <w:rPr>
          <w:rFonts w:eastAsia="Times New Roman" w:cs="Times New Roman"/>
        </w:rPr>
        <w:t>] Bates, L. (2008). "Screw conveyors". In Bulk Solids Handling: Equipment Selection and Operations, pp. 209-232. Wiley-Blackwell.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42</w:t>
      </w:r>
      <w:r>
        <w:rPr>
          <w:rFonts w:eastAsia="Times New Roman" w:cs="Times New Roman"/>
        </w:rPr>
        <w:t>] Roberts, A. W. (2001). "Recent developments in screw conveying". Bulk Solids Handling, 21(3), 287-294.</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43</w:t>
      </w:r>
      <w:r>
        <w:rPr>
          <w:rFonts w:eastAsia="Times New Roman" w:cs="Times New Roman"/>
        </w:rPr>
        <w:t>] ISC Manufacturing. (2023). Screw Conveyor Design Guidelines. ISC Manufacturing LLC.</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44</w:t>
      </w:r>
      <w:r>
        <w:rPr>
          <w:rFonts w:eastAsia="Times New Roman" w:cs="Times New Roman"/>
        </w:rPr>
        <w:t>] Roberts, A. W. (1999). "The influence of granular vortex motion on the volumetric performance of enclosed screw conveyors". Powder Technology, 104(1), 56-67.</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45</w:t>
      </w:r>
      <w:r>
        <w:rPr>
          <w:rFonts w:eastAsia="Times New Roman" w:cs="Times New Roman"/>
        </w:rPr>
        <w:t>] Fayed, M. E., &amp; Otten, L. (1997). Handbook of Powder Science &amp; Technology (2nd ed.). Chapman &amp; Hall.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46</w:t>
      </w:r>
      <w:r>
        <w:rPr>
          <w:rFonts w:eastAsia="Times New Roman" w:cs="Times New Roman"/>
        </w:rPr>
        <w:t xml:space="preserve">] Levapack. (2024). "Comprehensive Guide to Powder Filling Machine". </w:t>
      </w:r>
      <w:hyperlink r:id="rId9" w:tooltip="https://www.levapack.com/powder-filling-machine-guide/" w:history="1">
        <w:r>
          <w:rPr>
            <w:rStyle w:val="Hyperlink"/>
            <w:rFonts w:eastAsia="Times New Roman" w:cs="Times New Roman"/>
          </w:rPr>
          <w:t>https://www.levapack.com/powder-filling-machine-guide/</w:t>
        </w:r>
      </w:hyperlink>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47</w:t>
      </w:r>
      <w:r>
        <w:rPr>
          <w:rFonts w:eastAsia="Times New Roman" w:cs="Times New Roman"/>
        </w:rPr>
        <w:t>] McGuire, M. F. (2008). Stainless Steels for Design Engineers. ASM International.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48</w:t>
      </w:r>
      <w:r>
        <w:rPr>
          <w:rFonts w:eastAsia="Times New Roman" w:cs="Times New Roman"/>
        </w:rPr>
        <w:t>] Outokumpu. (2023). Handbook of Stainless Steel. Outokumpu Oyj.</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49</w:t>
      </w:r>
      <w:r>
        <w:rPr>
          <w:rFonts w:eastAsia="Times New Roman" w:cs="Times New Roman"/>
        </w:rPr>
        <w:t>] ASME BPE. (2019). Bioprocessing Equipment. American Society of Mechanical Engineers.</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50</w:t>
      </w:r>
      <w:r>
        <w:rPr>
          <w:rFonts w:eastAsia="Times New Roman" w:cs="Times New Roman"/>
        </w:rPr>
        <w:t>] ASM International. (2003). ASM Handbook, Volume 13B: Corrosion: Materials. ASM International.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51</w:t>
      </w:r>
      <w:r>
        <w:rPr>
          <w:rFonts w:eastAsia="Times New Roman" w:cs="Times New Roman"/>
        </w:rPr>
        <w:t>] Euro Inox. (2006). Stainless Steel: Tables of Technical Properties. Euro Inox.</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52</w:t>
      </w:r>
      <w:r>
        <w:rPr>
          <w:rFonts w:eastAsia="Times New Roman" w:cs="Times New Roman"/>
        </w:rPr>
        <w:t>] European Hygienic Engineering &amp; Design Group (EHEDG). (2018). Hygienic Design Principles. EHEDG Document 8.</w:t>
      </w:r>
    </w:p>
    <w:p w:rsidR="008C1E2F" w:rsidRDefault="008C1E2F" w:rsidP="008C1E2F">
      <w:pPr>
        <w:spacing w:line="360" w:lineRule="auto"/>
        <w:rPr>
          <w:rFonts w:cs="Times New Roman"/>
        </w:rPr>
      </w:pPr>
      <w:r>
        <w:rPr>
          <w:rFonts w:eastAsia="Times New Roman" w:cs="Times New Roman"/>
        </w:rPr>
        <w:lastRenderedPageBreak/>
        <w:t>[</w:t>
      </w:r>
      <w:r w:rsidRPr="00B52433">
        <w:rPr>
          <w:rFonts w:eastAsia="Times New Roman" w:cs="Times New Roman"/>
        </w:rPr>
        <w:t>53</w:t>
      </w:r>
      <w:r>
        <w:rPr>
          <w:rFonts w:eastAsia="Times New Roman" w:cs="Times New Roman"/>
        </w:rPr>
        <w:t>] El Kassem, B. (2021). Machine Design for Auger Dosing of Powders by utilizing DEM Simulations. Ph.D. dissertation, RWTH Aachen University.</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54</w:t>
      </w:r>
      <w:r>
        <w:rPr>
          <w:rFonts w:eastAsia="Times New Roman" w:cs="Times New Roman"/>
        </w:rPr>
        <w:t>] Boriack, C. (2011). "Adaptive modeling for weight control in vertical auger filling applications". ASABE Annual International Meeting, Paper No. 1111578.</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55</w:t>
      </w:r>
      <w:r>
        <w:rPr>
          <w:rFonts w:eastAsia="Times New Roman" w:cs="Times New Roman"/>
        </w:rPr>
        <w:t>] Woodcock, C. R., &amp; Mason, J. S. (1987). Bulk Solids Handling: An Introduction to the Practice and Technology. Leonard Hill.</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56</w:t>
      </w:r>
      <w:r>
        <w:rPr>
          <w:rFonts w:eastAsia="Times New Roman" w:cs="Times New Roman"/>
        </w:rPr>
        <w:t>] Rhodes, M. (2008). Introduction to Particle Technology (2nd ed.). John Wiley &amp; Sons.</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57</w:t>
      </w:r>
      <w:r>
        <w:rPr>
          <w:rFonts w:eastAsia="Times New Roman" w:cs="Times New Roman"/>
        </w:rPr>
        <w:t>] Schulze, D. (2008). Powders and Bulk Solids: Behavior, Characterization, Storage and Flow. Springer Science &amp; Business Media.</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58</w:t>
      </w:r>
      <w:r>
        <w:rPr>
          <w:rFonts w:eastAsia="Times New Roman" w:cs="Times New Roman"/>
        </w:rPr>
        <w:t>] Budynas, R. G., &amp; Nisbett, J. K. (2020). Shigley's Mechanical Engineering Design (11th ed.). McGraw-Hill Education.</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59</w:t>
      </w:r>
      <w:r>
        <w:rPr>
          <w:rFonts w:eastAsia="Times New Roman" w:cs="Times New Roman"/>
        </w:rPr>
        <w:t>] El Kassem, B. (2021). Machine Design for Auger Dosing of Powders by utilizing DEM Simulations. Ph.D. dissertation, RWTH Aachen University.</w:t>
      </w:r>
    </w:p>
    <w:p w:rsidR="008C1E2F" w:rsidRDefault="008C1E2F" w:rsidP="008C1E2F">
      <w:pPr>
        <w:spacing w:line="360" w:lineRule="auto"/>
        <w:rPr>
          <w:rFonts w:cs="Times New Roman"/>
          <w:rtl/>
        </w:rPr>
      </w:pPr>
      <w:r>
        <w:rPr>
          <w:rFonts w:eastAsia="Times New Roman" w:cs="Times New Roman"/>
        </w:rPr>
        <w:t>[</w:t>
      </w:r>
      <w:r w:rsidRPr="00B52433">
        <w:rPr>
          <w:rFonts w:eastAsia="Times New Roman" w:cs="Times New Roman"/>
        </w:rPr>
        <w:t>60</w:t>
      </w:r>
      <w:r>
        <w:rPr>
          <w:rFonts w:eastAsia="Times New Roman" w:cs="Times New Roman"/>
        </w:rPr>
        <w:t>] Zienkiewicz, O. C., Taylor, R. L., &amp; Zhu, J. Z. (2013). The Finite Element Method: Its Basis and Fundamentals (7th ed.). Butterworth-Heinemann.</w:t>
      </w:r>
    </w:p>
    <w:p w:rsidR="008C1E2F" w:rsidRDefault="008C1E2F" w:rsidP="008C1E2F">
      <w:pPr>
        <w:spacing w:line="360" w:lineRule="auto"/>
        <w:rPr>
          <w:rFonts w:cs="Times New Roman"/>
        </w:rPr>
      </w:pPr>
      <w:r>
        <w:rPr>
          <w:rFonts w:eastAsia="Times New Roman" w:cs="Times New Roman"/>
        </w:rPr>
        <w:t>[</w:t>
      </w:r>
      <w:r w:rsidRPr="00B52433">
        <w:rPr>
          <w:rFonts w:eastAsia="Times New Roman" w:cs="Times New Roman"/>
        </w:rPr>
        <w:t>61</w:t>
      </w:r>
      <w:r>
        <w:rPr>
          <w:rFonts w:eastAsia="Times New Roman" w:cs="Times New Roman"/>
        </w:rPr>
        <w:t>] Shigley, J. E., &amp; Mischke, C. R. (2001). Mechanical Engineering Design (6th ed.). McGraw-Hill.</w:t>
      </w:r>
    </w:p>
    <w:p w:rsidR="00A2453C" w:rsidRDefault="00A2453C">
      <w:pPr>
        <w:rPr>
          <w:rFonts w:hint="cs"/>
          <w:lang w:bidi="ar-YE"/>
        </w:rPr>
      </w:pPr>
    </w:p>
    <w:sectPr w:rsidR="00A2453C" w:rsidSect="00CA68F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2070409020205020404"/>
    <w:charset w:val="00"/>
    <w:family w:val="auto"/>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multilevel"/>
    <w:tmpl w:val="4BD6BB7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CE841BF2"/>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A838E492"/>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E4FACC60"/>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BF221046"/>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F2C06152"/>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9710A87C"/>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7452D802"/>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13B2F006"/>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18C090B"/>
    <w:multiLevelType w:val="multilevel"/>
    <w:tmpl w:val="08EA7542"/>
    <w:lvl w:ilvl="0">
      <w:start w:val="1"/>
      <w:numFmt w:val="lowerRoman"/>
      <w:lvlText w:val="%1."/>
      <w:lvlJc w:val="right"/>
      <w:pPr>
        <w:ind w:left="1200" w:hanging="360"/>
      </w:pPr>
    </w:lvl>
    <w:lvl w:ilvl="1">
      <w:numFmt w:val="bullet"/>
      <w:lvlText w:val="-"/>
      <w:lvlJc w:val="left"/>
      <w:pPr>
        <w:ind w:left="1920" w:hanging="360"/>
      </w:pPr>
      <w:rPr>
        <w:rFonts w:ascii="Times New Roman" w:eastAsiaTheme="minorEastAsia" w:hAnsi="Times New Roman" w:cs="Times New Roman" w:hint="default"/>
      </w:r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10" w15:restartNumberingAfterBreak="0">
    <w:nsid w:val="048C13E3"/>
    <w:multiLevelType w:val="multilevel"/>
    <w:tmpl w:val="FAE6E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A499F"/>
    <w:multiLevelType w:val="multilevel"/>
    <w:tmpl w:val="9952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6771F"/>
    <w:multiLevelType w:val="multilevel"/>
    <w:tmpl w:val="A8E04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02CD1"/>
    <w:multiLevelType w:val="multilevel"/>
    <w:tmpl w:val="A476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A4E0F"/>
    <w:multiLevelType w:val="multilevel"/>
    <w:tmpl w:val="7E90CF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5C14FF1"/>
    <w:multiLevelType w:val="multilevel"/>
    <w:tmpl w:val="4F225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5449F"/>
    <w:multiLevelType w:val="multilevel"/>
    <w:tmpl w:val="3740D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B07785"/>
    <w:multiLevelType w:val="multilevel"/>
    <w:tmpl w:val="BB2E7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BC590B"/>
    <w:multiLevelType w:val="multilevel"/>
    <w:tmpl w:val="9216E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7B5BEA"/>
    <w:multiLevelType w:val="multilevel"/>
    <w:tmpl w:val="C01CA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AF2CDC"/>
    <w:multiLevelType w:val="multilevel"/>
    <w:tmpl w:val="06E4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C4DCC"/>
    <w:multiLevelType w:val="multilevel"/>
    <w:tmpl w:val="54A4A1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35B1382"/>
    <w:multiLevelType w:val="multilevel"/>
    <w:tmpl w:val="A2622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70822"/>
    <w:multiLevelType w:val="multilevel"/>
    <w:tmpl w:val="E9D42E30"/>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643232E"/>
    <w:multiLevelType w:val="multilevel"/>
    <w:tmpl w:val="E726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2086B"/>
    <w:multiLevelType w:val="multilevel"/>
    <w:tmpl w:val="1016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50514"/>
    <w:multiLevelType w:val="multilevel"/>
    <w:tmpl w:val="82BE28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9F437FE"/>
    <w:multiLevelType w:val="multilevel"/>
    <w:tmpl w:val="3DCE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857C5"/>
    <w:multiLevelType w:val="multilevel"/>
    <w:tmpl w:val="BA804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30796"/>
    <w:multiLevelType w:val="multilevel"/>
    <w:tmpl w:val="BB5A0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C7C28"/>
    <w:multiLevelType w:val="multilevel"/>
    <w:tmpl w:val="B1B63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4760E7"/>
    <w:multiLevelType w:val="multilevel"/>
    <w:tmpl w:val="1FD23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155D7"/>
    <w:multiLevelType w:val="multilevel"/>
    <w:tmpl w:val="E69453BA"/>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33" w15:restartNumberingAfterBreak="0">
    <w:nsid w:val="44FA79FB"/>
    <w:multiLevelType w:val="multilevel"/>
    <w:tmpl w:val="9D880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6F0CC8"/>
    <w:multiLevelType w:val="multilevel"/>
    <w:tmpl w:val="6092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C69BF"/>
    <w:multiLevelType w:val="multilevel"/>
    <w:tmpl w:val="4B1E3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EF2A99"/>
    <w:multiLevelType w:val="multilevel"/>
    <w:tmpl w:val="8ADEC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8E18D6"/>
    <w:multiLevelType w:val="multilevel"/>
    <w:tmpl w:val="9436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33AED"/>
    <w:multiLevelType w:val="multilevel"/>
    <w:tmpl w:val="4F328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031BA5"/>
    <w:multiLevelType w:val="multilevel"/>
    <w:tmpl w:val="A2A87C1C"/>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0FE3AB0"/>
    <w:multiLevelType w:val="multilevel"/>
    <w:tmpl w:val="B7A6FF24"/>
    <w:lvl w:ilvl="0">
      <w:start w:val="1"/>
      <w:numFmt w:val="decimal"/>
      <w:lvlText w:val="%1."/>
      <w:lvlJc w:val="left"/>
      <w:pPr>
        <w:ind w:left="720" w:hanging="360"/>
      </w:pPr>
    </w:lvl>
    <w:lvl w:ilvl="1">
      <w:numFmt w:val="bullet"/>
      <w:lvlText w:val="-"/>
      <w:lvlJc w:val="left"/>
      <w:pPr>
        <w:ind w:left="1440" w:hanging="360"/>
      </w:pPr>
      <w:rPr>
        <w:rFonts w:ascii="Times New Roman" w:eastAsiaTheme="minorEastAsia"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1EF657A"/>
    <w:multiLevelType w:val="multilevel"/>
    <w:tmpl w:val="6FB8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50CE0"/>
    <w:multiLevelType w:val="multilevel"/>
    <w:tmpl w:val="5E381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2E7146"/>
    <w:multiLevelType w:val="multilevel"/>
    <w:tmpl w:val="AFB2B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2F25E1"/>
    <w:multiLevelType w:val="multilevel"/>
    <w:tmpl w:val="237009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68472BBB"/>
    <w:multiLevelType w:val="multilevel"/>
    <w:tmpl w:val="70248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FA1CB3"/>
    <w:multiLevelType w:val="multilevel"/>
    <w:tmpl w:val="9DA8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500B11"/>
    <w:multiLevelType w:val="multilevel"/>
    <w:tmpl w:val="E7A8B1B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6DF93D39"/>
    <w:multiLevelType w:val="multilevel"/>
    <w:tmpl w:val="71DEB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3F6762A"/>
    <w:multiLevelType w:val="multilevel"/>
    <w:tmpl w:val="D02CCF02"/>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5F45441"/>
    <w:multiLevelType w:val="multilevel"/>
    <w:tmpl w:val="7C50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A0D29"/>
    <w:multiLevelType w:val="multilevel"/>
    <w:tmpl w:val="086E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292C67"/>
    <w:multiLevelType w:val="multilevel"/>
    <w:tmpl w:val="77C6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B7131"/>
    <w:multiLevelType w:val="multilevel"/>
    <w:tmpl w:val="BAF273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CBC1D72"/>
    <w:multiLevelType w:val="multilevel"/>
    <w:tmpl w:val="D55CB23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D59095D"/>
    <w:multiLevelType w:val="multilevel"/>
    <w:tmpl w:val="A3E05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7FFB17D8"/>
    <w:multiLevelType w:val="multilevel"/>
    <w:tmpl w:val="9AB6B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11978767">
    <w:abstractNumId w:val="8"/>
  </w:num>
  <w:num w:numId="2" w16cid:durableId="1138957496">
    <w:abstractNumId w:val="6"/>
  </w:num>
  <w:num w:numId="3" w16cid:durableId="1826387001">
    <w:abstractNumId w:val="5"/>
  </w:num>
  <w:num w:numId="4" w16cid:durableId="983003761">
    <w:abstractNumId w:val="4"/>
  </w:num>
  <w:num w:numId="5" w16cid:durableId="413550246">
    <w:abstractNumId w:val="7"/>
  </w:num>
  <w:num w:numId="6" w16cid:durableId="1146824251">
    <w:abstractNumId w:val="3"/>
  </w:num>
  <w:num w:numId="7" w16cid:durableId="1574856988">
    <w:abstractNumId w:val="2"/>
  </w:num>
  <w:num w:numId="8" w16cid:durableId="1839155736">
    <w:abstractNumId w:val="1"/>
  </w:num>
  <w:num w:numId="9" w16cid:durableId="1485733785">
    <w:abstractNumId w:val="0"/>
  </w:num>
  <w:num w:numId="10" w16cid:durableId="1997999449">
    <w:abstractNumId w:val="42"/>
  </w:num>
  <w:num w:numId="11" w16cid:durableId="1388072783">
    <w:abstractNumId w:val="55"/>
  </w:num>
  <w:num w:numId="12" w16cid:durableId="1901556096">
    <w:abstractNumId w:val="19"/>
  </w:num>
  <w:num w:numId="13" w16cid:durableId="231232983">
    <w:abstractNumId w:val="33"/>
  </w:num>
  <w:num w:numId="14" w16cid:durableId="526990663">
    <w:abstractNumId w:val="48"/>
  </w:num>
  <w:num w:numId="15" w16cid:durableId="232356760">
    <w:abstractNumId w:val="38"/>
  </w:num>
  <w:num w:numId="16" w16cid:durableId="896278721">
    <w:abstractNumId w:val="56"/>
  </w:num>
  <w:num w:numId="17" w16cid:durableId="1025983143">
    <w:abstractNumId w:val="30"/>
  </w:num>
  <w:num w:numId="18" w16cid:durableId="1377002485">
    <w:abstractNumId w:val="17"/>
  </w:num>
  <w:num w:numId="19" w16cid:durableId="898706961">
    <w:abstractNumId w:val="43"/>
  </w:num>
  <w:num w:numId="20" w16cid:durableId="792134913">
    <w:abstractNumId w:val="18"/>
  </w:num>
  <w:num w:numId="21" w16cid:durableId="1459183342">
    <w:abstractNumId w:val="16"/>
  </w:num>
  <w:num w:numId="22" w16cid:durableId="589199672">
    <w:abstractNumId w:val="45"/>
  </w:num>
  <w:num w:numId="23" w16cid:durableId="230041846">
    <w:abstractNumId w:val="36"/>
  </w:num>
  <w:num w:numId="24" w16cid:durableId="1094713900">
    <w:abstractNumId w:val="35"/>
  </w:num>
  <w:num w:numId="25" w16cid:durableId="1411582307">
    <w:abstractNumId w:val="49"/>
  </w:num>
  <w:num w:numId="26" w16cid:durableId="1464033212">
    <w:abstractNumId w:val="9"/>
  </w:num>
  <w:num w:numId="27" w16cid:durableId="23478663">
    <w:abstractNumId w:val="10"/>
  </w:num>
  <w:num w:numId="28" w16cid:durableId="826821737">
    <w:abstractNumId w:val="32"/>
  </w:num>
  <w:num w:numId="29" w16cid:durableId="208156261">
    <w:abstractNumId w:val="54"/>
  </w:num>
  <w:num w:numId="30" w16cid:durableId="693574043">
    <w:abstractNumId w:val="26"/>
  </w:num>
  <w:num w:numId="31" w16cid:durableId="2080443327">
    <w:abstractNumId w:val="40"/>
  </w:num>
  <w:num w:numId="32" w16cid:durableId="2093811242">
    <w:abstractNumId w:val="47"/>
  </w:num>
  <w:num w:numId="33" w16cid:durableId="2037727035">
    <w:abstractNumId w:val="39"/>
  </w:num>
  <w:num w:numId="34" w16cid:durableId="299650934">
    <w:abstractNumId w:val="53"/>
  </w:num>
  <w:num w:numId="35" w16cid:durableId="1801458777">
    <w:abstractNumId w:val="23"/>
  </w:num>
  <w:num w:numId="36" w16cid:durableId="23752052">
    <w:abstractNumId w:val="11"/>
  </w:num>
  <w:num w:numId="37" w16cid:durableId="486677572">
    <w:abstractNumId w:val="46"/>
  </w:num>
  <w:num w:numId="38" w16cid:durableId="334579304">
    <w:abstractNumId w:val="22"/>
  </w:num>
  <w:num w:numId="39" w16cid:durableId="1041855447">
    <w:abstractNumId w:val="50"/>
  </w:num>
  <w:num w:numId="40" w16cid:durableId="67727420">
    <w:abstractNumId w:val="21"/>
  </w:num>
  <w:num w:numId="41" w16cid:durableId="816186525">
    <w:abstractNumId w:val="14"/>
  </w:num>
  <w:num w:numId="42" w16cid:durableId="2100708299">
    <w:abstractNumId w:val="37"/>
  </w:num>
  <w:num w:numId="43" w16cid:durableId="144787290">
    <w:abstractNumId w:val="25"/>
  </w:num>
  <w:num w:numId="44" w16cid:durableId="308216397">
    <w:abstractNumId w:val="51"/>
  </w:num>
  <w:num w:numId="45" w16cid:durableId="1995447681">
    <w:abstractNumId w:val="12"/>
  </w:num>
  <w:num w:numId="46" w16cid:durableId="196938435">
    <w:abstractNumId w:val="28"/>
  </w:num>
  <w:num w:numId="47" w16cid:durableId="1629622343">
    <w:abstractNumId w:val="27"/>
  </w:num>
  <w:num w:numId="48" w16cid:durableId="354506756">
    <w:abstractNumId w:val="44"/>
  </w:num>
  <w:num w:numId="49" w16cid:durableId="301933132">
    <w:abstractNumId w:val="41"/>
  </w:num>
  <w:num w:numId="50" w16cid:durableId="267540634">
    <w:abstractNumId w:val="34"/>
  </w:num>
  <w:num w:numId="51" w16cid:durableId="689256080">
    <w:abstractNumId w:val="20"/>
  </w:num>
  <w:num w:numId="52" w16cid:durableId="1539123225">
    <w:abstractNumId w:val="31"/>
  </w:num>
  <w:num w:numId="53" w16cid:durableId="1651210032">
    <w:abstractNumId w:val="15"/>
  </w:num>
  <w:num w:numId="54" w16cid:durableId="227348052">
    <w:abstractNumId w:val="52"/>
  </w:num>
  <w:num w:numId="55" w16cid:durableId="2056153862">
    <w:abstractNumId w:val="29"/>
  </w:num>
  <w:num w:numId="56" w16cid:durableId="813529402">
    <w:abstractNumId w:val="13"/>
  </w:num>
  <w:num w:numId="57" w16cid:durableId="13167610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2F"/>
    <w:rsid w:val="0009117B"/>
    <w:rsid w:val="00351BE1"/>
    <w:rsid w:val="004B18A5"/>
    <w:rsid w:val="00572D4C"/>
    <w:rsid w:val="006D0C67"/>
    <w:rsid w:val="008C1E2F"/>
    <w:rsid w:val="00A2453C"/>
    <w:rsid w:val="00C64A58"/>
    <w:rsid w:val="00CA68FB"/>
    <w:rsid w:val="00CB4A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DDFE8-8F92-4BAB-913C-235AF648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4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4 Accent 5" w:uiPriority="49"/>
    <w:lsdException w:name="Grid Table 4 Accent 6" w:uiPriority="5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E2F"/>
    <w:pPr>
      <w:spacing w:after="200" w:line="276" w:lineRule="auto"/>
    </w:pPr>
    <w:rPr>
      <w:rFonts w:ascii="Times New Roman" w:eastAsiaTheme="minorEastAsia" w:hAnsi="Times New Roman"/>
      <w:kern w:val="0"/>
      <w:sz w:val="24"/>
      <w14:ligatures w14:val="none"/>
    </w:rPr>
  </w:style>
  <w:style w:type="paragraph" w:styleId="Heading1">
    <w:name w:val="heading 1"/>
    <w:basedOn w:val="Normal"/>
    <w:next w:val="Normal"/>
    <w:link w:val="Heading1Char1"/>
    <w:uiPriority w:val="9"/>
    <w:qFormat/>
    <w:rsid w:val="008C1E2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1"/>
    <w:uiPriority w:val="9"/>
    <w:unhideWhenUsed/>
    <w:qFormat/>
    <w:rsid w:val="008C1E2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1"/>
    <w:uiPriority w:val="9"/>
    <w:unhideWhenUsed/>
    <w:qFormat/>
    <w:rsid w:val="008C1E2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1"/>
    <w:uiPriority w:val="9"/>
    <w:semiHidden/>
    <w:unhideWhenUsed/>
    <w:qFormat/>
    <w:rsid w:val="008C1E2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1"/>
    <w:uiPriority w:val="9"/>
    <w:semiHidden/>
    <w:unhideWhenUsed/>
    <w:qFormat/>
    <w:rsid w:val="008C1E2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1"/>
    <w:uiPriority w:val="9"/>
    <w:semiHidden/>
    <w:unhideWhenUsed/>
    <w:qFormat/>
    <w:rsid w:val="008C1E2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1"/>
    <w:uiPriority w:val="9"/>
    <w:semiHidden/>
    <w:unhideWhenUsed/>
    <w:qFormat/>
    <w:rsid w:val="008C1E2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1"/>
    <w:uiPriority w:val="9"/>
    <w:semiHidden/>
    <w:unhideWhenUsed/>
    <w:qFormat/>
    <w:rsid w:val="008C1E2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1"/>
    <w:uiPriority w:val="9"/>
    <w:semiHidden/>
    <w:unhideWhenUsed/>
    <w:qFormat/>
    <w:rsid w:val="008C1E2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8C1E2F"/>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uiPriority w:val="9"/>
    <w:rsid w:val="008C1E2F"/>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uiPriority w:val="9"/>
    <w:rsid w:val="008C1E2F"/>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uiPriority w:val="9"/>
    <w:rsid w:val="008C1E2F"/>
    <w:rPr>
      <w:rFonts w:asciiTheme="majorHAnsi" w:eastAsiaTheme="majorEastAsia" w:hAnsiTheme="majorHAnsi" w:cstheme="majorBidi"/>
      <w:i/>
      <w:iCs/>
      <w:color w:val="2F5496" w:themeColor="accent1" w:themeShade="BF"/>
      <w:kern w:val="0"/>
      <w:sz w:val="24"/>
      <w14:ligatures w14:val="none"/>
    </w:rPr>
  </w:style>
  <w:style w:type="character" w:customStyle="1" w:styleId="Heading5Char">
    <w:name w:val="Heading 5 Char"/>
    <w:basedOn w:val="DefaultParagraphFont"/>
    <w:uiPriority w:val="9"/>
    <w:rsid w:val="008C1E2F"/>
    <w:rPr>
      <w:rFonts w:asciiTheme="majorHAnsi" w:eastAsiaTheme="majorEastAsia" w:hAnsiTheme="majorHAnsi" w:cstheme="majorBidi"/>
      <w:color w:val="2F5496" w:themeColor="accent1" w:themeShade="BF"/>
      <w:kern w:val="0"/>
      <w:sz w:val="24"/>
      <w14:ligatures w14:val="none"/>
    </w:rPr>
  </w:style>
  <w:style w:type="character" w:customStyle="1" w:styleId="Heading6Char">
    <w:name w:val="Heading 6 Char"/>
    <w:basedOn w:val="DefaultParagraphFont"/>
    <w:uiPriority w:val="9"/>
    <w:rsid w:val="008C1E2F"/>
    <w:rPr>
      <w:rFonts w:asciiTheme="majorHAnsi" w:eastAsiaTheme="majorEastAsia" w:hAnsiTheme="majorHAnsi" w:cstheme="majorBidi"/>
      <w:color w:val="1F3763" w:themeColor="accent1" w:themeShade="7F"/>
      <w:kern w:val="0"/>
      <w:sz w:val="24"/>
      <w14:ligatures w14:val="none"/>
    </w:rPr>
  </w:style>
  <w:style w:type="character" w:customStyle="1" w:styleId="Heading7Char">
    <w:name w:val="Heading 7 Char"/>
    <w:basedOn w:val="DefaultParagraphFont"/>
    <w:uiPriority w:val="9"/>
    <w:rsid w:val="008C1E2F"/>
    <w:rPr>
      <w:rFonts w:asciiTheme="majorHAnsi" w:eastAsiaTheme="majorEastAsia" w:hAnsiTheme="majorHAnsi" w:cstheme="majorBidi"/>
      <w:i/>
      <w:iCs/>
      <w:color w:val="1F3763" w:themeColor="accent1" w:themeShade="7F"/>
      <w:kern w:val="0"/>
      <w:sz w:val="24"/>
      <w14:ligatures w14:val="none"/>
    </w:rPr>
  </w:style>
  <w:style w:type="character" w:customStyle="1" w:styleId="Heading8Char">
    <w:name w:val="Heading 8 Char"/>
    <w:basedOn w:val="DefaultParagraphFont"/>
    <w:uiPriority w:val="9"/>
    <w:rsid w:val="008C1E2F"/>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uiPriority w:val="9"/>
    <w:rsid w:val="008C1E2F"/>
    <w:rPr>
      <w:rFonts w:asciiTheme="majorHAnsi" w:eastAsiaTheme="majorEastAsia" w:hAnsiTheme="majorHAnsi" w:cstheme="majorBidi"/>
      <w:i/>
      <w:iCs/>
      <w:color w:val="272727" w:themeColor="text1" w:themeTint="D8"/>
      <w:kern w:val="0"/>
      <w:sz w:val="21"/>
      <w:szCs w:val="21"/>
      <w14:ligatures w14:val="none"/>
    </w:rPr>
  </w:style>
  <w:style w:type="table" w:styleId="TableGridLight">
    <w:name w:val="Grid Table Light"/>
    <w:basedOn w:val="TableNormal"/>
    <w:uiPriority w:val="59"/>
    <w:rsid w:val="008C1E2F"/>
    <w:pPr>
      <w:spacing w:after="0" w:line="240" w:lineRule="auto"/>
    </w:pPr>
    <w:rPr>
      <w:rFonts w:eastAsiaTheme="minorEastAsia"/>
      <w:kern w:val="0"/>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rsid w:val="008C1E2F"/>
    <w:pPr>
      <w:spacing w:after="0" w:line="240" w:lineRule="auto"/>
    </w:pPr>
    <w:rPr>
      <w:rFonts w:eastAsiaTheme="minorEastAsia"/>
      <w:kern w:val="0"/>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sid w:val="008C1E2F"/>
    <w:pPr>
      <w:spacing w:after="0" w:line="240" w:lineRule="auto"/>
    </w:pPr>
    <w:rPr>
      <w:rFonts w:eastAsiaTheme="minorEastAsia"/>
      <w:kern w:val="0"/>
      <w14:ligatures w14:val="none"/>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rsid w:val="008C1E2F"/>
    <w:pPr>
      <w:spacing w:after="0" w:line="240" w:lineRule="auto"/>
    </w:pPr>
    <w:rPr>
      <w:rFonts w:eastAsiaTheme="minorEastAsia"/>
      <w:kern w:val="0"/>
      <w14:ligatures w14:val="none"/>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49"/>
    <w:rsid w:val="008C1E2F"/>
    <w:pPr>
      <w:spacing w:after="0" w:line="240" w:lineRule="auto"/>
    </w:pPr>
    <w:rPr>
      <w:rFonts w:eastAsiaTheme="minorEastAsia"/>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59"/>
    <w:rsid w:val="008C1E2F"/>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rsid w:val="008C1E2F"/>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rsid w:val="008C1E2F"/>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49"/>
    <w:rsid w:val="008C1E2F"/>
    <w:pPr>
      <w:spacing w:after="0" w:line="240" w:lineRule="auto"/>
    </w:pPr>
    <w:rPr>
      <w:rFonts w:eastAsiaTheme="minorEastAsia"/>
      <w:kern w:val="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bCs/>
      </w:rPr>
      <w:tblPr/>
      <w:tcPr>
        <w:tcBorders>
          <w:top w:val="sing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59"/>
    <w:rsid w:val="008C1E2F"/>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rsid w:val="008C1E2F"/>
    <w:pPr>
      <w:spacing w:after="0" w:line="240" w:lineRule="auto"/>
    </w:pPr>
    <w:rPr>
      <w:rFonts w:eastAsiaTheme="minorEastAsia"/>
      <w:kern w:val="0"/>
      <w14:ligatures w14:val="none"/>
    </w:r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rsid w:val="008C1E2F"/>
    <w:pPr>
      <w:spacing w:after="0" w:line="240" w:lineRule="auto"/>
    </w:pPr>
    <w:rPr>
      <w:rFonts w:eastAsiaTheme="minorEastAsia"/>
      <w:kern w:val="0"/>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rsid w:val="008C1E2F"/>
    <w:pPr>
      <w:spacing w:after="0" w:line="240" w:lineRule="auto"/>
    </w:pPr>
    <w:rPr>
      <w:rFonts w:eastAsiaTheme="minorEastAsia"/>
      <w:kern w:val="0"/>
      <w14:ligatures w14:val="none"/>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rsid w:val="008C1E2F"/>
    <w:pPr>
      <w:spacing w:after="0" w:line="240" w:lineRule="auto"/>
    </w:pPr>
    <w:rPr>
      <w:rFonts w:eastAsiaTheme="minorEastAsia"/>
      <w:kern w:val="0"/>
      <w14:ligatures w14:val="none"/>
    </w:r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rsid w:val="008C1E2F"/>
    <w:pPr>
      <w:spacing w:after="0" w:line="240" w:lineRule="auto"/>
    </w:pPr>
    <w:rPr>
      <w:rFonts w:eastAsiaTheme="minorEastAsia"/>
      <w:kern w:val="0"/>
      <w14:ligatures w14:val="none"/>
    </w:r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rsid w:val="008C1E2F"/>
    <w:pPr>
      <w:spacing w:after="0" w:line="240" w:lineRule="auto"/>
    </w:pPr>
    <w:rPr>
      <w:rFonts w:eastAsiaTheme="minorEastAsia"/>
      <w:kern w:val="0"/>
      <w14:ligatures w14:val="none"/>
    </w:r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rsid w:val="008C1E2F"/>
    <w:pPr>
      <w:spacing w:after="0" w:line="240" w:lineRule="auto"/>
    </w:pPr>
    <w:rPr>
      <w:rFonts w:eastAsiaTheme="minorEastAsia"/>
      <w:kern w:val="0"/>
      <w14:ligatures w14:val="none"/>
    </w:r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rsid w:val="008C1E2F"/>
    <w:pPr>
      <w:spacing w:after="0" w:line="240" w:lineRule="auto"/>
    </w:pPr>
    <w:rPr>
      <w:rFonts w:eastAsiaTheme="minorEastAsia"/>
      <w:kern w:val="0"/>
      <w14:ligatures w14:val="none"/>
    </w:r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rsid w:val="008C1E2F"/>
    <w:pPr>
      <w:spacing w:after="0" w:line="240" w:lineRule="auto"/>
    </w:pPr>
    <w:rPr>
      <w:rFonts w:eastAsiaTheme="minorEastAsia"/>
      <w:kern w:val="0"/>
      <w14:ligatures w14:val="none"/>
    </w:r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sid w:val="008C1E2F"/>
    <w:pPr>
      <w:spacing w:after="0" w:line="240" w:lineRule="auto"/>
    </w:pPr>
    <w:rPr>
      <w:rFonts w:eastAsiaTheme="minorEastAsia"/>
      <w:color w:val="404040"/>
      <w:kern w:val="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rsid w:val="008C1E2F"/>
    <w:pPr>
      <w:spacing w:after="0" w:line="240" w:lineRule="auto"/>
    </w:pPr>
    <w:rPr>
      <w:rFonts w:eastAsiaTheme="minorEastAsia"/>
      <w:kern w:val="0"/>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leChar">
    <w:name w:val="Title Char"/>
    <w:basedOn w:val="DefaultParagraphFont"/>
    <w:uiPriority w:val="10"/>
    <w:rsid w:val="008C1E2F"/>
    <w:rPr>
      <w:rFonts w:ascii="Arial" w:eastAsia="Arial" w:hAnsi="Arial" w:cs="Arial"/>
      <w:spacing w:val="-10"/>
      <w:sz w:val="56"/>
      <w:szCs w:val="56"/>
    </w:rPr>
  </w:style>
  <w:style w:type="character" w:customStyle="1" w:styleId="SubtitleChar">
    <w:name w:val="Subtitle Char"/>
    <w:basedOn w:val="DefaultParagraphFont"/>
    <w:uiPriority w:val="11"/>
    <w:rsid w:val="008C1E2F"/>
    <w:rPr>
      <w:color w:val="595959" w:themeColor="text1" w:themeTint="A6"/>
      <w:spacing w:val="15"/>
      <w:sz w:val="28"/>
      <w:szCs w:val="28"/>
    </w:rPr>
  </w:style>
  <w:style w:type="character" w:customStyle="1" w:styleId="QuoteChar">
    <w:name w:val="Quote Char"/>
    <w:basedOn w:val="DefaultParagraphFont"/>
    <w:uiPriority w:val="29"/>
    <w:rsid w:val="008C1E2F"/>
    <w:rPr>
      <w:i/>
      <w:iCs/>
      <w:color w:val="404040" w:themeColor="text1" w:themeTint="BF"/>
    </w:rPr>
  </w:style>
  <w:style w:type="character" w:customStyle="1" w:styleId="IntenseQuoteChar">
    <w:name w:val="Intense Quote Char"/>
    <w:basedOn w:val="DefaultParagraphFont"/>
    <w:uiPriority w:val="30"/>
    <w:rsid w:val="008C1E2F"/>
    <w:rPr>
      <w:i/>
      <w:iCs/>
      <w:color w:val="2F5496" w:themeColor="accent1" w:themeShade="BF"/>
    </w:rPr>
  </w:style>
  <w:style w:type="character" w:customStyle="1" w:styleId="HeaderChar">
    <w:name w:val="Header Char"/>
    <w:basedOn w:val="DefaultParagraphFont"/>
    <w:uiPriority w:val="99"/>
    <w:rsid w:val="008C1E2F"/>
  </w:style>
  <w:style w:type="character" w:customStyle="1" w:styleId="FooterChar">
    <w:name w:val="Footer Char"/>
    <w:basedOn w:val="DefaultParagraphFont"/>
    <w:uiPriority w:val="99"/>
    <w:rsid w:val="008C1E2F"/>
  </w:style>
  <w:style w:type="paragraph" w:styleId="FootnoteText">
    <w:name w:val="footnote text"/>
    <w:basedOn w:val="Normal"/>
    <w:link w:val="FootnoteTextChar"/>
    <w:uiPriority w:val="99"/>
    <w:semiHidden/>
    <w:unhideWhenUsed/>
    <w:rsid w:val="008C1E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1E2F"/>
    <w:rPr>
      <w:rFonts w:ascii="Times New Roman" w:eastAsiaTheme="minorEastAsia" w:hAnsi="Times New Roman"/>
      <w:kern w:val="0"/>
      <w:sz w:val="20"/>
      <w:szCs w:val="20"/>
      <w14:ligatures w14:val="none"/>
    </w:rPr>
  </w:style>
  <w:style w:type="character" w:styleId="FootnoteReference">
    <w:name w:val="footnote reference"/>
    <w:basedOn w:val="DefaultParagraphFont"/>
    <w:uiPriority w:val="99"/>
    <w:semiHidden/>
    <w:unhideWhenUsed/>
    <w:rsid w:val="008C1E2F"/>
    <w:rPr>
      <w:vertAlign w:val="superscript"/>
    </w:rPr>
  </w:style>
  <w:style w:type="paragraph" w:styleId="EndnoteText">
    <w:name w:val="endnote text"/>
    <w:basedOn w:val="Normal"/>
    <w:link w:val="EndnoteTextChar"/>
    <w:uiPriority w:val="99"/>
    <w:semiHidden/>
    <w:unhideWhenUsed/>
    <w:rsid w:val="008C1E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1E2F"/>
    <w:rPr>
      <w:rFonts w:ascii="Times New Roman" w:eastAsiaTheme="minorEastAsia" w:hAnsi="Times New Roman"/>
      <w:kern w:val="0"/>
      <w:sz w:val="20"/>
      <w:szCs w:val="20"/>
      <w14:ligatures w14:val="none"/>
    </w:rPr>
  </w:style>
  <w:style w:type="character" w:styleId="EndnoteReference">
    <w:name w:val="endnote reference"/>
    <w:basedOn w:val="DefaultParagraphFont"/>
    <w:uiPriority w:val="99"/>
    <w:semiHidden/>
    <w:unhideWhenUsed/>
    <w:rsid w:val="008C1E2F"/>
    <w:rPr>
      <w:vertAlign w:val="superscript"/>
    </w:rPr>
  </w:style>
  <w:style w:type="character" w:styleId="Hyperlink">
    <w:name w:val="Hyperlink"/>
    <w:basedOn w:val="DefaultParagraphFont"/>
    <w:uiPriority w:val="99"/>
    <w:unhideWhenUsed/>
    <w:rsid w:val="008C1E2F"/>
    <w:rPr>
      <w:color w:val="0563C1" w:themeColor="hyperlink"/>
      <w:u w:val="single"/>
    </w:rPr>
  </w:style>
  <w:style w:type="character" w:styleId="FollowedHyperlink">
    <w:name w:val="FollowedHyperlink"/>
    <w:basedOn w:val="DefaultParagraphFont"/>
    <w:uiPriority w:val="99"/>
    <w:semiHidden/>
    <w:unhideWhenUsed/>
    <w:rsid w:val="008C1E2F"/>
    <w:rPr>
      <w:color w:val="954F72" w:themeColor="followedHyperlink"/>
      <w:u w:val="single"/>
    </w:rPr>
  </w:style>
  <w:style w:type="paragraph" w:styleId="TOC1">
    <w:name w:val="toc 1"/>
    <w:basedOn w:val="Normal"/>
    <w:next w:val="Normal"/>
    <w:uiPriority w:val="39"/>
    <w:unhideWhenUsed/>
    <w:rsid w:val="008C1E2F"/>
    <w:pPr>
      <w:spacing w:after="170"/>
    </w:pPr>
    <w:rPr>
      <w:b/>
      <w:sz w:val="28"/>
    </w:rPr>
  </w:style>
  <w:style w:type="paragraph" w:styleId="TOC2">
    <w:name w:val="toc 2"/>
    <w:basedOn w:val="Normal"/>
    <w:next w:val="Normal"/>
    <w:uiPriority w:val="39"/>
    <w:unhideWhenUsed/>
    <w:rsid w:val="008C1E2F"/>
    <w:pPr>
      <w:spacing w:after="57"/>
    </w:pPr>
    <w:rPr>
      <w:b/>
      <w:sz w:val="26"/>
    </w:rPr>
  </w:style>
  <w:style w:type="paragraph" w:styleId="TOC3">
    <w:name w:val="toc 3"/>
    <w:basedOn w:val="Normal"/>
    <w:next w:val="Normal"/>
    <w:uiPriority w:val="39"/>
    <w:unhideWhenUsed/>
    <w:rsid w:val="008C1E2F"/>
    <w:pPr>
      <w:spacing w:after="57"/>
      <w:ind w:firstLine="283"/>
    </w:pPr>
    <w:rPr>
      <w:sz w:val="26"/>
    </w:rPr>
  </w:style>
  <w:style w:type="paragraph" w:styleId="TOC4">
    <w:name w:val="toc 4"/>
    <w:basedOn w:val="Normal"/>
    <w:next w:val="Normal"/>
    <w:uiPriority w:val="39"/>
    <w:unhideWhenUsed/>
    <w:rsid w:val="008C1E2F"/>
    <w:pPr>
      <w:spacing w:after="57"/>
      <w:ind w:firstLine="567"/>
    </w:pPr>
    <w:rPr>
      <w:sz w:val="22"/>
    </w:rPr>
  </w:style>
  <w:style w:type="paragraph" w:styleId="TOC5">
    <w:name w:val="toc 5"/>
    <w:basedOn w:val="Normal"/>
    <w:next w:val="Normal"/>
    <w:uiPriority w:val="39"/>
    <w:unhideWhenUsed/>
    <w:rsid w:val="008C1E2F"/>
    <w:pPr>
      <w:spacing w:after="57"/>
      <w:ind w:firstLine="850"/>
    </w:pPr>
    <w:rPr>
      <w:sz w:val="22"/>
    </w:rPr>
  </w:style>
  <w:style w:type="paragraph" w:styleId="TOC6">
    <w:name w:val="toc 6"/>
    <w:basedOn w:val="Normal"/>
    <w:next w:val="Normal"/>
    <w:uiPriority w:val="39"/>
    <w:unhideWhenUsed/>
    <w:rsid w:val="008C1E2F"/>
    <w:pPr>
      <w:spacing w:after="57"/>
      <w:ind w:firstLine="1134"/>
    </w:pPr>
    <w:rPr>
      <w:sz w:val="22"/>
    </w:rPr>
  </w:style>
  <w:style w:type="paragraph" w:styleId="TOC7">
    <w:name w:val="toc 7"/>
    <w:basedOn w:val="Normal"/>
    <w:next w:val="Normal"/>
    <w:uiPriority w:val="39"/>
    <w:unhideWhenUsed/>
    <w:rsid w:val="008C1E2F"/>
    <w:pPr>
      <w:spacing w:after="57"/>
      <w:ind w:firstLine="1417"/>
    </w:pPr>
    <w:rPr>
      <w:sz w:val="22"/>
    </w:rPr>
  </w:style>
  <w:style w:type="paragraph" w:styleId="TOC8">
    <w:name w:val="toc 8"/>
    <w:basedOn w:val="Normal"/>
    <w:next w:val="Normal"/>
    <w:uiPriority w:val="39"/>
    <w:unhideWhenUsed/>
    <w:rsid w:val="008C1E2F"/>
    <w:pPr>
      <w:spacing w:after="57"/>
      <w:ind w:firstLine="1701"/>
    </w:pPr>
    <w:rPr>
      <w:sz w:val="22"/>
    </w:rPr>
  </w:style>
  <w:style w:type="paragraph" w:styleId="TOC9">
    <w:name w:val="toc 9"/>
    <w:basedOn w:val="Normal"/>
    <w:next w:val="Normal"/>
    <w:uiPriority w:val="39"/>
    <w:unhideWhenUsed/>
    <w:rsid w:val="008C1E2F"/>
    <w:pPr>
      <w:spacing w:after="57"/>
      <w:ind w:firstLine="1984"/>
    </w:pPr>
    <w:rPr>
      <w:sz w:val="22"/>
    </w:rPr>
  </w:style>
  <w:style w:type="character" w:styleId="PlaceholderText">
    <w:name w:val="Placeholder Text"/>
    <w:basedOn w:val="DefaultParagraphFont"/>
    <w:uiPriority w:val="99"/>
    <w:semiHidden/>
    <w:rsid w:val="008C1E2F"/>
    <w:rPr>
      <w:color w:val="666666"/>
    </w:rPr>
  </w:style>
  <w:style w:type="paragraph" w:styleId="TableofFigures">
    <w:name w:val="table of figures"/>
    <w:basedOn w:val="Normal"/>
    <w:next w:val="Normal"/>
    <w:uiPriority w:val="99"/>
    <w:unhideWhenUsed/>
    <w:rsid w:val="008C1E2F"/>
    <w:pPr>
      <w:spacing w:after="0"/>
    </w:pPr>
  </w:style>
  <w:style w:type="paragraph" w:styleId="Header">
    <w:name w:val="header"/>
    <w:basedOn w:val="Normal"/>
    <w:link w:val="HeaderChar1"/>
    <w:uiPriority w:val="99"/>
    <w:unhideWhenUsed/>
    <w:rsid w:val="008C1E2F"/>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8C1E2F"/>
    <w:rPr>
      <w:rFonts w:ascii="Times New Roman" w:eastAsiaTheme="minorEastAsia" w:hAnsi="Times New Roman"/>
      <w:kern w:val="0"/>
      <w:sz w:val="24"/>
      <w14:ligatures w14:val="none"/>
    </w:rPr>
  </w:style>
  <w:style w:type="paragraph" w:styleId="Footer">
    <w:name w:val="footer"/>
    <w:basedOn w:val="Normal"/>
    <w:link w:val="FooterChar1"/>
    <w:uiPriority w:val="99"/>
    <w:unhideWhenUsed/>
    <w:rsid w:val="008C1E2F"/>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8C1E2F"/>
    <w:rPr>
      <w:rFonts w:ascii="Times New Roman" w:eastAsiaTheme="minorEastAsia" w:hAnsi="Times New Roman"/>
      <w:kern w:val="0"/>
      <w:sz w:val="24"/>
      <w14:ligatures w14:val="none"/>
    </w:rPr>
  </w:style>
  <w:style w:type="paragraph" w:styleId="NoSpacing">
    <w:name w:val="No Spacing"/>
    <w:uiPriority w:val="1"/>
    <w:qFormat/>
    <w:rsid w:val="008C1E2F"/>
    <w:pPr>
      <w:spacing w:after="0" w:line="240" w:lineRule="auto"/>
    </w:pPr>
    <w:rPr>
      <w:rFonts w:eastAsiaTheme="minorEastAsia"/>
      <w:kern w:val="0"/>
      <w14:ligatures w14:val="none"/>
    </w:rPr>
  </w:style>
  <w:style w:type="character" w:customStyle="1" w:styleId="Heading1Char1">
    <w:name w:val="Heading 1 Char1"/>
    <w:basedOn w:val="DefaultParagraphFont"/>
    <w:link w:val="Heading1"/>
    <w:uiPriority w:val="9"/>
    <w:rsid w:val="008C1E2F"/>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1">
    <w:name w:val="Heading 2 Char1"/>
    <w:basedOn w:val="DefaultParagraphFont"/>
    <w:link w:val="Heading2"/>
    <w:uiPriority w:val="9"/>
    <w:rsid w:val="008C1E2F"/>
    <w:rPr>
      <w:rFonts w:asciiTheme="majorHAnsi" w:eastAsiaTheme="majorEastAsia" w:hAnsiTheme="majorHAnsi" w:cstheme="majorBidi"/>
      <w:b/>
      <w:bCs/>
      <w:color w:val="4472C4" w:themeColor="accent1"/>
      <w:kern w:val="0"/>
      <w:sz w:val="26"/>
      <w:szCs w:val="26"/>
      <w14:ligatures w14:val="none"/>
    </w:rPr>
  </w:style>
  <w:style w:type="character" w:customStyle="1" w:styleId="Heading3Char1">
    <w:name w:val="Heading 3 Char1"/>
    <w:basedOn w:val="DefaultParagraphFont"/>
    <w:link w:val="Heading3"/>
    <w:uiPriority w:val="9"/>
    <w:rsid w:val="008C1E2F"/>
    <w:rPr>
      <w:rFonts w:asciiTheme="majorHAnsi" w:eastAsiaTheme="majorEastAsia" w:hAnsiTheme="majorHAnsi" w:cstheme="majorBidi"/>
      <w:b/>
      <w:bCs/>
      <w:color w:val="4472C4" w:themeColor="accent1"/>
      <w:kern w:val="0"/>
      <w:sz w:val="24"/>
      <w14:ligatures w14:val="none"/>
    </w:rPr>
  </w:style>
  <w:style w:type="paragraph" w:styleId="Title">
    <w:name w:val="Title"/>
    <w:basedOn w:val="Normal"/>
    <w:next w:val="Normal"/>
    <w:link w:val="TitleChar1"/>
    <w:uiPriority w:val="10"/>
    <w:qFormat/>
    <w:rsid w:val="008C1E2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1">
    <w:name w:val="Title Char1"/>
    <w:basedOn w:val="DefaultParagraphFont"/>
    <w:link w:val="Title"/>
    <w:uiPriority w:val="10"/>
    <w:rsid w:val="008C1E2F"/>
    <w:rPr>
      <w:rFonts w:asciiTheme="majorHAnsi" w:eastAsiaTheme="majorEastAsia" w:hAnsiTheme="majorHAnsi" w:cstheme="majorBidi"/>
      <w:color w:val="323E4F" w:themeColor="text2" w:themeShade="BF"/>
      <w:spacing w:val="5"/>
      <w:kern w:val="0"/>
      <w:sz w:val="52"/>
      <w:szCs w:val="52"/>
      <w14:ligatures w14:val="none"/>
    </w:rPr>
  </w:style>
  <w:style w:type="paragraph" w:styleId="Subtitle">
    <w:name w:val="Subtitle"/>
    <w:basedOn w:val="Normal"/>
    <w:next w:val="Normal"/>
    <w:link w:val="SubtitleChar1"/>
    <w:uiPriority w:val="11"/>
    <w:qFormat/>
    <w:rsid w:val="008C1E2F"/>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1">
    <w:name w:val="Subtitle Char1"/>
    <w:basedOn w:val="DefaultParagraphFont"/>
    <w:link w:val="Subtitle"/>
    <w:uiPriority w:val="11"/>
    <w:rsid w:val="008C1E2F"/>
    <w:rPr>
      <w:rFonts w:asciiTheme="majorHAnsi" w:eastAsiaTheme="majorEastAsia" w:hAnsiTheme="majorHAnsi" w:cstheme="majorBidi"/>
      <w:i/>
      <w:iCs/>
      <w:color w:val="4472C4" w:themeColor="accent1"/>
      <w:spacing w:val="15"/>
      <w:kern w:val="0"/>
      <w:sz w:val="24"/>
      <w:szCs w:val="24"/>
      <w14:ligatures w14:val="none"/>
    </w:rPr>
  </w:style>
  <w:style w:type="paragraph" w:styleId="ListParagraph">
    <w:name w:val="List Paragraph"/>
    <w:basedOn w:val="Normal"/>
    <w:uiPriority w:val="34"/>
    <w:qFormat/>
    <w:rsid w:val="008C1E2F"/>
    <w:pPr>
      <w:ind w:left="720"/>
      <w:contextualSpacing/>
    </w:pPr>
  </w:style>
  <w:style w:type="paragraph" w:styleId="BodyText">
    <w:name w:val="Body Text"/>
    <w:basedOn w:val="Normal"/>
    <w:link w:val="BodyTextChar"/>
    <w:uiPriority w:val="99"/>
    <w:unhideWhenUsed/>
    <w:rsid w:val="008C1E2F"/>
    <w:pPr>
      <w:spacing w:after="120"/>
    </w:pPr>
  </w:style>
  <w:style w:type="character" w:customStyle="1" w:styleId="BodyTextChar">
    <w:name w:val="Body Text Char"/>
    <w:basedOn w:val="DefaultParagraphFont"/>
    <w:link w:val="BodyText"/>
    <w:uiPriority w:val="99"/>
    <w:rsid w:val="008C1E2F"/>
    <w:rPr>
      <w:rFonts w:ascii="Times New Roman" w:eastAsiaTheme="minorEastAsia" w:hAnsi="Times New Roman"/>
      <w:kern w:val="0"/>
      <w:sz w:val="24"/>
      <w14:ligatures w14:val="none"/>
    </w:rPr>
  </w:style>
  <w:style w:type="paragraph" w:styleId="BodyText2">
    <w:name w:val="Body Text 2"/>
    <w:basedOn w:val="Normal"/>
    <w:link w:val="BodyText2Char"/>
    <w:uiPriority w:val="99"/>
    <w:unhideWhenUsed/>
    <w:rsid w:val="008C1E2F"/>
    <w:pPr>
      <w:spacing w:after="120" w:line="480" w:lineRule="auto"/>
    </w:pPr>
  </w:style>
  <w:style w:type="character" w:customStyle="1" w:styleId="BodyText2Char">
    <w:name w:val="Body Text 2 Char"/>
    <w:basedOn w:val="DefaultParagraphFont"/>
    <w:link w:val="BodyText2"/>
    <w:uiPriority w:val="99"/>
    <w:rsid w:val="008C1E2F"/>
    <w:rPr>
      <w:rFonts w:ascii="Times New Roman" w:eastAsiaTheme="minorEastAsia" w:hAnsi="Times New Roman"/>
      <w:kern w:val="0"/>
      <w:sz w:val="24"/>
      <w14:ligatures w14:val="none"/>
    </w:rPr>
  </w:style>
  <w:style w:type="paragraph" w:styleId="BodyText3">
    <w:name w:val="Body Text 3"/>
    <w:basedOn w:val="Normal"/>
    <w:link w:val="BodyText3Char"/>
    <w:uiPriority w:val="99"/>
    <w:unhideWhenUsed/>
    <w:rsid w:val="008C1E2F"/>
    <w:pPr>
      <w:spacing w:after="120"/>
    </w:pPr>
    <w:rPr>
      <w:sz w:val="16"/>
      <w:szCs w:val="16"/>
    </w:rPr>
  </w:style>
  <w:style w:type="character" w:customStyle="1" w:styleId="BodyText3Char">
    <w:name w:val="Body Text 3 Char"/>
    <w:basedOn w:val="DefaultParagraphFont"/>
    <w:link w:val="BodyText3"/>
    <w:uiPriority w:val="99"/>
    <w:rsid w:val="008C1E2F"/>
    <w:rPr>
      <w:rFonts w:ascii="Times New Roman" w:eastAsiaTheme="minorEastAsia" w:hAnsi="Times New Roman"/>
      <w:kern w:val="0"/>
      <w:sz w:val="16"/>
      <w:szCs w:val="16"/>
      <w14:ligatures w14:val="none"/>
    </w:rPr>
  </w:style>
  <w:style w:type="paragraph" w:styleId="List">
    <w:name w:val="List"/>
    <w:basedOn w:val="Normal"/>
    <w:uiPriority w:val="99"/>
    <w:unhideWhenUsed/>
    <w:rsid w:val="008C1E2F"/>
    <w:pPr>
      <w:ind w:left="360" w:hanging="360"/>
      <w:contextualSpacing/>
    </w:pPr>
  </w:style>
  <w:style w:type="paragraph" w:styleId="List2">
    <w:name w:val="List 2"/>
    <w:basedOn w:val="Normal"/>
    <w:uiPriority w:val="99"/>
    <w:unhideWhenUsed/>
    <w:rsid w:val="008C1E2F"/>
    <w:pPr>
      <w:ind w:left="720" w:hanging="360"/>
      <w:contextualSpacing/>
    </w:pPr>
  </w:style>
  <w:style w:type="paragraph" w:styleId="List3">
    <w:name w:val="List 3"/>
    <w:basedOn w:val="Normal"/>
    <w:uiPriority w:val="99"/>
    <w:unhideWhenUsed/>
    <w:rsid w:val="008C1E2F"/>
    <w:pPr>
      <w:ind w:left="1080" w:hanging="360"/>
      <w:contextualSpacing/>
    </w:pPr>
  </w:style>
  <w:style w:type="paragraph" w:styleId="ListBullet">
    <w:name w:val="List Bullet"/>
    <w:basedOn w:val="Normal"/>
    <w:uiPriority w:val="99"/>
    <w:unhideWhenUsed/>
    <w:rsid w:val="008C1E2F"/>
    <w:pPr>
      <w:numPr>
        <w:numId w:val="1"/>
      </w:numPr>
      <w:contextualSpacing/>
    </w:pPr>
  </w:style>
  <w:style w:type="paragraph" w:styleId="ListBullet2">
    <w:name w:val="List Bullet 2"/>
    <w:basedOn w:val="Normal"/>
    <w:uiPriority w:val="99"/>
    <w:unhideWhenUsed/>
    <w:rsid w:val="008C1E2F"/>
    <w:pPr>
      <w:numPr>
        <w:numId w:val="2"/>
      </w:numPr>
      <w:contextualSpacing/>
    </w:pPr>
  </w:style>
  <w:style w:type="paragraph" w:styleId="ListBullet3">
    <w:name w:val="List Bullet 3"/>
    <w:basedOn w:val="Normal"/>
    <w:uiPriority w:val="99"/>
    <w:unhideWhenUsed/>
    <w:rsid w:val="008C1E2F"/>
    <w:pPr>
      <w:numPr>
        <w:numId w:val="3"/>
      </w:numPr>
      <w:contextualSpacing/>
    </w:pPr>
  </w:style>
  <w:style w:type="paragraph" w:styleId="ListNumber">
    <w:name w:val="List Number"/>
    <w:basedOn w:val="Normal"/>
    <w:uiPriority w:val="99"/>
    <w:unhideWhenUsed/>
    <w:rsid w:val="008C1E2F"/>
    <w:pPr>
      <w:numPr>
        <w:numId w:val="5"/>
      </w:numPr>
      <w:contextualSpacing/>
    </w:pPr>
  </w:style>
  <w:style w:type="paragraph" w:styleId="ListNumber2">
    <w:name w:val="List Number 2"/>
    <w:basedOn w:val="Normal"/>
    <w:uiPriority w:val="99"/>
    <w:unhideWhenUsed/>
    <w:rsid w:val="008C1E2F"/>
    <w:pPr>
      <w:numPr>
        <w:numId w:val="6"/>
      </w:numPr>
      <w:contextualSpacing/>
    </w:pPr>
  </w:style>
  <w:style w:type="paragraph" w:styleId="ListNumber3">
    <w:name w:val="List Number 3"/>
    <w:basedOn w:val="Normal"/>
    <w:uiPriority w:val="99"/>
    <w:unhideWhenUsed/>
    <w:rsid w:val="008C1E2F"/>
    <w:pPr>
      <w:numPr>
        <w:numId w:val="7"/>
      </w:numPr>
      <w:contextualSpacing/>
    </w:pPr>
  </w:style>
  <w:style w:type="paragraph" w:styleId="ListContinue">
    <w:name w:val="List Continue"/>
    <w:basedOn w:val="Normal"/>
    <w:uiPriority w:val="99"/>
    <w:unhideWhenUsed/>
    <w:rsid w:val="008C1E2F"/>
    <w:pPr>
      <w:spacing w:after="120"/>
      <w:ind w:left="360"/>
      <w:contextualSpacing/>
    </w:pPr>
  </w:style>
  <w:style w:type="paragraph" w:styleId="ListContinue2">
    <w:name w:val="List Continue 2"/>
    <w:basedOn w:val="Normal"/>
    <w:uiPriority w:val="99"/>
    <w:unhideWhenUsed/>
    <w:rsid w:val="008C1E2F"/>
    <w:pPr>
      <w:spacing w:after="120"/>
      <w:ind w:left="720"/>
      <w:contextualSpacing/>
    </w:pPr>
  </w:style>
  <w:style w:type="paragraph" w:styleId="ListContinue3">
    <w:name w:val="List Continue 3"/>
    <w:basedOn w:val="Normal"/>
    <w:uiPriority w:val="99"/>
    <w:unhideWhenUsed/>
    <w:rsid w:val="008C1E2F"/>
    <w:pPr>
      <w:spacing w:after="120"/>
      <w:ind w:left="1080"/>
      <w:contextualSpacing/>
    </w:pPr>
  </w:style>
  <w:style w:type="paragraph" w:styleId="MacroText">
    <w:name w:val="macro"/>
    <w:link w:val="MacroTextChar"/>
    <w:uiPriority w:val="99"/>
    <w:unhideWhenUsed/>
    <w:rsid w:val="008C1E2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8C1E2F"/>
    <w:rPr>
      <w:rFonts w:ascii="Courier" w:eastAsiaTheme="minorEastAsia" w:hAnsi="Courier"/>
      <w:kern w:val="0"/>
      <w:sz w:val="20"/>
      <w:szCs w:val="20"/>
      <w14:ligatures w14:val="none"/>
    </w:rPr>
  </w:style>
  <w:style w:type="paragraph" w:styleId="Quote">
    <w:name w:val="Quote"/>
    <w:basedOn w:val="Normal"/>
    <w:next w:val="Normal"/>
    <w:link w:val="QuoteChar1"/>
    <w:uiPriority w:val="29"/>
    <w:qFormat/>
    <w:rsid w:val="008C1E2F"/>
    <w:rPr>
      <w:i/>
      <w:iCs/>
      <w:color w:val="000000" w:themeColor="text1"/>
    </w:rPr>
  </w:style>
  <w:style w:type="character" w:customStyle="1" w:styleId="QuoteChar1">
    <w:name w:val="Quote Char1"/>
    <w:basedOn w:val="DefaultParagraphFont"/>
    <w:link w:val="Quote"/>
    <w:uiPriority w:val="29"/>
    <w:rsid w:val="008C1E2F"/>
    <w:rPr>
      <w:rFonts w:ascii="Times New Roman" w:eastAsiaTheme="minorEastAsia" w:hAnsi="Times New Roman"/>
      <w:i/>
      <w:iCs/>
      <w:color w:val="000000" w:themeColor="text1"/>
      <w:kern w:val="0"/>
      <w:sz w:val="24"/>
      <w14:ligatures w14:val="none"/>
    </w:rPr>
  </w:style>
  <w:style w:type="character" w:customStyle="1" w:styleId="Heading4Char1">
    <w:name w:val="Heading 4 Char1"/>
    <w:basedOn w:val="DefaultParagraphFont"/>
    <w:link w:val="Heading4"/>
    <w:uiPriority w:val="9"/>
    <w:semiHidden/>
    <w:rsid w:val="008C1E2F"/>
    <w:rPr>
      <w:rFonts w:asciiTheme="majorHAnsi" w:eastAsiaTheme="majorEastAsia" w:hAnsiTheme="majorHAnsi" w:cstheme="majorBidi"/>
      <w:b/>
      <w:bCs/>
      <w:i/>
      <w:iCs/>
      <w:color w:val="4472C4" w:themeColor="accent1"/>
      <w:kern w:val="0"/>
      <w:sz w:val="24"/>
      <w14:ligatures w14:val="none"/>
    </w:rPr>
  </w:style>
  <w:style w:type="character" w:customStyle="1" w:styleId="Heading5Char1">
    <w:name w:val="Heading 5 Char1"/>
    <w:basedOn w:val="DefaultParagraphFont"/>
    <w:link w:val="Heading5"/>
    <w:uiPriority w:val="9"/>
    <w:semiHidden/>
    <w:rsid w:val="008C1E2F"/>
    <w:rPr>
      <w:rFonts w:asciiTheme="majorHAnsi" w:eastAsiaTheme="majorEastAsia" w:hAnsiTheme="majorHAnsi" w:cstheme="majorBidi"/>
      <w:color w:val="1F3763" w:themeColor="accent1" w:themeShade="7F"/>
      <w:kern w:val="0"/>
      <w:sz w:val="24"/>
      <w14:ligatures w14:val="none"/>
    </w:rPr>
  </w:style>
  <w:style w:type="character" w:customStyle="1" w:styleId="Heading6Char1">
    <w:name w:val="Heading 6 Char1"/>
    <w:basedOn w:val="DefaultParagraphFont"/>
    <w:link w:val="Heading6"/>
    <w:uiPriority w:val="9"/>
    <w:semiHidden/>
    <w:rsid w:val="008C1E2F"/>
    <w:rPr>
      <w:rFonts w:asciiTheme="majorHAnsi" w:eastAsiaTheme="majorEastAsia" w:hAnsiTheme="majorHAnsi" w:cstheme="majorBidi"/>
      <w:i/>
      <w:iCs/>
      <w:color w:val="1F3763" w:themeColor="accent1" w:themeShade="7F"/>
      <w:kern w:val="0"/>
      <w:sz w:val="24"/>
      <w14:ligatures w14:val="none"/>
    </w:rPr>
  </w:style>
  <w:style w:type="character" w:customStyle="1" w:styleId="Heading7Char1">
    <w:name w:val="Heading 7 Char1"/>
    <w:basedOn w:val="DefaultParagraphFont"/>
    <w:link w:val="Heading7"/>
    <w:uiPriority w:val="9"/>
    <w:semiHidden/>
    <w:rsid w:val="008C1E2F"/>
    <w:rPr>
      <w:rFonts w:asciiTheme="majorHAnsi" w:eastAsiaTheme="majorEastAsia" w:hAnsiTheme="majorHAnsi" w:cstheme="majorBidi"/>
      <w:i/>
      <w:iCs/>
      <w:color w:val="404040" w:themeColor="text1" w:themeTint="BF"/>
      <w:kern w:val="0"/>
      <w:sz w:val="24"/>
      <w14:ligatures w14:val="none"/>
    </w:rPr>
  </w:style>
  <w:style w:type="character" w:customStyle="1" w:styleId="Heading8Char1">
    <w:name w:val="Heading 8 Char1"/>
    <w:basedOn w:val="DefaultParagraphFont"/>
    <w:link w:val="Heading8"/>
    <w:uiPriority w:val="9"/>
    <w:semiHidden/>
    <w:rsid w:val="008C1E2F"/>
    <w:rPr>
      <w:rFonts w:asciiTheme="majorHAnsi" w:eastAsiaTheme="majorEastAsia" w:hAnsiTheme="majorHAnsi" w:cstheme="majorBidi"/>
      <w:color w:val="4472C4" w:themeColor="accent1"/>
      <w:kern w:val="0"/>
      <w:sz w:val="20"/>
      <w:szCs w:val="20"/>
      <w14:ligatures w14:val="none"/>
    </w:rPr>
  </w:style>
  <w:style w:type="character" w:customStyle="1" w:styleId="Heading9Char1">
    <w:name w:val="Heading 9 Char1"/>
    <w:basedOn w:val="DefaultParagraphFont"/>
    <w:link w:val="Heading9"/>
    <w:uiPriority w:val="9"/>
    <w:semiHidden/>
    <w:rsid w:val="008C1E2F"/>
    <w:rPr>
      <w:rFonts w:asciiTheme="majorHAnsi" w:eastAsiaTheme="majorEastAsia" w:hAnsiTheme="majorHAnsi" w:cstheme="majorBidi"/>
      <w:i/>
      <w:iCs/>
      <w:color w:val="404040" w:themeColor="text1" w:themeTint="BF"/>
      <w:kern w:val="0"/>
      <w:sz w:val="20"/>
      <w:szCs w:val="20"/>
      <w14:ligatures w14:val="none"/>
    </w:rPr>
  </w:style>
  <w:style w:type="paragraph" w:styleId="Caption">
    <w:name w:val="caption"/>
    <w:basedOn w:val="Normal"/>
    <w:next w:val="Normal"/>
    <w:unhideWhenUsed/>
    <w:qFormat/>
    <w:rsid w:val="008C1E2F"/>
    <w:pPr>
      <w:spacing w:line="240" w:lineRule="auto"/>
    </w:pPr>
    <w:rPr>
      <w:b/>
      <w:bCs/>
      <w:color w:val="4472C4" w:themeColor="accent1"/>
      <w:sz w:val="18"/>
      <w:szCs w:val="18"/>
    </w:rPr>
  </w:style>
  <w:style w:type="character" w:styleId="Strong">
    <w:name w:val="Strong"/>
    <w:basedOn w:val="DefaultParagraphFont"/>
    <w:uiPriority w:val="22"/>
    <w:qFormat/>
    <w:rsid w:val="008C1E2F"/>
    <w:rPr>
      <w:b/>
      <w:bCs/>
    </w:rPr>
  </w:style>
  <w:style w:type="character" w:styleId="Emphasis">
    <w:name w:val="Emphasis"/>
    <w:basedOn w:val="DefaultParagraphFont"/>
    <w:uiPriority w:val="20"/>
    <w:qFormat/>
    <w:rsid w:val="008C1E2F"/>
    <w:rPr>
      <w:i/>
      <w:iCs/>
    </w:rPr>
  </w:style>
  <w:style w:type="paragraph" w:styleId="IntenseQuote">
    <w:name w:val="Intense Quote"/>
    <w:basedOn w:val="Normal"/>
    <w:next w:val="Normal"/>
    <w:link w:val="IntenseQuoteChar1"/>
    <w:uiPriority w:val="30"/>
    <w:qFormat/>
    <w:rsid w:val="008C1E2F"/>
    <w:pPr>
      <w:pBdr>
        <w:bottom w:val="single" w:sz="4" w:space="4" w:color="4472C4" w:themeColor="accent1"/>
      </w:pBdr>
      <w:spacing w:before="200" w:after="280"/>
      <w:ind w:left="936" w:right="936"/>
    </w:pPr>
    <w:rPr>
      <w:b/>
      <w:bCs/>
      <w:i/>
      <w:iCs/>
      <w:color w:val="4472C4" w:themeColor="accent1"/>
    </w:rPr>
  </w:style>
  <w:style w:type="character" w:customStyle="1" w:styleId="IntenseQuoteChar1">
    <w:name w:val="Intense Quote Char1"/>
    <w:basedOn w:val="DefaultParagraphFont"/>
    <w:link w:val="IntenseQuote"/>
    <w:uiPriority w:val="30"/>
    <w:rsid w:val="008C1E2F"/>
    <w:rPr>
      <w:rFonts w:ascii="Times New Roman" w:eastAsiaTheme="minorEastAsia" w:hAnsi="Times New Roman"/>
      <w:b/>
      <w:bCs/>
      <w:i/>
      <w:iCs/>
      <w:color w:val="4472C4" w:themeColor="accent1"/>
      <w:kern w:val="0"/>
      <w:sz w:val="24"/>
      <w14:ligatures w14:val="none"/>
    </w:rPr>
  </w:style>
  <w:style w:type="character" w:styleId="SubtleEmphasis">
    <w:name w:val="Subtle Emphasis"/>
    <w:basedOn w:val="DefaultParagraphFont"/>
    <w:uiPriority w:val="19"/>
    <w:qFormat/>
    <w:rsid w:val="008C1E2F"/>
    <w:rPr>
      <w:i/>
      <w:iCs/>
      <w:color w:val="808080" w:themeColor="text1" w:themeTint="7F"/>
    </w:rPr>
  </w:style>
  <w:style w:type="character" w:styleId="IntenseEmphasis">
    <w:name w:val="Intense Emphasis"/>
    <w:basedOn w:val="DefaultParagraphFont"/>
    <w:uiPriority w:val="21"/>
    <w:qFormat/>
    <w:rsid w:val="008C1E2F"/>
    <w:rPr>
      <w:b/>
      <w:bCs/>
      <w:i/>
      <w:iCs/>
      <w:color w:val="4472C4" w:themeColor="accent1"/>
    </w:rPr>
  </w:style>
  <w:style w:type="character" w:styleId="SubtleReference">
    <w:name w:val="Subtle Reference"/>
    <w:basedOn w:val="DefaultParagraphFont"/>
    <w:uiPriority w:val="31"/>
    <w:qFormat/>
    <w:rsid w:val="008C1E2F"/>
    <w:rPr>
      <w:smallCaps/>
      <w:color w:val="ED7D31" w:themeColor="accent2"/>
      <w:u w:val="single"/>
    </w:rPr>
  </w:style>
  <w:style w:type="character" w:styleId="IntenseReference">
    <w:name w:val="Intense Reference"/>
    <w:basedOn w:val="DefaultParagraphFont"/>
    <w:uiPriority w:val="32"/>
    <w:qFormat/>
    <w:rsid w:val="008C1E2F"/>
    <w:rPr>
      <w:b/>
      <w:bCs/>
      <w:smallCaps/>
      <w:color w:val="ED7D31" w:themeColor="accent2"/>
      <w:spacing w:val="5"/>
      <w:u w:val="single"/>
    </w:rPr>
  </w:style>
  <w:style w:type="character" w:styleId="BookTitle">
    <w:name w:val="Book Title"/>
    <w:basedOn w:val="DefaultParagraphFont"/>
    <w:uiPriority w:val="33"/>
    <w:qFormat/>
    <w:rsid w:val="008C1E2F"/>
    <w:rPr>
      <w:b/>
      <w:bCs/>
      <w:smallCaps/>
      <w:spacing w:val="5"/>
    </w:rPr>
  </w:style>
  <w:style w:type="paragraph" w:styleId="TOCHeading">
    <w:name w:val="TOC Heading"/>
    <w:basedOn w:val="Heading1"/>
    <w:next w:val="Normal"/>
    <w:uiPriority w:val="39"/>
    <w:unhideWhenUsed/>
    <w:qFormat/>
    <w:rsid w:val="008C1E2F"/>
    <w:pPr>
      <w:outlineLvl w:val="9"/>
    </w:pPr>
  </w:style>
  <w:style w:type="table" w:styleId="TableGrid">
    <w:name w:val="Table Grid"/>
    <w:basedOn w:val="TableNormal"/>
    <w:uiPriority w:val="59"/>
    <w:rsid w:val="008C1E2F"/>
    <w:pPr>
      <w:spacing w:after="0" w:line="240" w:lineRule="auto"/>
    </w:pPr>
    <w:rPr>
      <w:rFonts w:eastAsiaTheme="minorEastAsia"/>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8C1E2F"/>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rsid w:val="008C1E2F"/>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one" w:sz="4" w:space="0" w:color="000000"/>
          <w:bottom w:val="single" w:sz="8" w:space="0" w:color="4472C4" w:themeColor="accent1"/>
          <w:right w:val="none" w:sz="4" w:space="0" w:color="000000"/>
        </w:tcBorders>
      </w:tcPr>
    </w:tblStylePr>
    <w:tblStylePr w:type="lastRow">
      <w:pPr>
        <w:spacing w:before="0" w:after="0" w:line="240" w:lineRule="auto"/>
      </w:pPr>
      <w:rPr>
        <w:b/>
        <w:bCs/>
      </w:rPr>
      <w:tblPr/>
      <w:tcPr>
        <w:tcBorders>
          <w:top w:val="single" w:sz="8" w:space="0" w:color="4472C4" w:themeColor="accent1"/>
          <w:left w:val="none" w:sz="4" w:space="0" w:color="000000"/>
          <w:bottom w:val="single" w:sz="8" w:space="0" w:color="4472C4"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0DBF0" w:themeFill="accent1" w:themeFillTint="3F"/>
      </w:tcPr>
    </w:tblStylePr>
    <w:tblStylePr w:type="band1Horz">
      <w:tblPr/>
      <w:tcPr>
        <w:tcBorders>
          <w:left w:val="none" w:sz="4" w:space="0" w:color="000000"/>
          <w:right w:val="none" w:sz="4" w:space="0" w:color="000000"/>
        </w:tcBorders>
        <w:shd w:val="clear" w:color="auto" w:fill="D0DBF0" w:themeFill="accent1" w:themeFillTint="3F"/>
      </w:tcPr>
    </w:tblStylePr>
  </w:style>
  <w:style w:type="table" w:styleId="LightShading-Accent2">
    <w:name w:val="Light Shading Accent 2"/>
    <w:basedOn w:val="TableNormal"/>
    <w:uiPriority w:val="60"/>
    <w:rsid w:val="008C1E2F"/>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one" w:sz="4" w:space="0" w:color="000000"/>
          <w:bottom w:val="single" w:sz="8" w:space="0" w:color="ED7D31" w:themeColor="accent2"/>
          <w:right w:val="none" w:sz="4" w:space="0" w:color="000000"/>
        </w:tcBorders>
      </w:tcPr>
    </w:tblStylePr>
    <w:tblStylePr w:type="lastRow">
      <w:pPr>
        <w:spacing w:before="0" w:after="0" w:line="240" w:lineRule="auto"/>
      </w:pPr>
      <w:rPr>
        <w:b/>
        <w:bCs/>
      </w:rPr>
      <w:tblPr/>
      <w:tcPr>
        <w:tcBorders>
          <w:top w:val="single" w:sz="8" w:space="0" w:color="ED7D31" w:themeColor="accent2"/>
          <w:left w:val="none" w:sz="4" w:space="0" w:color="000000"/>
          <w:bottom w:val="single" w:sz="8" w:space="0" w:color="ED7D31"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ADECB" w:themeFill="accent2" w:themeFillTint="3F"/>
      </w:tcPr>
    </w:tblStylePr>
    <w:tblStylePr w:type="band1Horz">
      <w:tblPr/>
      <w:tcPr>
        <w:tcBorders>
          <w:left w:val="none" w:sz="4" w:space="0" w:color="000000"/>
          <w:right w:val="none" w:sz="4" w:space="0" w:color="000000"/>
        </w:tcBorders>
        <w:shd w:val="clear" w:color="auto" w:fill="FADECB" w:themeFill="accent2" w:themeFillTint="3F"/>
      </w:tcPr>
    </w:tblStylePr>
  </w:style>
  <w:style w:type="table" w:styleId="LightShading-Accent3">
    <w:name w:val="Light Shading Accent 3"/>
    <w:basedOn w:val="TableNormal"/>
    <w:uiPriority w:val="60"/>
    <w:rsid w:val="008C1E2F"/>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one" w:sz="4" w:space="0" w:color="000000"/>
          <w:bottom w:val="single" w:sz="8" w:space="0" w:color="A5A5A5" w:themeColor="accent3"/>
          <w:right w:val="none" w:sz="4" w:space="0" w:color="000000"/>
        </w:tcBorders>
      </w:tcPr>
    </w:tblStylePr>
    <w:tblStylePr w:type="lastRow">
      <w:pPr>
        <w:spacing w:before="0" w:after="0" w:line="240" w:lineRule="auto"/>
      </w:pPr>
      <w:rPr>
        <w:b/>
        <w:bCs/>
      </w:rPr>
      <w:tblPr/>
      <w:tcPr>
        <w:tcBorders>
          <w:top w:val="single" w:sz="8" w:space="0" w:color="A5A5A5" w:themeColor="accent3"/>
          <w:left w:val="none" w:sz="4" w:space="0" w:color="000000"/>
          <w:bottom w:val="single" w:sz="8" w:space="0" w:color="A5A5A5"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8E8E8" w:themeFill="accent3" w:themeFillTint="3F"/>
      </w:tcPr>
    </w:tblStylePr>
    <w:tblStylePr w:type="band1Horz">
      <w:tblPr/>
      <w:tcPr>
        <w:tcBorders>
          <w:left w:val="none" w:sz="4" w:space="0" w:color="000000"/>
          <w:right w:val="none" w:sz="4" w:space="0" w:color="000000"/>
        </w:tcBorders>
        <w:shd w:val="clear" w:color="auto" w:fill="E8E8E8" w:themeFill="accent3" w:themeFillTint="3F"/>
      </w:tcPr>
    </w:tblStylePr>
  </w:style>
  <w:style w:type="table" w:styleId="LightShading-Accent4">
    <w:name w:val="Light Shading Accent 4"/>
    <w:basedOn w:val="TableNormal"/>
    <w:uiPriority w:val="60"/>
    <w:rsid w:val="008C1E2F"/>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one" w:sz="4" w:space="0" w:color="000000"/>
          <w:bottom w:val="single" w:sz="8" w:space="0" w:color="FFC000" w:themeColor="accent4"/>
          <w:right w:val="none" w:sz="4" w:space="0" w:color="000000"/>
        </w:tcBorders>
      </w:tcPr>
    </w:tblStylePr>
    <w:tblStylePr w:type="lastRow">
      <w:pPr>
        <w:spacing w:before="0" w:after="0" w:line="240" w:lineRule="auto"/>
      </w:pPr>
      <w:rPr>
        <w:b/>
        <w:bCs/>
      </w:rPr>
      <w:tblPr/>
      <w:tcPr>
        <w:tcBorders>
          <w:top w:val="single" w:sz="8" w:space="0" w:color="FFC000" w:themeColor="accent4"/>
          <w:left w:val="none" w:sz="4" w:space="0" w:color="000000"/>
          <w:bottom w:val="single" w:sz="8" w:space="0" w:color="FFC000"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FC0" w:themeFill="accent4" w:themeFillTint="3F"/>
      </w:tcPr>
    </w:tblStylePr>
    <w:tblStylePr w:type="band1Horz">
      <w:tblPr/>
      <w:tcPr>
        <w:tcBorders>
          <w:left w:val="none" w:sz="4" w:space="0" w:color="000000"/>
          <w:right w:val="none" w:sz="4" w:space="0" w:color="000000"/>
        </w:tcBorders>
        <w:shd w:val="clear" w:color="auto" w:fill="FFEFC0" w:themeFill="accent4" w:themeFillTint="3F"/>
      </w:tcPr>
    </w:tblStylePr>
  </w:style>
  <w:style w:type="table" w:styleId="LightShading-Accent5">
    <w:name w:val="Light Shading Accent 5"/>
    <w:basedOn w:val="TableNormal"/>
    <w:uiPriority w:val="60"/>
    <w:rsid w:val="008C1E2F"/>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one" w:sz="4" w:space="0" w:color="000000"/>
          <w:bottom w:val="single" w:sz="8" w:space="0" w:color="5B9BD5" w:themeColor="accent5"/>
          <w:right w:val="none" w:sz="4" w:space="0" w:color="000000"/>
        </w:tcBorders>
      </w:tcPr>
    </w:tblStylePr>
    <w:tblStylePr w:type="lastRow">
      <w:pPr>
        <w:spacing w:before="0" w:after="0" w:line="240" w:lineRule="auto"/>
      </w:pPr>
      <w:rPr>
        <w:b/>
        <w:bCs/>
      </w:rPr>
      <w:tblPr/>
      <w:tcPr>
        <w:tcBorders>
          <w:top w:val="single" w:sz="8" w:space="0" w:color="5B9BD5" w:themeColor="accent5"/>
          <w:left w:val="none" w:sz="4" w:space="0" w:color="000000"/>
          <w:bottom w:val="single" w:sz="8" w:space="0" w:color="5B9BD5"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6E6F4" w:themeFill="accent5" w:themeFillTint="3F"/>
      </w:tcPr>
    </w:tblStylePr>
    <w:tblStylePr w:type="band1Horz">
      <w:tblPr/>
      <w:tcPr>
        <w:tcBorders>
          <w:left w:val="none" w:sz="4" w:space="0" w:color="000000"/>
          <w:right w:val="none" w:sz="4" w:space="0" w:color="000000"/>
        </w:tcBorders>
        <w:shd w:val="clear" w:color="auto" w:fill="D6E6F4" w:themeFill="accent5" w:themeFillTint="3F"/>
      </w:tcPr>
    </w:tblStylePr>
  </w:style>
  <w:style w:type="table" w:styleId="LightShading-Accent6">
    <w:name w:val="Light Shading Accent 6"/>
    <w:basedOn w:val="TableNormal"/>
    <w:uiPriority w:val="60"/>
    <w:rsid w:val="008C1E2F"/>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one" w:sz="4" w:space="0" w:color="000000"/>
          <w:bottom w:val="single" w:sz="8" w:space="0" w:color="70AD47" w:themeColor="accent6"/>
          <w:right w:val="none" w:sz="4" w:space="0" w:color="000000"/>
        </w:tcBorders>
      </w:tcPr>
    </w:tblStylePr>
    <w:tblStylePr w:type="lastRow">
      <w:pPr>
        <w:spacing w:before="0" w:after="0" w:line="240" w:lineRule="auto"/>
      </w:pPr>
      <w:rPr>
        <w:b/>
        <w:bCs/>
      </w:rPr>
      <w:tblPr/>
      <w:tcPr>
        <w:tcBorders>
          <w:top w:val="single" w:sz="8" w:space="0" w:color="70AD47" w:themeColor="accent6"/>
          <w:left w:val="none" w:sz="4" w:space="0" w:color="000000"/>
          <w:bottom w:val="single" w:sz="8" w:space="0" w:color="70AD47"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BEBD0" w:themeFill="accent6" w:themeFillTint="3F"/>
      </w:tcPr>
    </w:tblStylePr>
    <w:tblStylePr w:type="band1Horz">
      <w:tblPr/>
      <w:tcPr>
        <w:tcBorders>
          <w:left w:val="none" w:sz="4" w:space="0" w:color="000000"/>
          <w:right w:val="none" w:sz="4" w:space="0" w:color="000000"/>
        </w:tcBorders>
        <w:shd w:val="clear" w:color="auto" w:fill="DBEBD0" w:themeFill="accent6" w:themeFillTint="3F"/>
      </w:tcPr>
    </w:tblStylePr>
  </w:style>
  <w:style w:type="table" w:styleId="LightList">
    <w:name w:val="Light List"/>
    <w:basedOn w:val="TableNormal"/>
    <w:uiPriority w:val="61"/>
    <w:rsid w:val="008C1E2F"/>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C1E2F"/>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sing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8C1E2F"/>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sing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8C1E2F"/>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sing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8C1E2F"/>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sing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8C1E2F"/>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sing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8C1E2F"/>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sing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8C1E2F"/>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rsid w:val="008C1E2F"/>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2">
    <w:name w:val="Light Grid Accent 2"/>
    <w:basedOn w:val="TableNormal"/>
    <w:uiPriority w:val="62"/>
    <w:rsid w:val="008C1E2F"/>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3">
    <w:name w:val="Light Grid Accent 3"/>
    <w:basedOn w:val="TableNormal"/>
    <w:uiPriority w:val="62"/>
    <w:rsid w:val="008C1E2F"/>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4">
    <w:name w:val="Light Grid Accent 4"/>
    <w:basedOn w:val="TableNormal"/>
    <w:uiPriority w:val="62"/>
    <w:rsid w:val="008C1E2F"/>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5">
    <w:name w:val="Light Grid Accent 5"/>
    <w:basedOn w:val="TableNormal"/>
    <w:uiPriority w:val="62"/>
    <w:rsid w:val="008C1E2F"/>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6">
    <w:name w:val="Light Grid Accent 6"/>
    <w:basedOn w:val="TableNormal"/>
    <w:uiPriority w:val="62"/>
    <w:rsid w:val="008C1E2F"/>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MediumShading1">
    <w:name w:val="Medium Shading 1"/>
    <w:basedOn w:val="TableNormal"/>
    <w:uiPriority w:val="63"/>
    <w:rsid w:val="008C1E2F"/>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rsid w:val="008C1E2F"/>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tcBorders>
        <w:shd w:val="clear" w:color="auto" w:fill="4472C4" w:themeFill="accent1"/>
      </w:tcPr>
    </w:tblStylePr>
    <w:tblStylePr w:type="lastRow">
      <w:pPr>
        <w:spacing w:before="0" w:after="0" w:line="240" w:lineRule="auto"/>
      </w:pPr>
      <w:rPr>
        <w:b/>
        <w:bCs/>
      </w:rPr>
      <w:tblPr/>
      <w:tcPr>
        <w:tcBorders>
          <w:top w:val="sing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Shading1-Accent2">
    <w:name w:val="Medium Shading 1 Accent 2"/>
    <w:basedOn w:val="TableNormal"/>
    <w:uiPriority w:val="63"/>
    <w:rsid w:val="008C1E2F"/>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tcBorders>
        <w:shd w:val="clear" w:color="auto" w:fill="ED7D31" w:themeFill="accent2"/>
      </w:tcPr>
    </w:tblStylePr>
    <w:tblStylePr w:type="lastRow">
      <w:pPr>
        <w:spacing w:before="0" w:after="0" w:line="240" w:lineRule="auto"/>
      </w:pPr>
      <w:rPr>
        <w:b/>
        <w:bCs/>
      </w:rPr>
      <w:tblPr/>
      <w:tcPr>
        <w:tcBorders>
          <w:top w:val="sing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Shading1-Accent3">
    <w:name w:val="Medium Shading 1 Accent 3"/>
    <w:basedOn w:val="TableNormal"/>
    <w:uiPriority w:val="63"/>
    <w:rsid w:val="008C1E2F"/>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tcBorders>
        <w:shd w:val="clear" w:color="auto" w:fill="A5A5A5" w:themeFill="accent3"/>
      </w:tcPr>
    </w:tblStylePr>
    <w:tblStylePr w:type="lastRow">
      <w:pPr>
        <w:spacing w:before="0" w:after="0" w:line="240" w:lineRule="auto"/>
      </w:pPr>
      <w:rPr>
        <w:b/>
        <w:bCs/>
      </w:rPr>
      <w:tblPr/>
      <w:tcPr>
        <w:tcBorders>
          <w:top w:val="sing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Shading1-Accent4">
    <w:name w:val="Medium Shading 1 Accent 4"/>
    <w:basedOn w:val="TableNormal"/>
    <w:uiPriority w:val="63"/>
    <w:rsid w:val="008C1E2F"/>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tcBorders>
        <w:shd w:val="clear" w:color="auto" w:fill="FFC000" w:themeFill="accent4"/>
      </w:tcPr>
    </w:tblStylePr>
    <w:tblStylePr w:type="lastRow">
      <w:pPr>
        <w:spacing w:before="0" w:after="0" w:line="240" w:lineRule="auto"/>
      </w:pPr>
      <w:rPr>
        <w:b/>
        <w:bCs/>
      </w:rPr>
      <w:tblPr/>
      <w:tcPr>
        <w:tcBorders>
          <w:top w:val="sing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Shading1-Accent5">
    <w:name w:val="Medium Shading 1 Accent 5"/>
    <w:basedOn w:val="TableNormal"/>
    <w:uiPriority w:val="63"/>
    <w:rsid w:val="008C1E2F"/>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tcBorders>
        <w:shd w:val="clear" w:color="auto" w:fill="5B9BD5" w:themeFill="accent5"/>
      </w:tcPr>
    </w:tblStylePr>
    <w:tblStylePr w:type="lastRow">
      <w:pPr>
        <w:spacing w:before="0" w:after="0" w:line="240" w:lineRule="auto"/>
      </w:pPr>
      <w:rPr>
        <w:b/>
        <w:bCs/>
      </w:rPr>
      <w:tblPr/>
      <w:tcPr>
        <w:tcBorders>
          <w:top w:val="sing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Shading1-Accent6">
    <w:name w:val="Medium Shading 1 Accent 6"/>
    <w:basedOn w:val="TableNormal"/>
    <w:uiPriority w:val="63"/>
    <w:rsid w:val="008C1E2F"/>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tcBorders>
        <w:shd w:val="clear" w:color="auto" w:fill="70AD47" w:themeFill="accent6"/>
      </w:tcPr>
    </w:tblStylePr>
    <w:tblStylePr w:type="lastRow">
      <w:pPr>
        <w:spacing w:before="0" w:after="0" w:line="240" w:lineRule="auto"/>
      </w:pPr>
      <w:rPr>
        <w:b/>
        <w:bCs/>
      </w:rPr>
      <w:tblPr/>
      <w:tcPr>
        <w:tcBorders>
          <w:top w:val="sing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Shading2">
    <w:name w:val="Medium Shading 2"/>
    <w:basedOn w:val="TableNormal"/>
    <w:uiPriority w:val="64"/>
    <w:rsid w:val="008C1E2F"/>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rsid w:val="008C1E2F"/>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472C4"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472C4" w:themeFill="accent1"/>
      </w:tcPr>
    </w:tblStylePr>
    <w:tblStylePr w:type="lastCol">
      <w:rPr>
        <w:b/>
        <w:bCs/>
        <w:color w:val="FFFFFF" w:themeColor="background1"/>
      </w:rPr>
      <w:tblPr/>
      <w:tcPr>
        <w:tcBorders>
          <w:left w:val="none" w:sz="4" w:space="0" w:color="000000"/>
          <w:right w:val="none" w:sz="4" w:space="0" w:color="000000"/>
        </w:tcBorders>
        <w:shd w:val="clear" w:color="auto" w:fill="4472C4"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rsid w:val="008C1E2F"/>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D7D31"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D7D31" w:themeFill="accent2"/>
      </w:tcPr>
    </w:tblStylePr>
    <w:tblStylePr w:type="lastCol">
      <w:rPr>
        <w:b/>
        <w:bCs/>
        <w:color w:val="FFFFFF" w:themeColor="background1"/>
      </w:rPr>
      <w:tblPr/>
      <w:tcPr>
        <w:tcBorders>
          <w:left w:val="none" w:sz="4" w:space="0" w:color="000000"/>
          <w:right w:val="none" w:sz="4" w:space="0" w:color="000000"/>
        </w:tcBorders>
        <w:shd w:val="clear" w:color="auto" w:fill="ED7D31"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rsid w:val="008C1E2F"/>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A5A5A5"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A5A5A5" w:themeFill="accent3"/>
      </w:tcPr>
    </w:tblStylePr>
    <w:tblStylePr w:type="lastCol">
      <w:rPr>
        <w:b/>
        <w:bCs/>
        <w:color w:val="FFFFFF" w:themeColor="background1"/>
      </w:rPr>
      <w:tblPr/>
      <w:tcPr>
        <w:tcBorders>
          <w:left w:val="none" w:sz="4" w:space="0" w:color="000000"/>
          <w:right w:val="none" w:sz="4" w:space="0" w:color="000000"/>
        </w:tcBorders>
        <w:shd w:val="clear" w:color="auto" w:fill="A5A5A5"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rsid w:val="008C1E2F"/>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000"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000" w:themeFill="accent4"/>
      </w:tcPr>
    </w:tblStylePr>
    <w:tblStylePr w:type="lastCol">
      <w:rPr>
        <w:b/>
        <w:bCs/>
        <w:color w:val="FFFFFF" w:themeColor="background1"/>
      </w:rPr>
      <w:tblPr/>
      <w:tcPr>
        <w:tcBorders>
          <w:left w:val="none" w:sz="4" w:space="0" w:color="000000"/>
          <w:right w:val="none" w:sz="4" w:space="0" w:color="000000"/>
        </w:tcBorders>
        <w:shd w:val="clear" w:color="auto" w:fill="FFC000"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rsid w:val="008C1E2F"/>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5B9BD5"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5B9BD5" w:themeFill="accent5"/>
      </w:tcPr>
    </w:tblStylePr>
    <w:tblStylePr w:type="lastCol">
      <w:rPr>
        <w:b/>
        <w:bCs/>
        <w:color w:val="FFFFFF" w:themeColor="background1"/>
      </w:rPr>
      <w:tblPr/>
      <w:tcPr>
        <w:tcBorders>
          <w:left w:val="none" w:sz="4" w:space="0" w:color="000000"/>
          <w:right w:val="none" w:sz="4" w:space="0" w:color="000000"/>
        </w:tcBorders>
        <w:shd w:val="clear" w:color="auto" w:fill="5B9BD5"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rsid w:val="008C1E2F"/>
    <w:pPr>
      <w:spacing w:after="0" w:line="240" w:lineRule="auto"/>
    </w:pPr>
    <w:rPr>
      <w:rFonts w:eastAsiaTheme="minorEastAsia"/>
      <w:kern w:val="0"/>
      <w14:ligatures w14:val="none"/>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70AD47"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70AD47" w:themeFill="accent6"/>
      </w:tcPr>
    </w:tblStylePr>
    <w:tblStylePr w:type="lastCol">
      <w:rPr>
        <w:b/>
        <w:bCs/>
        <w:color w:val="FFFFFF" w:themeColor="background1"/>
      </w:rPr>
      <w:tblPr/>
      <w:tcPr>
        <w:tcBorders>
          <w:left w:val="none" w:sz="4" w:space="0" w:color="000000"/>
          <w:right w:val="none" w:sz="4" w:space="0" w:color="000000"/>
        </w:tcBorders>
        <w:shd w:val="clear" w:color="auto" w:fill="70AD47"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rsid w:val="008C1E2F"/>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C1E2F"/>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one" w:sz="4" w:space="0" w:color="000000"/>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8C1E2F"/>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one" w:sz="4" w:space="0" w:color="000000"/>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8C1E2F"/>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one" w:sz="4" w:space="0" w:color="000000"/>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8C1E2F"/>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one" w:sz="4" w:space="0" w:color="000000"/>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8C1E2F"/>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one" w:sz="4" w:space="0" w:color="000000"/>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8C1E2F"/>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one" w:sz="4" w:space="0" w:color="000000"/>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one" w:sz="4" w:space="0" w:color="000000"/>
          <w:left w:val="none" w:sz="4" w:space="0" w:color="000000"/>
          <w:bottom w:val="single" w:sz="24" w:space="0" w:color="4472C4" w:themeColor="accent1"/>
          <w:right w:val="none" w:sz="4" w:space="0" w:color="000000"/>
        </w:tcBorders>
        <w:shd w:val="clear" w:color="auto" w:fill="FFFFFF" w:themeFill="background1"/>
      </w:tcPr>
    </w:tblStylePr>
    <w:tblStylePr w:type="lastRow">
      <w:tblPr/>
      <w:tcPr>
        <w:tcBorders>
          <w:top w:val="single" w:sz="8" w:space="0" w:color="4472C4"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472C4" w:themeColor="accent1"/>
        </w:tcBorders>
        <w:shd w:val="clear" w:color="auto" w:fill="FFFFFF" w:themeFill="background1"/>
      </w:tcPr>
    </w:tblStylePr>
    <w:tblStylePr w:type="lastCol">
      <w:tblPr/>
      <w:tcPr>
        <w:tcBorders>
          <w:top w:val="none" w:sz="4" w:space="0" w:color="000000"/>
          <w:left w:val="single" w:sz="8" w:space="0" w:color="4472C4"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0DBF0" w:themeFill="accent1" w:themeFillTint="3F"/>
      </w:tcPr>
    </w:tblStylePr>
    <w:tblStylePr w:type="band1Horz">
      <w:tblPr/>
      <w:tcPr>
        <w:tcBorders>
          <w:top w:val="none" w:sz="4" w:space="0" w:color="000000"/>
          <w:bottom w:val="none" w:sz="4" w:space="0" w:color="000000"/>
        </w:tcBorders>
        <w:shd w:val="clear" w:color="auto" w:fill="D0DBF0"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tblPr/>
      <w:tcPr>
        <w:tcBorders>
          <w:top w:val="single" w:sz="8" w:space="0" w:color="ED7D31"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D7D31" w:themeColor="accent2"/>
        </w:tcBorders>
        <w:shd w:val="clear" w:color="auto" w:fill="FFFFFF" w:themeFill="background1"/>
      </w:tcPr>
    </w:tblStylePr>
    <w:tblStylePr w:type="lastCol">
      <w:tblPr/>
      <w:tcPr>
        <w:tcBorders>
          <w:top w:val="none" w:sz="4" w:space="0" w:color="000000"/>
          <w:left w:val="single" w:sz="8" w:space="0" w:color="ED7D31"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ADECB" w:themeFill="accent2" w:themeFillTint="3F"/>
      </w:tcPr>
    </w:tblStylePr>
    <w:tblStylePr w:type="band1Horz">
      <w:tblPr/>
      <w:tcPr>
        <w:tcBorders>
          <w:top w:val="none" w:sz="4" w:space="0" w:color="000000"/>
          <w:bottom w:val="none" w:sz="4" w:space="0" w:color="000000"/>
        </w:tcBorders>
        <w:shd w:val="clear" w:color="auto" w:fill="FADECB"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one" w:sz="4" w:space="0" w:color="000000"/>
          <w:left w:val="none" w:sz="4" w:space="0" w:color="000000"/>
          <w:bottom w:val="single" w:sz="24" w:space="0" w:color="A5A5A5" w:themeColor="accent3"/>
          <w:right w:val="none" w:sz="4" w:space="0" w:color="000000"/>
        </w:tcBorders>
        <w:shd w:val="clear" w:color="auto" w:fill="FFFFFF" w:themeFill="background1"/>
      </w:tcPr>
    </w:tblStylePr>
    <w:tblStylePr w:type="lastRow">
      <w:tblPr/>
      <w:tcPr>
        <w:tcBorders>
          <w:top w:val="single" w:sz="8" w:space="0" w:color="A5A5A5"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A5A5A5" w:themeColor="accent3"/>
        </w:tcBorders>
        <w:shd w:val="clear" w:color="auto" w:fill="FFFFFF" w:themeFill="background1"/>
      </w:tcPr>
    </w:tblStylePr>
    <w:tblStylePr w:type="lastCol">
      <w:tblPr/>
      <w:tcPr>
        <w:tcBorders>
          <w:top w:val="none" w:sz="4" w:space="0" w:color="000000"/>
          <w:left w:val="single" w:sz="8" w:space="0" w:color="A5A5A5"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8E8E8" w:themeFill="accent3" w:themeFillTint="3F"/>
      </w:tcPr>
    </w:tblStylePr>
    <w:tblStylePr w:type="band1Horz">
      <w:tblPr/>
      <w:tcPr>
        <w:tcBorders>
          <w:top w:val="none" w:sz="4" w:space="0" w:color="000000"/>
          <w:bottom w:val="none" w:sz="4" w:space="0" w:color="000000"/>
        </w:tcBorders>
        <w:shd w:val="clear" w:color="auto" w:fill="E8E8E8"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one" w:sz="4" w:space="0" w:color="000000"/>
          <w:left w:val="none" w:sz="4" w:space="0" w:color="000000"/>
          <w:bottom w:val="single" w:sz="24" w:space="0" w:color="FFC000" w:themeColor="accent4"/>
          <w:right w:val="none" w:sz="4" w:space="0" w:color="000000"/>
        </w:tcBorders>
        <w:shd w:val="clear" w:color="auto" w:fill="FFFFFF" w:themeFill="background1"/>
      </w:tcPr>
    </w:tblStylePr>
    <w:tblStylePr w:type="lastRow">
      <w:tblPr/>
      <w:tcPr>
        <w:tcBorders>
          <w:top w:val="single" w:sz="8" w:space="0" w:color="FFC000"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000" w:themeColor="accent4"/>
        </w:tcBorders>
        <w:shd w:val="clear" w:color="auto" w:fill="FFFFFF" w:themeFill="background1"/>
      </w:tcPr>
    </w:tblStylePr>
    <w:tblStylePr w:type="lastCol">
      <w:tblPr/>
      <w:tcPr>
        <w:tcBorders>
          <w:top w:val="none" w:sz="4" w:space="0" w:color="000000"/>
          <w:left w:val="single" w:sz="8" w:space="0" w:color="FFC000"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FC0" w:themeFill="accent4" w:themeFillTint="3F"/>
      </w:tcPr>
    </w:tblStylePr>
    <w:tblStylePr w:type="band1Horz">
      <w:tblPr/>
      <w:tcPr>
        <w:tcBorders>
          <w:top w:val="none" w:sz="4" w:space="0" w:color="000000"/>
          <w:bottom w:val="none" w:sz="4" w:space="0" w:color="000000"/>
        </w:tcBorders>
        <w:shd w:val="clear" w:color="auto" w:fill="FFEFC0"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one" w:sz="4" w:space="0" w:color="000000"/>
          <w:left w:val="none" w:sz="4" w:space="0" w:color="000000"/>
          <w:bottom w:val="single" w:sz="24" w:space="0" w:color="5B9BD5" w:themeColor="accent5"/>
          <w:right w:val="none" w:sz="4" w:space="0" w:color="000000"/>
        </w:tcBorders>
        <w:shd w:val="clear" w:color="auto" w:fill="FFFFFF" w:themeFill="background1"/>
      </w:tcPr>
    </w:tblStylePr>
    <w:tblStylePr w:type="lastRow">
      <w:tblPr/>
      <w:tcPr>
        <w:tcBorders>
          <w:top w:val="single" w:sz="8" w:space="0" w:color="5B9BD5"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5B9BD5" w:themeColor="accent5"/>
        </w:tcBorders>
        <w:shd w:val="clear" w:color="auto" w:fill="FFFFFF" w:themeFill="background1"/>
      </w:tcPr>
    </w:tblStylePr>
    <w:tblStylePr w:type="lastCol">
      <w:tblPr/>
      <w:tcPr>
        <w:tcBorders>
          <w:top w:val="none" w:sz="4" w:space="0" w:color="000000"/>
          <w:left w:val="single" w:sz="8" w:space="0" w:color="5B9BD5"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6E6F4" w:themeFill="accent5" w:themeFillTint="3F"/>
      </w:tcPr>
    </w:tblStylePr>
    <w:tblStylePr w:type="band1Horz">
      <w:tblPr/>
      <w:tcPr>
        <w:tcBorders>
          <w:top w:val="none" w:sz="4" w:space="0" w:color="000000"/>
          <w:bottom w:val="none" w:sz="4" w:space="0" w:color="000000"/>
        </w:tcBorders>
        <w:shd w:val="clear" w:color="auto" w:fill="D6E6F4"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one" w:sz="4" w:space="0" w:color="000000"/>
          <w:left w:val="none" w:sz="4" w:space="0" w:color="000000"/>
          <w:bottom w:val="single" w:sz="24" w:space="0" w:color="70AD47" w:themeColor="accent6"/>
          <w:right w:val="none" w:sz="4" w:space="0" w:color="000000"/>
        </w:tcBorders>
        <w:shd w:val="clear" w:color="auto" w:fill="FFFFFF" w:themeFill="background1"/>
      </w:tcPr>
    </w:tblStylePr>
    <w:tblStylePr w:type="lastRow">
      <w:tblPr/>
      <w:tcPr>
        <w:tcBorders>
          <w:top w:val="single" w:sz="8" w:space="0" w:color="70AD47"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70AD47" w:themeColor="accent6"/>
        </w:tcBorders>
        <w:shd w:val="clear" w:color="auto" w:fill="FFFFFF" w:themeFill="background1"/>
      </w:tcPr>
    </w:tblStylePr>
    <w:tblStylePr w:type="lastCol">
      <w:tblPr/>
      <w:tcPr>
        <w:tcBorders>
          <w:top w:val="none" w:sz="4" w:space="0" w:color="000000"/>
          <w:left w:val="single" w:sz="8" w:space="0" w:color="70AD47"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BEBD0" w:themeFill="accent6" w:themeFillTint="3F"/>
      </w:tcPr>
    </w:tblStylePr>
    <w:tblStylePr w:type="band1Horz">
      <w:tblPr/>
      <w:tcPr>
        <w:tcBorders>
          <w:top w:val="none" w:sz="4" w:space="0" w:color="000000"/>
          <w:bottom w:val="none" w:sz="4" w:space="0" w:color="000000"/>
        </w:tcBorders>
        <w:shd w:val="clear" w:color="auto" w:fill="DBEB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rsid w:val="008C1E2F"/>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C1E2F"/>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8C1E2F"/>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8C1E2F"/>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8C1E2F"/>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8C1E2F"/>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8C1E2F"/>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9E2F3" w:themeFill="accent1" w:themeFillTint="33"/>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BE4D5" w:themeFill="accent2" w:themeFillTint="33"/>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DEDED" w:themeFill="accent3" w:themeFillTint="33"/>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2CC" w:themeFill="accent4" w:themeFillTint="33"/>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EEAF6" w:themeFill="accent5" w:themeFillTint="33"/>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C1E2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2EFD9" w:themeFill="accent6" w:themeFillTint="33"/>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C1E2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C1E2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472C4"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8C1E2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D7D31"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8C1E2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A5A5A5"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8C1E2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000"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8C1E2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5B9BD5"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8C1E2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70AD47"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8C1E2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rsid w:val="008C1E2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1F3763"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2F5496"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2F5496"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2F5496"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2F5496" w:themeFill="accent1" w:themeFillShade="BF"/>
      </w:tcPr>
    </w:tblStylePr>
  </w:style>
  <w:style w:type="table" w:styleId="DarkList-Accent2">
    <w:name w:val="Dark List Accent 2"/>
    <w:basedOn w:val="TableNormal"/>
    <w:uiPriority w:val="70"/>
    <w:rsid w:val="008C1E2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823B0B"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C45911"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C45911"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C45911"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C45911" w:themeFill="accent2" w:themeFillShade="BF"/>
      </w:tcPr>
    </w:tblStylePr>
  </w:style>
  <w:style w:type="table" w:styleId="DarkList-Accent3">
    <w:name w:val="Dark List Accent 3"/>
    <w:basedOn w:val="TableNormal"/>
    <w:uiPriority w:val="70"/>
    <w:rsid w:val="008C1E2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525252"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B7B7B"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B7B7B"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B7B7B"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B7B7B" w:themeFill="accent3" w:themeFillShade="BF"/>
      </w:tcPr>
    </w:tblStylePr>
  </w:style>
  <w:style w:type="table" w:styleId="DarkList-Accent4">
    <w:name w:val="Dark List Accent 4"/>
    <w:basedOn w:val="TableNormal"/>
    <w:uiPriority w:val="70"/>
    <w:rsid w:val="008C1E2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5F00"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8F00"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8F00"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8F00"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8F00" w:themeFill="accent4" w:themeFillShade="BF"/>
      </w:tcPr>
    </w:tblStylePr>
  </w:style>
  <w:style w:type="table" w:styleId="DarkList-Accent5">
    <w:name w:val="Dark List Accent 5"/>
    <w:basedOn w:val="TableNormal"/>
    <w:uiPriority w:val="70"/>
    <w:rsid w:val="008C1E2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1F4D78"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2E74B5"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2E74B5"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2E74B5"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2E74B5" w:themeFill="accent5" w:themeFillShade="BF"/>
      </w:tcPr>
    </w:tblStylePr>
  </w:style>
  <w:style w:type="table" w:styleId="DarkList-Accent6">
    <w:name w:val="Dark List Accent 6"/>
    <w:basedOn w:val="TableNormal"/>
    <w:uiPriority w:val="70"/>
    <w:rsid w:val="008C1E2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75623"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38135"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38135"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38135"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38135" w:themeFill="accent6" w:themeFillShade="BF"/>
      </w:tcPr>
    </w:tblStylePr>
  </w:style>
  <w:style w:type="table" w:styleId="ColorfulShading">
    <w:name w:val="Colorful Shading"/>
    <w:basedOn w:val="TableNormal"/>
    <w:uiPriority w:val="71"/>
    <w:rsid w:val="008C1E2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C1E2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64378"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C1E2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one" w:sz="4" w:space="0" w:color="000000"/>
          <w:left w:val="none" w:sz="4" w:space="0" w:color="000000"/>
          <w:bottom w:val="single" w:sz="24" w:space="0" w:color="ED7D31"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D470D"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C1E2F"/>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one" w:sz="4" w:space="0" w:color="000000"/>
          <w:left w:val="none" w:sz="4" w:space="0" w:color="000000"/>
          <w:bottom w:val="single" w:sz="24" w:space="0" w:color="FFC000"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636363"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8C1E2F"/>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one" w:sz="4" w:space="0" w:color="000000"/>
          <w:left w:val="none" w:sz="4" w:space="0" w:color="000000"/>
          <w:bottom w:val="single" w:sz="24" w:space="0" w:color="A5A5A5"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300"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C1E2F"/>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one" w:sz="4" w:space="0" w:color="000000"/>
          <w:left w:val="none" w:sz="4" w:space="0" w:color="000000"/>
          <w:bottom w:val="single" w:sz="24" w:space="0" w:color="70AD47"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55D91"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C1E2F"/>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one" w:sz="4" w:space="0" w:color="000000"/>
          <w:left w:val="none" w:sz="4" w:space="0" w:color="000000"/>
          <w:bottom w:val="single" w:sz="24" w:space="0" w:color="5B9BD5"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3672A"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C1E2F"/>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C1E2F"/>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8C1E2F"/>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8C1E2F"/>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8C1E2F"/>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8C1E2F"/>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8C1E2F"/>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8C1E2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C1E2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8C1E2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8C1E2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8C1E2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8C1E2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8C1E2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dTable5Dark-Accent10">
    <w:name w:val="Grid Table 5 Dark Accent 1"/>
    <w:basedOn w:val="TableNormal"/>
    <w:uiPriority w:val="50"/>
    <w:rsid w:val="008C1E2F"/>
    <w:pPr>
      <w:spacing w:after="0" w:line="240" w:lineRule="auto"/>
    </w:pPr>
    <w:rPr>
      <w:rFonts w:eastAsiaTheme="minorEastAsia"/>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NormalWeb1">
    <w:name w:val="Normal (Web)1"/>
    <w:uiPriority w:val="99"/>
    <w:semiHidden/>
    <w:unhideWhenUsed/>
    <w:rsid w:val="008C1E2F"/>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8C1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evapack.com/powder-filling-machine-guide/"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10466</Words>
  <Characters>59661</Characters>
  <Application>Microsoft Office Word</Application>
  <DocSecurity>0</DocSecurity>
  <Lines>497</Lines>
  <Paragraphs>139</Paragraphs>
  <ScaleCrop>false</ScaleCrop>
  <Company/>
  <LinksUpToDate>false</LinksUpToDate>
  <CharactersWithSpaces>69988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dc:creator>
  <cp:keywords/>
  <dc:description/>
  <cp:lastModifiedBy>ATC</cp:lastModifiedBy>
  <cp:revision>1</cp:revision>
  <dcterms:created xsi:type="dcterms:W3CDTF">2026-10-04T09:23:00Z</dcterms:created>
  <dcterms:modified xsi:type="dcterms:W3CDTF">2026-10-04T09:23:00Z</dcterms:modified>
</cp:coreProperties>
</file>