
<file path=[Content_Types].xml><?xml version="1.0" encoding="utf-8"?>
<Types xmlns="http://schemas.openxmlformats.org/package/2006/content-types">
  <Default Extension="rels" ContentType="application/vnd.openxmlformats-package.relationships+xml"/>
  <Default Extension="odttf" ContentType="application/vnd.openxmlformats-officedocument.obfuscatedFont"/>
  <Default Extension="xml" ContentType="application/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ne="http://schemas.microsoft.com/office/word/2006/wordml" xmlns:wps="http://schemas.microsoft.com/office/word/2010/wordprocessingShape" xmlns:wpg="http://schemas.microsoft.com/office/word/2010/wordprocessingGroup" xmlns:wp14="http://schemas.microsoft.com/office/word/2010/wordprocessingDrawing" xmlns:w14="http://schemas.microsoft.com/office/word/2010/wordml" xmlns:wpi="http://schemas.microsoft.com/office/word/2010/wordprocessingInk" xmlns:aink="http://schemas.microsoft.com/office/drawing/2016/ink" xmlns:dgm="http://schemas.openxmlformats.org/drawingml/2006/diagram" mc:Ignorable="w14 wp14 ">
  <w:body>
    <w:p w14:paraId="00000003">
      <w:pPr>
        <w:pStyle w:val="Heading2"/>
        <w:bidi w:val="off"/>
        <w:rPr/>
      </w:pPr>
      <w:bookmarkStart w:id="0" w:name="X829330cd2304b21214e563edbe405492f075cd9"/>
      <w:bookmarkStart w:id="1" w:name="X0e3c79737bbc6195cdde7121ccf21a44d199d51"/>
      <w:r>
        <w:rPr>
          <w:rtl/>
        </w:rPr>
        <w:t xml:space="preserve"> </w:t>
      </w:r>
      <w:r>
        <w:rPr>
          <w:rFonts w:hint="cs"/>
          <w:rtl/>
        </w:rPr>
        <w:t>مشروع تصميم وتنفيذ آلة تعبئة وتغليف بودرة الملح بنظام Auger Filler (VFFS)</w:t>
      </w:r>
      <w:r>
        <w:rPr>
          <w:rFonts w:hint="default"/>
          <w:rtl/>
        </w:rPr>
        <w:t xml:space="preserve">. </w:t>
      </w:r>
    </w:p>
    <w:p w14:paraId="00000004">
      <w:pPr>
        <w:pStyle w:val="BodyText"/>
        <w:bidi w:val="off"/>
        <w:rPr/>
      </w:pPr>
    </w:p>
    <w:p w14:paraId="00000005">
      <w:pPr>
        <w:pStyle w:val="BodyText"/>
        <w:bidi w:val="off"/>
        <w:rPr/>
      </w:pPr>
      <w:r>
        <w:rPr>
          <w:b/>
          <w:bCs/>
          <w:rtl/>
        </w:rPr>
        <w:t>ملخص تنفيذي</w:t>
      </w:r>
    </w:p>
    <w:p w14:paraId="00000006">
      <w:pPr>
        <w:pStyle w:val="BodyText"/>
        <w:bidi w:val="off"/>
        <w:rPr/>
      </w:pPr>
      <w:r>
        <w:rPr>
          <w:rtl/>
        </w:rPr>
        <w:t>تهدف هذه الوثيقة إلى تقديم نطاق عمل مفصّل ومخطط تنفيذي لمشروع تصميم وتصنيع آلة تعبئة وتغليف بودرة الملح (1,000 جرام للكيس) بنظام</w:t>
      </w:r>
      <w:r>
        <w:t xml:space="preserve"> VFFS </w:t>
      </w:r>
      <w:r>
        <w:rPr>
          <w:rtl/>
        </w:rPr>
        <w:t>مع رأس تعبئة لولبي</w:t>
      </w:r>
      <w:r>
        <w:t xml:space="preserve"> (Auger Filler)، </w:t>
      </w:r>
      <w:r>
        <w:rPr>
          <w:rtl/>
        </w:rPr>
        <w:t>ونظام تحكم محلي منخفض التكلفة قائم على متحكم</w:t>
      </w:r>
      <w:r>
        <w:t xml:space="preserve"> </w:t>
      </w:r>
      <w:r>
        <w:rPr>
          <w:b/>
          <w:bCs/>
        </w:rPr>
        <w:t>ESP32</w:t>
      </w:r>
      <w:r>
        <w:t xml:space="preserve">، </w:t>
      </w:r>
      <w:r>
        <w:rPr>
          <w:rtl/>
        </w:rPr>
        <w:t xml:space="preserve">ومكونات ميكانيكية وكهربائية </w:t>
      </w:r>
      <w:r>
        <w:rPr>
          <w:rtl/>
        </w:rPr>
        <w:t>. المادة التغليفية المتفق عليها هي</w:t>
      </w:r>
      <w:r>
        <w:t xml:space="preserve"> </w:t>
      </w:r>
      <w:r>
        <w:rPr>
          <w:b/>
          <w:bCs/>
        </w:rPr>
        <w:t>OPP/CPP</w:t>
      </w:r>
      <w:r>
        <w:t xml:space="preserve"> </w:t>
      </w:r>
      <w:r>
        <w:t>(</w:t>
      </w:r>
      <w:r>
        <w:rPr>
          <w:rtl/>
        </w:rPr>
        <w:t>لماذا: مقاومة للرطوبة، قابلية للحام الحراري، مناسبة لملح ناعم</w:t>
      </w:r>
      <w:r>
        <w:t>).</w:t>
      </w:r>
    </w:p>
    <w:p w14:paraId="00000007">
      <w:pPr>
        <w:pStyle w:val="BodyText"/>
        <w:bidi w:val="off"/>
        <w:rPr/>
      </w:pPr>
    </w:p>
    <w:p w14:paraId="00000008">
      <w:pPr>
        <w:pStyle w:val="Heading2"/>
        <w:bidi w:val="off"/>
        <w:rPr>
          <w:b/>
          <w:bCs/>
        </w:rPr>
      </w:pPr>
      <w:bookmarkEnd w:id="0"/>
      <w:bookmarkStart w:id="2" w:name="الخلفية-والحاجة"/>
      <w:r>
        <w:rPr>
          <w:b/>
          <w:bCs/>
        </w:rPr>
        <w:t xml:space="preserve">1. </w:t>
      </w:r>
      <w:r>
        <w:rPr>
          <w:b/>
          <w:bCs/>
          <w:rtl/>
        </w:rPr>
        <w:t xml:space="preserve">الخلفية </w:t>
      </w:r>
      <w:r>
        <w:rPr>
          <w:rFonts w:hint="cs"/>
          <w:b/>
          <w:bCs/>
          <w:rtl/>
        </w:rPr>
        <w:t>والحاجة</w:t>
      </w:r>
    </w:p>
    <w:p w14:paraId="00000009">
      <w:pPr>
        <w:pStyle w:val="BodyText"/>
        <w:bidi w:val="off"/>
        <w:jc w:val="left"/>
        <w:rPr>
          <w:rFonts w:hint="cs"/>
        </w:rPr>
      </w:pPr>
      <w:r>
        <w:rPr>
          <w:rFonts w:hint="cs"/>
          <w:rtl/>
        </w:rPr>
        <w:t xml:space="preserve">تُعاني السوق المحلية في </w:t>
      </w:r>
      <w:r>
        <w:rPr>
          <w:rFonts w:hint="cs"/>
          <w:rtl/>
        </w:rPr>
        <w:t>بل</w:t>
      </w:r>
      <w:r>
        <w:rPr>
          <w:rFonts w:hint="cs"/>
          <w:rtl/>
        </w:rPr>
        <w:t xml:space="preserve">ادنا </w:t>
      </w:r>
      <w:r>
        <w:rPr>
          <w:rFonts w:hint="cs"/>
          <w:rtl/>
        </w:rPr>
        <w:t>الحبيبة ا</w:t>
      </w:r>
      <w:r>
        <w:rPr>
          <w:rFonts w:hint="cs"/>
          <w:rtl/>
        </w:rPr>
        <w:t xml:space="preserve">لجمهورية اليمنية من نقص واضح في توفر آلات التعبئة والتغليف ذات الجودة المناسبة والسعر المنافس، إضافةً إلى الصعوبات المرتبطة باستيراد قطع </w:t>
      </w:r>
      <w:r>
        <w:rPr>
          <w:rFonts w:hint="cs"/>
          <w:rtl/>
        </w:rPr>
        <w:t xml:space="preserve">الغيار </w:t>
      </w:r>
      <w:r>
        <w:rPr>
          <w:rFonts w:hint="cs"/>
          <w:rtl/>
        </w:rPr>
        <w:t>مكلفة</w:t>
      </w:r>
      <w:r>
        <w:rPr>
          <w:rFonts w:hint="cs"/>
          <w:rtl/>
        </w:rPr>
        <w:t xml:space="preserve"> وتكاليف الصيانة.</w:t>
      </w:r>
    </w:p>
    <w:p w14:paraId="0000000A">
      <w:pPr>
        <w:pStyle w:val="BodyText"/>
        <w:bidi w:val="off"/>
        <w:jc w:val="left"/>
        <w:rPr>
          <w:rFonts w:hint="cs"/>
        </w:rPr>
      </w:pPr>
      <w:r>
        <w:rPr>
          <w:rFonts w:hint="cs"/>
          <w:rtl/>
        </w:rPr>
        <w:t>هذا الأمر يؤدي إلى توقفات متكررة في خطوط الإنتاج وتراجع القدرة التنافسية للمصانع الصغيرة والمتوسطة.</w:t>
      </w:r>
    </w:p>
    <w:p w14:paraId="0000000B">
      <w:pPr>
        <w:pStyle w:val="BodyText"/>
        <w:bidi w:val="off"/>
        <w:jc w:val="left"/>
        <w:rPr>
          <w:rFonts w:hint="cs"/>
        </w:rPr>
      </w:pPr>
      <w:r>
        <w:rPr>
          <w:rFonts w:hint="cs"/>
          <w:rtl/>
        </w:rPr>
        <w:t>ومن هذا المنطلق، جاءت فكرة تطوير آلة تعبئة بودرة الملح محليًا، لتكون نموذجًا أوليًا يُمكن تطويره وتعميمه لاحقًا على مواد تعبئة أخرى مثل السكر والدقيق والبهارات.</w:t>
      </w:r>
    </w:p>
    <w:p w14:paraId="0000000C">
      <w:pPr>
        <w:pStyle w:val="BodyText"/>
        <w:bidi w:val="off"/>
        <w:jc w:val="left"/>
        <w:rPr/>
      </w:pPr>
      <w:r>
        <w:rPr>
          <w:rFonts w:hint="cs"/>
          <w:rtl/>
        </w:rPr>
        <w:t>يسعى المشروع إلى سد الفجوة الصناعية</w:t>
      </w:r>
      <w:r>
        <w:rPr>
          <w:rFonts w:hint="cs"/>
          <w:rtl/>
        </w:rPr>
        <w:t xml:space="preserve"> بتكلفة منخفضة وجودة تشغيلية عالية.</w:t>
      </w:r>
    </w:p>
    <w:p w14:paraId="0000000D">
      <w:pPr>
        <w:pStyle w:val="Compact"/>
        <w:numPr>
          <w:ilvl w:val="0"/>
          <w:numId w:val="2"/>
        </w:numPr>
        <w:bidi w:val="off"/>
        <w:rPr/>
      </w:pPr>
      <w:r>
        <w:rPr>
          <w:rtl/>
        </w:rPr>
        <w:t xml:space="preserve">اعتماد اليمن بشكل كبير على استيراد آلات التعبئة </w:t>
      </w:r>
      <w:r>
        <w:rPr>
          <w:rFonts w:hint="cs"/>
          <w:rtl/>
        </w:rPr>
        <w:t>والتغليف</w:t>
      </w:r>
    </w:p>
    <w:p w14:paraId="0000000E">
      <w:pPr>
        <w:pStyle w:val="Compact"/>
        <w:numPr>
          <w:ilvl w:val="0"/>
          <w:numId w:val="2"/>
        </w:numPr>
        <w:bidi w:val="off"/>
        <w:rPr/>
      </w:pPr>
      <w:r>
        <w:rPr>
          <w:rtl/>
        </w:rPr>
        <w:t>ارتفاع تكلفة الاستيراد والصيانة ونفاد قطع الغيار يؤديان إلى توقف خطوط الإنتاج</w:t>
      </w:r>
    </w:p>
    <w:p w14:paraId="0000000F">
      <w:pPr>
        <w:pStyle w:val="Compact"/>
        <w:numPr>
          <w:ilvl w:val="0"/>
          <w:numId w:val="2"/>
        </w:numPr>
        <w:bidi w:val="off"/>
        <w:rPr/>
      </w:pPr>
      <w:r>
        <w:rPr>
          <w:rtl/>
        </w:rPr>
        <w:t>حاجة المصانع المحلية (ملح، سكر، بهارات) لخطوط تعبئة اقتصادية قابلة للصيانة محلياً</w:t>
      </w:r>
      <w:r>
        <w:t>.</w:t>
      </w:r>
    </w:p>
    <w:p w14:paraId="00000010">
      <w:pPr>
        <w:pStyle w:val="Compact"/>
        <w:bidi w:val="off"/>
        <w:ind w:left="720" w:right="0" w:firstLine="0"/>
        <w:rPr/>
      </w:pPr>
    </w:p>
    <w:p w14:paraId="00000011">
      <w:pPr>
        <w:pStyle w:val="Heading2"/>
        <w:bidi w:val="off"/>
        <w:rPr>
          <w:b/>
          <w:bCs/>
        </w:rPr>
      </w:pPr>
      <w:r>
        <w:rPr>
          <w:b/>
          <w:bCs/>
        </w:rPr>
        <w:t xml:space="preserve">2. </w:t>
      </w:r>
      <w:r>
        <w:rPr>
          <w:b/>
          <w:bCs/>
          <w:rtl/>
        </w:rPr>
        <w:t xml:space="preserve">أهداف </w:t>
      </w:r>
      <w:r>
        <w:rPr>
          <w:b/>
          <w:bCs/>
          <w:rtl/>
        </w:rPr>
        <w:t xml:space="preserve">المشروع </w:t>
      </w:r>
    </w:p>
    <w:p w14:paraId="00000012">
      <w:pPr>
        <w:pStyle w:val="Compact"/>
        <w:bidi w:val="off"/>
        <w:ind w:left="720" w:right="0" w:firstLine="0"/>
        <w:rPr/>
      </w:pPr>
      <w:r>
        <w:rPr>
          <w:rFonts w:hint="cs"/>
          <w:rtl/>
        </w:rPr>
        <w:t>الهدف العام:</w:t>
      </w:r>
    </w:p>
    <w:p w14:paraId="00000013">
      <w:pPr>
        <w:pStyle w:val="Compact"/>
        <w:bidi w:val="off"/>
        <w:ind w:left="720" w:right="0" w:firstLine="0"/>
        <w:rPr/>
      </w:pPr>
    </w:p>
    <w:p w14:paraId="00000014">
      <w:pPr>
        <w:pStyle w:val="Compact"/>
        <w:bidi w:val="off"/>
        <w:ind w:left="720" w:right="0" w:firstLine="0"/>
        <w:rPr/>
      </w:pPr>
      <w:r>
        <w:rPr>
          <w:rFonts w:hint="cs"/>
          <w:rtl/>
        </w:rPr>
        <w:t>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p>
    <w:p w14:paraId="00000015">
      <w:pPr>
        <w:pStyle w:val="Compact"/>
        <w:bidi w:val="off"/>
        <w:ind w:left="720" w:right="0" w:firstLine="0"/>
        <w:rPr/>
      </w:pPr>
    </w:p>
    <w:p w14:paraId="00000016">
      <w:pPr>
        <w:pStyle w:val="Compact"/>
        <w:bidi w:val="off"/>
        <w:ind w:left="720" w:right="0" w:firstLine="0"/>
        <w:rPr/>
      </w:pPr>
      <w:r>
        <w:rPr>
          <w:rFonts w:hint="cs"/>
          <w:rtl/>
        </w:rPr>
        <w:t>الأهداف الفنية للمشروع:</w:t>
      </w:r>
    </w:p>
    <w:p w14:paraId="00000017">
      <w:pPr>
        <w:pStyle w:val="Compact"/>
        <w:bidi w:val="off"/>
        <w:ind w:left="720" w:right="0" w:firstLine="0"/>
        <w:rPr/>
      </w:pPr>
    </w:p>
    <w:p w14:paraId="00000018">
      <w:pPr>
        <w:pStyle w:val="Compact"/>
        <w:bidi w:val="off"/>
        <w:ind w:left="720" w:right="0" w:firstLine="0"/>
        <w:rPr/>
      </w:pPr>
      <w:r>
        <w:rPr>
          <w:rFonts w:hint="cs"/>
          <w:rtl/>
        </w:rPr>
        <w:t>تطوير نظام تعبئة بودرة ملح بدقة ±1.5% باستخدام تقنية Auger Filler.</w:t>
      </w:r>
    </w:p>
    <w:p w14:paraId="00000019">
      <w:pPr>
        <w:pStyle w:val="Compact"/>
        <w:bidi w:val="off"/>
        <w:ind w:left="720" w:right="0" w:firstLine="0"/>
        <w:rPr/>
      </w:pPr>
      <w:r>
        <w:rPr>
          <w:rFonts w:hint="cs"/>
          <w:rtl/>
        </w:rPr>
        <w:t>تصميم منظومة تحكم ذكية تعتمد على ESP32 وServo Motor للتحكم في الوزن والدورات.</w:t>
      </w:r>
    </w:p>
    <w:p w14:paraId="0000001A">
      <w:pPr>
        <w:pStyle w:val="Compact"/>
        <w:bidi w:val="off"/>
        <w:ind w:left="720" w:right="0" w:firstLine="0"/>
        <w:rPr/>
      </w:pPr>
      <w:r>
        <w:rPr>
          <w:rFonts w:hint="cs"/>
          <w:rtl/>
        </w:rPr>
        <w:t>تنفيذ نظام لحام وقطع حراري باستخدام مواد تغليف OPP/CPP.</w:t>
      </w:r>
    </w:p>
    <w:p w14:paraId="0000001B">
      <w:pPr>
        <w:pStyle w:val="Compact"/>
        <w:bidi w:val="off"/>
        <w:ind w:left="720" w:right="0" w:firstLine="0"/>
        <w:rPr/>
      </w:pPr>
      <w:r>
        <w:rPr>
          <w:rFonts w:hint="cs"/>
          <w:rtl/>
        </w:rPr>
        <w:t>تقليل استهلاك الطاقة وتحسين الكفاءة التشغيلية بما يتوافق مع بيئة التشغيل المحلية.</w:t>
      </w:r>
    </w:p>
    <w:p w14:paraId="0000001C">
      <w:pPr>
        <w:pStyle w:val="Compact"/>
        <w:bidi w:val="off"/>
        <w:ind w:left="720" w:right="0" w:firstLine="0"/>
        <w:rPr/>
      </w:pPr>
      <w:r>
        <w:rPr>
          <w:rFonts w:hint="cs"/>
          <w:rtl/>
        </w:rPr>
        <w:t>تصميم هيكل ميكانيكي متين من الستانلس ستيل مقاوم للتآكل والظروف البيئية.</w:t>
      </w:r>
    </w:p>
    <w:p w14:paraId="0000001D">
      <w:pPr>
        <w:pStyle w:val="Compact"/>
        <w:bidi w:val="off"/>
        <w:ind w:left="720" w:right="0" w:firstLine="0"/>
        <w:rPr/>
      </w:pPr>
    </w:p>
    <w:p w14:paraId="0000001E">
      <w:pPr>
        <w:pStyle w:val="Compact"/>
        <w:bidi w:val="off"/>
        <w:ind w:left="720" w:right="0" w:firstLine="0"/>
        <w:rPr/>
      </w:pPr>
    </w:p>
    <w:p w14:paraId="0000001F">
      <w:pPr>
        <w:pStyle w:val="Compact"/>
        <w:bidi w:val="off"/>
        <w:ind w:left="720" w:right="0" w:firstLine="0"/>
        <w:rPr/>
      </w:pPr>
      <w:r>
        <w:rPr>
          <w:rFonts w:hint="cs"/>
          <w:rtl/>
        </w:rPr>
        <w:t>الأهداف التفصيلية:</w:t>
      </w:r>
    </w:p>
    <w:p w14:paraId="00000020">
      <w:pPr>
        <w:pStyle w:val="Compact"/>
        <w:bidi w:val="off"/>
        <w:ind w:left="720" w:right="0" w:firstLine="0"/>
        <w:rPr/>
      </w:pPr>
    </w:p>
    <w:p w14:paraId="00000021">
      <w:pPr>
        <w:pStyle w:val="Compact"/>
        <w:bidi w:val="off"/>
        <w:ind w:left="720" w:right="0" w:firstLine="0"/>
        <w:rPr/>
      </w:pPr>
      <w:r>
        <w:rPr>
          <w:rFonts w:hint="cs"/>
          <w:rtl/>
        </w:rPr>
        <w:t>تحقيق قدرة إنتاجية بمعدل 20–30 كيس في الدقيقة.</w:t>
      </w:r>
    </w:p>
    <w:p w14:paraId="00000022">
      <w:pPr>
        <w:pStyle w:val="Compact"/>
        <w:bidi w:val="off"/>
        <w:ind w:left="720" w:right="0" w:firstLine="0"/>
        <w:rPr/>
      </w:pPr>
      <w:r>
        <w:rPr>
          <w:rFonts w:hint="cs"/>
          <w:rtl/>
        </w:rPr>
        <w:t>ضمان دقة الوزن واللحام ضمن الحدود القياسية الصناعية.</w:t>
      </w:r>
    </w:p>
    <w:p w14:paraId="00000023">
      <w:pPr>
        <w:pStyle w:val="Compact"/>
        <w:bidi w:val="off"/>
        <w:ind w:left="720" w:right="0" w:firstLine="0"/>
        <w:rPr/>
      </w:pPr>
      <w:r>
        <w:rPr>
          <w:rFonts w:hint="cs"/>
          <w:rtl/>
        </w:rPr>
        <w:t>تمكين عمليات الصيانة والتجميع داخل الورش المحلية دون الحاجة لمورد خارجي.</w:t>
      </w:r>
    </w:p>
    <w:p w14:paraId="00000024">
      <w:pPr>
        <w:pStyle w:val="Compact"/>
        <w:bidi w:val="off"/>
        <w:ind w:left="720" w:right="0" w:firstLine="0"/>
        <w:rPr/>
      </w:pPr>
      <w:r>
        <w:rPr>
          <w:rFonts w:hint="cs"/>
          <w:rtl/>
        </w:rPr>
        <w:t>إعداد دليل تشغيل وصيانة وتدريب فنيين محليين.</w:t>
      </w:r>
    </w:p>
    <w:p w14:paraId="00000025">
      <w:pPr>
        <w:pStyle w:val="Compact"/>
        <w:bidi w:val="off"/>
        <w:ind w:left="720" w:right="0" w:firstLine="0"/>
        <w:rPr/>
      </w:pPr>
      <w:r>
        <w:rPr>
          <w:rFonts w:hint="cs"/>
          <w:rtl/>
        </w:rPr>
        <w:t>إرساء قاعدة تطوير لاحقة لآلات تغليف مواد غذائية متعددة باستخدام نفس المبدأ.</w:t>
      </w:r>
    </w:p>
    <w:p w14:paraId="00000026">
      <w:pPr>
        <w:pStyle w:val="Heading2"/>
        <w:bidi w:val="on"/>
        <w:rPr/>
      </w:pPr>
      <w:bookmarkEnd w:id="2"/>
      <w:bookmarkStart w:id="3" w:name="نطاق-العمل-scope-of-work"/>
    </w:p>
    <w:p w14:paraId="00000027">
      <w:pPr>
        <w:pStyle w:val="Heading2"/>
        <w:bidi w:val="off"/>
        <w:rPr>
          <w:b/>
          <w:bCs/>
        </w:rPr>
      </w:pPr>
      <w:r>
        <w:rPr>
          <w:b/>
          <w:bCs/>
        </w:rPr>
        <w:t>2</w:t>
      </w:r>
      <w:r>
        <w:rPr>
          <w:b/>
          <w:bCs/>
        </w:rPr>
        <w:t xml:space="preserve">. </w:t>
      </w:r>
      <w:r>
        <w:rPr>
          <w:b/>
          <w:bCs/>
          <w:rtl/>
        </w:rPr>
        <w:t xml:space="preserve">نطاق </w:t>
      </w:r>
      <w:r>
        <w:rPr>
          <w:rFonts w:hint="cs"/>
          <w:b/>
          <w:bCs/>
          <w:rtl/>
        </w:rPr>
        <w:t>العمل</w:t>
      </w:r>
      <w:r>
        <w:rPr>
          <w:b/>
          <w:bCs/>
        </w:rPr>
        <w:t xml:space="preserve"> (Scope of Work)</w:t>
      </w:r>
    </w:p>
    <w:p w14:paraId="00000028">
      <w:pPr>
        <w:pStyle w:val="FirstParagraph"/>
        <w:bidi w:val="on"/>
        <w:jc w:val="both"/>
        <w:rPr/>
      </w:pPr>
      <w:r>
        <w:rPr>
          <w:b/>
          <w:bCs/>
          <w:rtl/>
        </w:rPr>
        <w:t>النتيجة المتوقعة:</w:t>
      </w:r>
      <w:r>
        <w:t xml:space="preserve"> </w:t>
      </w:r>
      <w:r>
        <w:rPr>
          <w:rtl/>
        </w:rPr>
        <w:t xml:space="preserve">نموذج تشغيلي </w:t>
      </w:r>
      <w:r>
        <w:rPr>
          <w:rFonts w:hint="cs"/>
          <w:rtl/>
        </w:rPr>
        <w:t>لآلة</w:t>
      </w:r>
      <w:r>
        <w:t xml:space="preserve"> VFFS – Auger Filler </w:t>
      </w:r>
      <w:r>
        <w:rPr>
          <w:rtl/>
        </w:rPr>
        <w:t>لتعبئة 1,000 غرام ملح في أكياس ظهر لحام مصنوعة من</w:t>
      </w:r>
      <w:r>
        <w:t xml:space="preserve"> OPP/CPP.</w:t>
      </w:r>
    </w:p>
    <w:p w14:paraId="00000029">
      <w:pPr>
        <w:pStyle w:val="Heading3"/>
        <w:bidi w:val="on"/>
        <w:jc w:val="both"/>
        <w:rPr/>
      </w:pPr>
      <w:bookmarkStart w:id="4" w:name="المكونات-والمهام-الرئيسية"/>
      <w:r>
        <w:rPr>
          <w:rtl/>
        </w:rPr>
        <w:t>المكونات والمهام الرئيسية</w:t>
      </w:r>
      <w:r>
        <w:t>:</w:t>
      </w:r>
    </w:p>
    <w:p w14:paraId="0000002A">
      <w:pPr>
        <w:pStyle w:val="Compact"/>
        <w:numPr>
          <w:ilvl w:val="0"/>
          <w:numId w:val="3"/>
        </w:numPr>
        <w:bidi w:val="off"/>
        <w:jc w:val="both"/>
        <w:rPr/>
      </w:pPr>
      <w:r>
        <w:rPr>
          <w:rtl/>
        </w:rPr>
        <w:t>التصميم الهندسي (ميكانيك، كهرباء، تحكم) ورسومات</w:t>
      </w:r>
      <w:r>
        <w:t xml:space="preserve"> SolidWorks/AutoCAD.</w:t>
      </w:r>
      <w:r>
        <w:rPr/>
        <w:br w:type="textWrapping"/>
      </w:r>
    </w:p>
    <w:p w14:paraId="0000002B">
      <w:pPr>
        <w:pStyle w:val="Compact"/>
        <w:numPr>
          <w:ilvl w:val="0"/>
          <w:numId w:val="3"/>
        </w:numPr>
        <w:bidi w:val="off"/>
        <w:jc w:val="both"/>
        <w:rPr/>
      </w:pPr>
      <w:r>
        <w:rPr>
          <w:rtl/>
        </w:rPr>
        <w:t>تصنيع إطار وآليات من الستانلس ستيل</w:t>
      </w:r>
      <w:r>
        <w:t xml:space="preserve"> (SS304/316 </w:t>
      </w:r>
      <w:r>
        <w:rPr>
          <w:rtl/>
        </w:rPr>
        <w:t>للجُزء الملامس</w:t>
      </w:r>
    </w:p>
    <w:p w14:paraId="0000002C">
      <w:pPr>
        <w:pStyle w:val="Compact"/>
        <w:numPr>
          <w:ilvl w:val="0"/>
          <w:numId w:val="3"/>
        </w:numPr>
        <w:bidi w:val="off"/>
        <w:jc w:val="both"/>
        <w:rPr/>
      </w:pPr>
      <w:r>
        <w:rPr>
          <w:rtl/>
        </w:rPr>
        <w:t>خراطة وتصنيع اللولب</w:t>
      </w:r>
      <w:r>
        <w:t xml:space="preserve"> (Auger Screw) </w:t>
      </w:r>
      <w:r>
        <w:rPr>
          <w:rtl/>
        </w:rPr>
        <w:t>والأنابيب المرافقة مع طلاء داخلي مناسب</w:t>
      </w:r>
      <w:r>
        <w:t xml:space="preserve"> (PTFE </w:t>
      </w:r>
      <w:r>
        <w:rPr>
          <w:rtl/>
        </w:rPr>
        <w:t>اختياري</w:t>
      </w:r>
    </w:p>
    <w:p w14:paraId="0000002D">
      <w:pPr>
        <w:pStyle w:val="Compact"/>
        <w:numPr>
          <w:ilvl w:val="0"/>
          <w:numId w:val="3"/>
        </w:numPr>
        <w:bidi w:val="off"/>
        <w:jc w:val="both"/>
        <w:rPr/>
      </w:pPr>
      <w:r>
        <w:rPr>
          <w:rtl/>
        </w:rPr>
        <w:t>نظام التشكيل</w:t>
      </w:r>
      <w:r>
        <w:t xml:space="preserve"> (Forming Tube &amp; Collar) </w:t>
      </w:r>
      <w:r>
        <w:rPr>
          <w:rtl/>
        </w:rPr>
        <w:t>مع</w:t>
      </w:r>
      <w:r>
        <w:t xml:space="preserve"> Back Seal (</w:t>
      </w:r>
      <w:r>
        <w:rPr>
          <w:rtl/>
        </w:rPr>
        <w:t>لحام خلفي) و</w:t>
      </w:r>
      <w:r>
        <w:t xml:space="preserve">Horizontal Sealer </w:t>
      </w:r>
      <w:r>
        <w:rPr>
          <w:rtl/>
        </w:rPr>
        <w:t>و</w:t>
      </w:r>
      <w:r>
        <w:t xml:space="preserve">Cutter (Rotary </w:t>
      </w:r>
      <w:r>
        <w:rPr>
          <w:rtl/>
        </w:rPr>
        <w:t>أو</w:t>
      </w:r>
      <w:r>
        <w:t xml:space="preserve"> Hot Knife).</w:t>
      </w:r>
      <w:r>
        <w:rPr/>
        <w:br w:type="textWrapping"/>
      </w:r>
    </w:p>
    <w:p w14:paraId="0000002E">
      <w:pPr>
        <w:pStyle w:val="Compact"/>
        <w:numPr>
          <w:ilvl w:val="0"/>
          <w:numId w:val="3"/>
        </w:numPr>
        <w:bidi w:val="off"/>
        <w:jc w:val="both"/>
        <w:rPr/>
      </w:pPr>
      <w:r>
        <w:rPr>
          <w:rtl/>
        </w:rPr>
        <w:t>نظام التحكم</w:t>
      </w:r>
      <w:r>
        <w:t xml:space="preserve">: ESP32, Servo Driver, Stepper Driver (Pull Belts), Load Cell + HX711، </w:t>
      </w:r>
      <w:r>
        <w:rPr>
          <w:rtl/>
        </w:rPr>
        <w:t>حسّاسات ضوئية</w:t>
      </w:r>
      <w:r>
        <w:t xml:space="preserve">، SSRs </w:t>
      </w:r>
      <w:r>
        <w:rPr>
          <w:rtl/>
        </w:rPr>
        <w:t>للسخانات</w:t>
      </w:r>
      <w:r>
        <w:t>، HMI</w:t>
      </w:r>
    </w:p>
    <w:p w14:paraId="0000002F">
      <w:pPr>
        <w:pStyle w:val="Compact"/>
        <w:numPr>
          <w:ilvl w:val="0"/>
          <w:numId w:val="3"/>
        </w:numPr>
        <w:bidi w:val="off"/>
        <w:jc w:val="both"/>
        <w:rPr/>
      </w:pPr>
      <w:r>
        <w:rPr>
          <w:rtl/>
        </w:rPr>
        <w:t>نظام إدارة الغبار</w:t>
      </w:r>
      <w:r>
        <w:t xml:space="preserve"> (Dust Hood + Suction) </w:t>
      </w:r>
      <w:r>
        <w:rPr>
          <w:rtl/>
        </w:rPr>
        <w:t>و</w:t>
      </w:r>
      <w:r>
        <w:t xml:space="preserve">Anti-bridging devices </w:t>
      </w:r>
      <w:r>
        <w:rPr>
          <w:rtl/>
        </w:rPr>
        <w:t>داخل الهوبر</w:t>
      </w:r>
    </w:p>
    <w:p w14:paraId="00000030">
      <w:pPr>
        <w:pStyle w:val="Compact"/>
        <w:numPr>
          <w:ilvl w:val="0"/>
          <w:numId w:val="3"/>
        </w:numPr>
        <w:bidi w:val="off"/>
        <w:jc w:val="both"/>
        <w:rPr/>
      </w:pPr>
      <w:r>
        <w:rPr>
          <w:rtl/>
        </w:rPr>
        <w:t>برمجة خوارزميات القيادة</w:t>
      </w:r>
      <w:r>
        <w:t xml:space="preserve">: open-loop </w:t>
      </w:r>
      <w:r>
        <w:rPr>
          <w:rtl/>
        </w:rPr>
        <w:t>و</w:t>
      </w:r>
      <w:r>
        <w:t xml:space="preserve">closed-loop </w:t>
      </w:r>
      <w:r>
        <w:rPr>
          <w:rtl/>
        </w:rPr>
        <w:t>مع معايرة وزنية</w:t>
      </w:r>
    </w:p>
    <w:p w14:paraId="00000031">
      <w:pPr>
        <w:pStyle w:val="Compact"/>
        <w:numPr>
          <w:ilvl w:val="0"/>
          <w:numId w:val="3"/>
        </w:numPr>
        <w:bidi w:val="off"/>
        <w:jc w:val="both"/>
        <w:rPr/>
      </w:pPr>
      <w:r>
        <w:rPr>
          <w:rtl/>
        </w:rPr>
        <w:t>اختبارات أداء ومعايرة</w:t>
      </w:r>
      <w:r>
        <w:t xml:space="preserve"> (Pilot Run 6 </w:t>
      </w:r>
      <w:r>
        <w:rPr>
          <w:rtl/>
        </w:rPr>
        <w:t>ساعات</w:t>
      </w:r>
    </w:p>
    <w:p w14:paraId="00000032">
      <w:pPr>
        <w:pStyle w:val="Compact"/>
        <w:numPr>
          <w:ilvl w:val="0"/>
          <w:numId w:val="3"/>
        </w:numPr>
        <w:bidi w:val="off"/>
        <w:jc w:val="both"/>
        <w:rPr/>
      </w:pPr>
      <w:r>
        <w:rPr>
          <w:rtl/>
        </w:rPr>
        <w:t>توثيق</w:t>
      </w:r>
      <w:r>
        <w:t xml:space="preserve"> (Manuals </w:t>
      </w:r>
      <w:r>
        <w:rPr>
          <w:rtl/>
        </w:rPr>
        <w:t>بالعربية والإنجليزية) وتدريب فنيّين</w:t>
      </w:r>
      <w:r>
        <w:t>.</w:t>
      </w:r>
    </w:p>
    <w:p w14:paraId="00000033">
      <w:pPr>
        <w:pStyle w:val="Heading2"/>
        <w:bidi w:val="off"/>
        <w:rPr/>
      </w:pPr>
      <w:bookmarkEnd w:id="4"/>
      <w:bookmarkEnd w:id="3"/>
      <w:bookmarkStart w:id="5" w:name="المواصفات-الفنية-الأساسية"/>
      <w:r>
        <w:rPr>
          <w:b/>
          <w:bCs/>
        </w:rPr>
        <w:t xml:space="preserve">3. </w:t>
      </w:r>
      <w:r>
        <w:rPr>
          <w:b/>
          <w:bCs/>
          <w:rtl/>
        </w:rPr>
        <w:t>المواصفات الفنية الأساسية</w:t>
      </w:r>
    </w:p>
    <w:p w14:paraId="00000034">
      <w:pPr>
        <w:pStyle w:val="Compact"/>
        <w:numPr>
          <w:ilvl w:val="0"/>
          <w:numId w:val="4"/>
        </w:numPr>
        <w:bidi w:val="off"/>
        <w:rPr/>
      </w:pPr>
      <w:r>
        <w:rPr>
          <w:rtl/>
        </w:rPr>
        <w:t>وزن التعبئة: 1,000 ±1.5% غرام لكل كيس</w:t>
      </w:r>
    </w:p>
    <w:p w14:paraId="00000035">
      <w:pPr>
        <w:pStyle w:val="Compact"/>
        <w:numPr>
          <w:ilvl w:val="0"/>
          <w:numId w:val="4"/>
        </w:numPr>
        <w:bidi w:val="off"/>
        <w:rPr/>
      </w:pPr>
      <w:r>
        <w:rPr>
          <w:rtl/>
        </w:rPr>
        <w:t>معدل الإنتاج المستهدف: 10 كيس/دقيقة</w:t>
      </w:r>
    </w:p>
    <w:p w14:paraId="00000036">
      <w:pPr>
        <w:pStyle w:val="Compact"/>
        <w:numPr>
          <w:ilvl w:val="0"/>
          <w:numId w:val="4"/>
        </w:numPr>
        <w:bidi w:val="off"/>
        <w:rPr/>
      </w:pPr>
      <w:r>
        <w:rPr>
          <w:rtl/>
        </w:rPr>
        <w:t>مادة الكيس</w:t>
      </w:r>
      <w:r>
        <w:t xml:space="preserve">: </w:t>
      </w:r>
      <w:r>
        <w:rPr>
          <w:b/>
          <w:bCs/>
        </w:rPr>
        <w:t>OPP/CPP</w:t>
      </w:r>
      <w:r>
        <w:t xml:space="preserve">، </w:t>
      </w:r>
      <w:r>
        <w:rPr>
          <w:rtl/>
        </w:rPr>
        <w:t>سمك 60–80 ميكرون</w:t>
      </w:r>
      <w:r>
        <w:t>، back-seal pouch (</w:t>
      </w:r>
      <w:r>
        <w:rPr>
          <w:rtl/>
        </w:rPr>
        <w:t>كيس ظهر لحام</w:t>
      </w:r>
    </w:p>
    <w:p w14:paraId="00000037">
      <w:pPr>
        <w:pStyle w:val="Compact"/>
        <w:numPr>
          <w:ilvl w:val="0"/>
          <w:numId w:val="4"/>
        </w:numPr>
        <w:bidi w:val="off"/>
        <w:rPr/>
      </w:pPr>
      <w:r>
        <w:rPr>
          <w:rtl/>
        </w:rPr>
        <w:t>مواد ملامسة المنتج</w:t>
      </w:r>
      <w:r>
        <w:t xml:space="preserve">: Stainless Steel 316 </w:t>
      </w:r>
      <w:r>
        <w:rPr>
          <w:rtl/>
        </w:rPr>
        <w:t>أو 304 مع تشطيب</w:t>
      </w:r>
      <w:r>
        <w:t xml:space="preserve"> Mirror </w:t>
      </w:r>
      <w:r>
        <w:rPr>
          <w:rtl/>
        </w:rPr>
        <w:t>للأجزاء الحرِكية</w:t>
      </w:r>
    </w:p>
    <w:p w14:paraId="00000038">
      <w:pPr>
        <w:pStyle w:val="Compact"/>
        <w:numPr>
          <w:ilvl w:val="0"/>
          <w:numId w:val="4"/>
        </w:numPr>
        <w:bidi w:val="off"/>
        <w:rPr/>
      </w:pPr>
      <w:r>
        <w:rPr>
          <w:rtl/>
        </w:rPr>
        <w:t>مصدر الطاقة</w:t>
      </w:r>
      <w:r>
        <w:t>: 220V AC (</w:t>
      </w:r>
      <w:r>
        <w:rPr>
          <w:rtl/>
        </w:rPr>
        <w:t>قابل للتشغيل على نظام طاقة شمسية صغير بقدرة</w:t>
      </w:r>
      <w:r>
        <w:t xml:space="preserve"> 3–5 kW).</w:t>
      </w:r>
    </w:p>
    <w:p w14:paraId="00000039">
      <w:pPr>
        <w:pStyle w:val="Compact"/>
        <w:numPr>
          <w:ilvl w:val="0"/>
          <w:numId w:val="4"/>
        </w:numPr>
        <w:bidi w:val="off"/>
        <w:rPr/>
      </w:pPr>
      <w:r>
        <w:rPr>
          <w:rtl/>
        </w:rPr>
        <w:t>نظام التحكم</w:t>
      </w:r>
      <w:r>
        <w:t xml:space="preserve">: ESP32 + Servo (400–750W </w:t>
      </w:r>
      <w:r>
        <w:t>) + Load Cell (</w:t>
      </w:r>
      <w:r>
        <w:rPr>
          <w:rtl/>
        </w:rPr>
        <w:t>دقة ملغ</w:t>
      </w:r>
    </w:p>
    <w:p w14:paraId="0000003A">
      <w:pPr>
        <w:pStyle w:val="Compact"/>
        <w:numPr>
          <w:ilvl w:val="0"/>
          <w:numId w:val="4"/>
        </w:numPr>
        <w:bidi w:val="off"/>
        <w:rPr/>
      </w:pPr>
      <w:r>
        <w:rPr>
          <w:rtl/>
        </w:rPr>
        <w:t>استهلاك طاقة تقريبي للآلة: ≤ 2 كيلوواط</w:t>
      </w:r>
      <w:r>
        <w:t>.</w:t>
      </w:r>
    </w:p>
    <w:p w14:paraId="0000003B">
      <w:pPr>
        <w:pStyle w:val="Heading2"/>
        <w:bidi w:val="off"/>
        <w:rPr/>
      </w:pPr>
      <w:bookmarkEnd w:id="5"/>
      <w:bookmarkStart w:id="6" w:name="تفاصيل-تصميم-الهوبر-واللولب-مقتطف-تقني"/>
      <w:r>
        <w:t xml:space="preserve">4. </w:t>
      </w:r>
      <w:r>
        <w:rPr>
          <w:b/>
          <w:bCs/>
          <w:rtl/>
        </w:rPr>
        <w:t>تفاصيل تصميم الهوبر واللولب (مقتطف)</w:t>
      </w:r>
      <w:r>
        <w:rPr>
          <w:rtl/>
        </w:rPr>
        <w:t xml:space="preserve"> </w:t>
      </w:r>
    </w:p>
    <w:p w14:paraId="0000003C">
      <w:pPr>
        <w:pStyle w:val="Compact"/>
        <w:numPr>
          <w:ilvl w:val="0"/>
          <w:numId w:val="5"/>
        </w:numPr>
        <w:bidi w:val="off"/>
        <w:rPr/>
      </w:pPr>
      <w:r>
        <w:rPr>
          <w:rtl/>
        </w:rPr>
        <w:t>سعة الهوبر: 20 كجم</w:t>
      </w:r>
      <w:r>
        <w:t xml:space="preserve"> (Main Hopper) </w:t>
      </w:r>
      <w:r>
        <w:rPr>
          <w:rtl/>
        </w:rPr>
        <w:t>عند تغذية يدوية</w:t>
      </w:r>
    </w:p>
    <w:p w14:paraId="0000003D">
      <w:pPr>
        <w:pStyle w:val="Compact"/>
        <w:numPr>
          <w:ilvl w:val="0"/>
          <w:numId w:val="5"/>
        </w:numPr>
        <w:bidi w:val="off"/>
        <w:rPr/>
      </w:pPr>
      <w:r>
        <w:rPr>
          <w:rtl/>
        </w:rPr>
        <w:t>زاوية انحدار داخلية ≥ 60° لمنع الانسداد، محرك اهتزازي صغير</w:t>
      </w:r>
      <w:r>
        <w:t xml:space="preserve"> (Vibrator) </w:t>
      </w:r>
      <w:r>
        <w:rPr>
          <w:rtl/>
        </w:rPr>
        <w:t>لمنع</w:t>
      </w:r>
      <w:r>
        <w:t xml:space="preserve"> bridging.</w:t>
      </w:r>
    </w:p>
    <w:p w14:paraId="0000003E">
      <w:pPr>
        <w:pStyle w:val="Compact"/>
        <w:numPr>
          <w:ilvl w:val="0"/>
          <w:numId w:val="5"/>
        </w:numPr>
        <w:bidi w:val="off"/>
        <w:rPr/>
      </w:pPr>
      <w:r>
        <w:rPr>
          <w:rtl/>
        </w:rPr>
        <w:t xml:space="preserve">قطر اللولب: 60–80 مم (تقريبي حسب المعايرة </w:t>
      </w:r>
      <w:r>
        <w:rPr>
          <w:rFonts w:hint="cs"/>
          <w:rtl/>
        </w:rPr>
        <w:t xml:space="preserve">التي </w:t>
      </w:r>
      <w:r>
        <w:rPr>
          <w:rFonts w:hint="cs"/>
          <w:rtl/>
        </w:rPr>
        <w:t xml:space="preserve">سنقوم </w:t>
      </w:r>
      <w:r>
        <w:rPr>
          <w:rFonts w:hint="cs"/>
          <w:rtl/>
        </w:rPr>
        <w:t xml:space="preserve">بعملها </w:t>
      </w:r>
      <w:r>
        <w:rPr>
          <w:rFonts w:hint="cs"/>
          <w:rtl/>
        </w:rPr>
        <w:t xml:space="preserve">في </w:t>
      </w:r>
      <w:r>
        <w:rPr>
          <w:rFonts w:hint="cs"/>
          <w:rtl/>
        </w:rPr>
        <w:t>المحاكاة</w:t>
      </w:r>
      <w:r>
        <w:rPr>
          <w:rtl/>
        </w:rPr>
        <w:t>) مع خطوة</w:t>
      </w:r>
      <w:r>
        <w:t xml:space="preserve"> </w:t>
      </w:r>
    </w:p>
    <w:p w14:paraId="0000003F">
      <w:pPr>
        <w:pStyle w:val="Compact"/>
        <w:bidi w:val="off"/>
        <w:ind w:left="720" w:right="0" w:firstLine="0"/>
        <w:rPr/>
      </w:pPr>
      <w:r>
        <w:t xml:space="preserve">(pitch </w:t>
      </w:r>
      <w:r>
        <w:rPr>
          <w:rtl/>
        </w:rPr>
        <w:t>تتناسب للحصول على 70 ~ 100 غرام/دورة (مثال</w:t>
      </w:r>
    </w:p>
    <w:p w14:paraId="00000040">
      <w:pPr>
        <w:pStyle w:val="Compact"/>
        <w:numPr>
          <w:ilvl w:val="0"/>
          <w:numId w:val="5"/>
        </w:numPr>
        <w:bidi w:val="off"/>
        <w:rPr/>
      </w:pPr>
      <w:r>
        <w:rPr>
          <w:rtl/>
        </w:rPr>
        <w:t>فوهة التعبئة مصممة بإمكانية تركيب</w:t>
      </w:r>
      <w:r>
        <w:t xml:space="preserve"> Inserts </w:t>
      </w:r>
      <w:r>
        <w:rPr>
          <w:rtl/>
        </w:rPr>
        <w:t>مختلفة للحد من الرش وتقليل ال</w:t>
      </w:r>
      <w:r>
        <w:t>overspill.</w:t>
      </w:r>
    </w:p>
    <w:p w14:paraId="00000041">
      <w:pPr>
        <w:pStyle w:val="Heading2"/>
        <w:bidi w:val="off"/>
        <w:rPr>
          <w:b/>
          <w:bCs/>
        </w:rPr>
      </w:pPr>
      <w:bookmarkEnd w:id="6"/>
      <w:bookmarkStart w:id="7" w:name="نظام-القياس-والتحكم-dosing-control"/>
      <w:r>
        <w:rPr>
          <w:b/>
          <w:bCs/>
        </w:rPr>
        <w:t xml:space="preserve">5. </w:t>
      </w:r>
      <w:r>
        <w:rPr>
          <w:b/>
          <w:bCs/>
          <w:rtl/>
        </w:rPr>
        <w:t>نظام القياس والتحكم</w:t>
      </w:r>
      <w:r>
        <w:rPr>
          <w:b/>
          <w:bCs/>
        </w:rPr>
        <w:t xml:space="preserve"> (Dosing &amp; Control)</w:t>
      </w:r>
    </w:p>
    <w:p w14:paraId="00000042">
      <w:pPr>
        <w:pStyle w:val="Compact"/>
        <w:numPr>
          <w:ilvl w:val="0"/>
          <w:numId w:val="6"/>
        </w:numPr>
        <w:bidi w:val="off"/>
        <w:rPr/>
      </w:pPr>
      <w:r>
        <w:rPr>
          <w:rtl/>
        </w:rPr>
        <w:t>أسلوب القياس</w:t>
      </w:r>
      <w:r>
        <w:t xml:space="preserve">: </w:t>
      </w:r>
      <w:r>
        <w:rPr>
          <w:b/>
          <w:bCs/>
        </w:rPr>
        <w:t>Auger volumetric with weight feedback (closed-loop)</w:t>
      </w:r>
      <w:r>
        <w:t xml:space="preserve"> </w:t>
      </w:r>
      <w:r>
        <w:t xml:space="preserve">— </w:t>
      </w:r>
      <w:r>
        <w:rPr>
          <w:rtl/>
        </w:rPr>
        <w:t>استخدام</w:t>
      </w:r>
      <w:r>
        <w:t xml:space="preserve"> Load Cell </w:t>
      </w:r>
      <w:r>
        <w:rPr>
          <w:rtl/>
        </w:rPr>
        <w:t>لقراءة وزنية تصحيحية</w:t>
      </w:r>
    </w:p>
    <w:p w14:paraId="00000043">
      <w:pPr>
        <w:pStyle w:val="Compact"/>
        <w:numPr>
          <w:ilvl w:val="0"/>
          <w:numId w:val="6"/>
        </w:numPr>
        <w:bidi w:val="off"/>
        <w:rPr/>
      </w:pPr>
      <w:r>
        <w:rPr>
          <w:rtl/>
        </w:rPr>
        <w:t>التحكم بالدوران</w:t>
      </w:r>
      <w:r>
        <w:t xml:space="preserve">: </w:t>
      </w:r>
      <w:r>
        <w:rPr>
          <w:b/>
          <w:bCs/>
        </w:rPr>
        <w:t>Servo Motor</w:t>
      </w:r>
      <w:r>
        <w:t xml:space="preserve"> </w:t>
      </w:r>
      <w:r>
        <w:rPr>
          <w:rtl/>
        </w:rPr>
        <w:t>مع</w:t>
      </w:r>
      <w:r>
        <w:t xml:space="preserve"> Encoder </w:t>
      </w:r>
      <w:r>
        <w:rPr>
          <w:rtl/>
        </w:rPr>
        <w:t>للتحكم في عدد الدوران والسرعة</w:t>
      </w:r>
    </w:p>
    <w:p w14:paraId="00000044">
      <w:pPr>
        <w:pStyle w:val="Compact"/>
        <w:numPr>
          <w:ilvl w:val="0"/>
          <w:numId w:val="6"/>
        </w:numPr>
        <w:bidi w:val="off"/>
        <w:rPr/>
      </w:pPr>
      <w:r>
        <w:rPr>
          <w:rtl/>
        </w:rPr>
        <w:t>المتحكم المركزي</w:t>
      </w:r>
      <w:r>
        <w:t xml:space="preserve">: </w:t>
      </w:r>
      <w:r>
        <w:rPr>
          <w:b/>
          <w:bCs/>
        </w:rPr>
        <w:t>ESP32</w:t>
      </w:r>
      <w:r>
        <w:t xml:space="preserve"> </w:t>
      </w:r>
      <w:r>
        <w:rPr>
          <w:rFonts w:hint="cs"/>
          <w:rtl/>
        </w:rPr>
        <w:t>سي</w:t>
      </w:r>
      <w:r>
        <w:rPr>
          <w:rtl/>
        </w:rPr>
        <w:t>تم برمجته كـ</w:t>
      </w:r>
      <w:r>
        <w:t xml:space="preserve"> state machine: (idle → form → bottom seal → fill → dwell → top seal → cut → feed next).</w:t>
      </w:r>
      <w:r>
        <w:rPr/>
        <w:br w:type="textWrapping"/>
      </w:r>
    </w:p>
    <w:p w14:paraId="00000045">
      <w:pPr>
        <w:pStyle w:val="Compact"/>
        <w:numPr>
          <w:ilvl w:val="0"/>
          <w:numId w:val="6"/>
        </w:numPr>
        <w:bidi w:val="off"/>
        <w:rPr/>
      </w:pPr>
      <w:r>
        <w:t xml:space="preserve">HMI </w:t>
      </w:r>
      <w:r>
        <w:rPr>
          <w:rtl/>
        </w:rPr>
        <w:t>بسيط لادخال معلمات: الوزن المستهدف، سرعة السيرفو، معاملات التعجيل/التباطؤ، عوامل التصحيح</w:t>
      </w:r>
      <w:r>
        <w:t>.</w:t>
      </w:r>
    </w:p>
    <w:p w14:paraId="00000046">
      <w:pPr>
        <w:pStyle w:val="Heading2"/>
        <w:bidi w:val="off"/>
        <w:rPr>
          <w:b/>
          <w:bCs/>
        </w:rPr>
      </w:pPr>
      <w:bookmarkEnd w:id="7"/>
      <w:bookmarkStart w:id="8" w:name="X36d287587192ef5f0df13eadf6866c6ab720880"/>
      <w:r>
        <w:rPr>
          <w:b/>
          <w:bCs/>
        </w:rPr>
        <w:t xml:space="preserve">6. </w:t>
      </w:r>
      <w:r>
        <w:rPr>
          <w:b/>
          <w:bCs/>
          <w:rtl/>
        </w:rPr>
        <w:t>نظام التشكيل واللحام</w:t>
      </w:r>
      <w:r>
        <w:rPr>
          <w:b/>
          <w:bCs/>
        </w:rPr>
        <w:t xml:space="preserve"> (Forming – Sealing – Cutting)</w:t>
      </w:r>
    </w:p>
    <w:p w14:paraId="00000047">
      <w:pPr>
        <w:pStyle w:val="Compact"/>
        <w:numPr>
          <w:ilvl w:val="0"/>
          <w:numId w:val="7"/>
        </w:numPr>
        <w:bidi w:val="off"/>
        <w:rPr/>
      </w:pPr>
      <w:r>
        <w:t>Film Roll (OPP/CPP) mounted on unwinding shaft with dancer arm for tension control.</w:t>
      </w:r>
    </w:p>
    <w:p w14:paraId="00000048">
      <w:pPr>
        <w:pStyle w:val="Compact"/>
        <w:numPr>
          <w:ilvl w:val="0"/>
          <w:numId w:val="7"/>
        </w:numPr>
        <w:bidi w:val="off"/>
        <w:rPr/>
      </w:pPr>
      <w:r>
        <w:t>Forming Collar + Forming Tube to shape back-seal pouch.</w:t>
      </w:r>
    </w:p>
    <w:p w14:paraId="00000049">
      <w:pPr>
        <w:pStyle w:val="Compact"/>
        <w:numPr>
          <w:ilvl w:val="0"/>
          <w:numId w:val="7"/>
        </w:numPr>
        <w:bidi w:val="off"/>
        <w:rPr/>
      </w:pPr>
      <w:r>
        <w:t>Vertical Back-Seal jaws: heat-seal with temperature PID controllers.</w:t>
      </w:r>
    </w:p>
    <w:p w14:paraId="0000004A">
      <w:pPr>
        <w:pStyle w:val="Compact"/>
        <w:numPr>
          <w:ilvl w:val="0"/>
          <w:numId w:val="7"/>
        </w:numPr>
        <w:bidi w:val="off"/>
        <w:rPr/>
      </w:pPr>
      <w:r>
        <w:t>Horizontal Sealing jaws: heat-seal with dwell time adjustable.</w:t>
      </w:r>
    </w:p>
    <w:p w14:paraId="0000004B">
      <w:pPr>
        <w:pStyle w:val="Compact"/>
        <w:numPr>
          <w:ilvl w:val="0"/>
          <w:numId w:val="7"/>
        </w:numPr>
        <w:bidi w:val="off"/>
        <w:rPr/>
      </w:pPr>
      <w:r>
        <w:t>Cutter: Rotary Knife recommended (</w:t>
      </w:r>
      <w:r>
        <w:rPr>
          <w:rtl/>
        </w:rPr>
        <w:t>نظراً لاستهداف سرعة متوسطة 10–20 كيس/دقيقة</w:t>
      </w:r>
    </w:p>
    <w:p w14:paraId="0000004C">
      <w:pPr>
        <w:pStyle w:val="Compact"/>
        <w:numPr>
          <w:ilvl w:val="0"/>
          <w:numId w:val="7"/>
        </w:numPr>
        <w:bidi w:val="off"/>
        <w:rPr/>
      </w:pPr>
      <w:r>
        <w:t xml:space="preserve">PID settings: Back Seal 160–170°C, Horizontal Seal 170–185°C ( </w:t>
      </w:r>
      <w:r>
        <w:rPr>
          <w:rtl/>
        </w:rPr>
        <w:t xml:space="preserve">قيم </w:t>
      </w:r>
      <w:r>
        <w:rPr>
          <w:rFonts w:hint="cs"/>
          <w:rtl/>
        </w:rPr>
        <w:t xml:space="preserve">مبدئية </w:t>
      </w:r>
      <w:r>
        <w:rPr>
          <w:rFonts w:hint="cs"/>
          <w:rtl/>
        </w:rPr>
        <w:t xml:space="preserve">بناء </w:t>
      </w:r>
      <w:r>
        <w:rPr>
          <w:rFonts w:hint="cs"/>
          <w:rtl/>
        </w:rPr>
        <w:t xml:space="preserve">علا </w:t>
      </w:r>
      <w:r>
        <w:rPr>
          <w:rFonts w:hint="cs"/>
          <w:rtl/>
        </w:rPr>
        <w:t xml:space="preserve">ما </w:t>
      </w:r>
      <w:r>
        <w:rPr>
          <w:rFonts w:hint="cs"/>
          <w:rtl/>
        </w:rPr>
        <w:t xml:space="preserve">تم </w:t>
      </w:r>
      <w:r>
        <w:rPr>
          <w:rFonts w:hint="cs"/>
          <w:rtl/>
        </w:rPr>
        <w:t xml:space="preserve">البحث </w:t>
      </w:r>
      <w:r>
        <w:rPr>
          <w:rFonts w:hint="cs"/>
          <w:rtl/>
        </w:rPr>
        <w:t xml:space="preserve">عليه </w:t>
      </w:r>
      <w:r>
        <w:rPr>
          <w:rFonts w:hint="cs"/>
          <w:rtl/>
        </w:rPr>
        <w:t>و</w:t>
      </w:r>
      <w:r>
        <w:rPr>
          <w:rFonts w:hint="default"/>
          <w:rtl/>
        </w:rPr>
        <w:t>..</w:t>
      </w:r>
      <w:r>
        <w:t>).</w:t>
      </w:r>
    </w:p>
    <w:p w14:paraId="0000004D">
      <w:pPr>
        <w:pStyle w:val="Heading2"/>
        <w:bidi w:val="off"/>
        <w:rPr>
          <w:b/>
          <w:bCs/>
        </w:rPr>
      </w:pPr>
      <w:bookmarkEnd w:id="8"/>
      <w:bookmarkStart w:id="9" w:name="التوافق-مع-المتطلبات-البيئية-والطاقة"/>
      <w:r>
        <w:rPr>
          <w:b/>
          <w:bCs/>
        </w:rPr>
        <w:t xml:space="preserve">7. </w:t>
      </w:r>
      <w:r>
        <w:rPr>
          <w:b/>
          <w:bCs/>
          <w:rtl/>
        </w:rPr>
        <w:t>التوافق مع المتطلبات البيئية والطاقة</w:t>
      </w:r>
    </w:p>
    <w:p w14:paraId="0000004E">
      <w:pPr>
        <w:pStyle w:val="Compact"/>
        <w:numPr>
          <w:ilvl w:val="0"/>
          <w:numId w:val="8"/>
        </w:numPr>
        <w:bidi w:val="off"/>
        <w:rPr/>
      </w:pPr>
      <w:r>
        <w:rPr>
          <w:rtl/>
        </w:rPr>
        <w:t>استهلاك منخفض للطاقة</w:t>
      </w:r>
      <w:r>
        <w:t xml:space="preserve"> (≤ 2 kW) </w:t>
      </w:r>
      <w:r>
        <w:rPr>
          <w:rtl/>
        </w:rPr>
        <w:t>ويُمكن دمجه مع نظام طاقة شمسية لبيئات ذات كهرباء غير مستقرة</w:t>
      </w:r>
    </w:p>
    <w:p w14:paraId="0000004F">
      <w:pPr>
        <w:pStyle w:val="Compact"/>
        <w:numPr>
          <w:ilvl w:val="0"/>
          <w:numId w:val="8"/>
        </w:numPr>
        <w:bidi w:val="off"/>
        <w:rPr/>
      </w:pPr>
      <w:r>
        <w:t>Dust control measures to reduce airborne salt particles (local hood + filter)👀.</w:t>
      </w:r>
    </w:p>
    <w:p w14:paraId="00000050">
      <w:pPr>
        <w:pStyle w:val="Heading2"/>
        <w:bidi w:val="off"/>
        <w:rPr>
          <w:b/>
          <w:bCs/>
        </w:rPr>
      </w:pPr>
      <w:bookmarkEnd w:id="9"/>
      <w:bookmarkStart w:id="10" w:name="الخطة-الزمنية-المقترحة"/>
      <w:r>
        <w:rPr>
          <w:b/>
          <w:bCs/>
        </w:rPr>
        <w:t xml:space="preserve">8. </w:t>
      </w:r>
      <w:r>
        <w:rPr>
          <w:b/>
          <w:bCs/>
          <w:rtl/>
        </w:rPr>
        <w:t>الخطة الزمنية المقترحة</w:t>
      </w:r>
    </w:p>
    <w:p w14:paraId="00000051">
      <w:pPr>
        <w:pStyle w:val="Compact"/>
        <w:numPr>
          <w:ilvl w:val="0"/>
          <w:numId w:val="9"/>
        </w:numPr>
        <w:bidi w:val="off"/>
        <w:rPr/>
      </w:pPr>
      <w:r>
        <w:rPr>
          <w:rtl/>
        </w:rPr>
        <w:t>التصميم الهندسي: 5 أسابيع</w:t>
      </w:r>
    </w:p>
    <w:p w14:paraId="00000052">
      <w:pPr>
        <w:pStyle w:val="Compact"/>
        <w:numPr>
          <w:ilvl w:val="0"/>
          <w:numId w:val="9"/>
        </w:numPr>
        <w:bidi w:val="off"/>
        <w:rPr/>
      </w:pPr>
      <w:r>
        <w:rPr>
          <w:rtl/>
        </w:rPr>
        <w:t>التركيب والكهربة: 2 أسابيع</w:t>
      </w:r>
    </w:p>
    <w:p w14:paraId="00000053">
      <w:pPr>
        <w:pStyle w:val="Compact"/>
        <w:numPr>
          <w:ilvl w:val="0"/>
          <w:numId w:val="9"/>
        </w:numPr>
        <w:bidi w:val="off"/>
        <w:rPr/>
      </w:pPr>
      <w:r>
        <w:rPr>
          <w:rtl/>
        </w:rPr>
        <w:t>البرمجة والمعايرة: 4 أسابيع</w:t>
      </w:r>
    </w:p>
    <w:p w14:paraId="00000054">
      <w:pPr>
        <w:pStyle w:val="Compact"/>
        <w:numPr>
          <w:ilvl w:val="0"/>
          <w:numId w:val="9"/>
        </w:numPr>
        <w:bidi w:val="off"/>
        <w:rPr/>
      </w:pPr>
      <w:r>
        <w:rPr>
          <w:rtl/>
        </w:rPr>
        <w:t xml:space="preserve">التشغيل التجريبي والتدريب: 1 </w:t>
      </w:r>
      <w:r>
        <w:rPr>
          <w:rFonts w:hint="cs"/>
          <w:rtl/>
        </w:rPr>
        <w:t>أسبوع</w:t>
      </w:r>
    </w:p>
    <w:p w14:paraId="00000055">
      <w:pPr>
        <w:pStyle w:val="Compact"/>
        <w:numPr>
          <w:ilvl w:val="0"/>
          <w:numId w:val="9"/>
        </w:numPr>
        <w:bidi w:val="off"/>
        <w:rPr/>
      </w:pPr>
      <w:r>
        <w:rPr>
          <w:b/>
          <w:bCs/>
          <w:rtl/>
        </w:rPr>
        <w:t>الإجمال</w:t>
      </w:r>
      <w:r>
        <w:rPr>
          <w:rFonts w:hint="cs"/>
          <w:b/>
          <w:bCs/>
          <w:rtl/>
        </w:rPr>
        <w:t xml:space="preserve">ي </w:t>
      </w:r>
      <w:r>
        <w:rPr>
          <w:rFonts w:hint="default"/>
          <w:b/>
          <w:bCs/>
          <w:rtl/>
        </w:rPr>
        <w:t xml:space="preserve">= 12 </w:t>
      </w:r>
      <w:r>
        <w:rPr>
          <w:rFonts w:hint="cs"/>
          <w:b/>
          <w:bCs/>
          <w:rtl/>
        </w:rPr>
        <w:t xml:space="preserve">أسبوع </w:t>
      </w:r>
      <w:r>
        <w:rPr>
          <w:rFonts w:hint="default"/>
          <w:b/>
          <w:bCs/>
          <w:rtl/>
        </w:rPr>
        <w:t xml:space="preserve">(≈3 </w:t>
      </w:r>
      <w:r>
        <w:rPr>
          <w:rFonts w:hint="cs"/>
          <w:b/>
          <w:bCs/>
          <w:rtl/>
        </w:rPr>
        <w:t>أشهور</w:t>
      </w:r>
      <w:r>
        <w:rPr>
          <w:rFonts w:hint="default"/>
          <w:b/>
          <w:bCs/>
          <w:rtl/>
        </w:rPr>
        <w:t xml:space="preserve">) </w:t>
      </w:r>
    </w:p>
    <w:p w14:paraId="00000056">
      <w:pPr>
        <w:pStyle w:val="Heading2"/>
        <w:bidi w:val="off"/>
        <w:rPr>
          <w:b/>
          <w:bCs/>
        </w:rPr>
      </w:pPr>
      <w:bookmarkEnd w:id="10"/>
      <w:bookmarkStart w:id="11" w:name="التكلفة-التقديرية"/>
      <w:r>
        <w:rPr>
          <w:b/>
          <w:bCs/>
        </w:rPr>
        <w:t xml:space="preserve">9. </w:t>
      </w:r>
      <w:r>
        <w:rPr>
          <w:b/>
          <w:bCs/>
          <w:rtl/>
        </w:rPr>
        <w:t>التكلفة التقديرية</w:t>
      </w:r>
    </w:p>
    <w:p w14:paraId="00000057">
      <w:pPr>
        <w:pStyle w:val="Compact"/>
        <w:numPr>
          <w:ilvl w:val="0"/>
          <w:numId w:val="10"/>
        </w:numPr>
        <w:bidi w:val="off"/>
        <w:rPr/>
      </w:pPr>
      <w:r>
        <w:rPr>
          <w:rtl/>
        </w:rPr>
        <w:t xml:space="preserve">تكلفة </w:t>
      </w:r>
      <w:r>
        <w:rPr>
          <w:rFonts w:hint="cs"/>
          <w:rtl/>
        </w:rPr>
        <w:t>إجمالية</w:t>
      </w:r>
      <w:r>
        <w:rPr>
          <w:rtl/>
        </w:rPr>
        <w:t xml:space="preserve"> مق</w:t>
      </w:r>
      <w:r>
        <w:rPr>
          <w:rFonts w:hint="cs"/>
          <w:rtl/>
        </w:rPr>
        <w:t>د</w:t>
      </w:r>
      <w:r>
        <w:rPr>
          <w:rtl/>
        </w:rPr>
        <w:t>رة</w:t>
      </w:r>
      <w:r>
        <w:t xml:space="preserve">: </w:t>
      </w:r>
      <w:r>
        <w:rPr>
          <w:b/>
          <w:bCs/>
          <w:rtl/>
        </w:rPr>
        <w:t>≈ 2000 دولار أمريكي</w:t>
      </w:r>
      <w:r>
        <w:t xml:space="preserve"> </w:t>
      </w:r>
      <w:r>
        <w:t>(</w:t>
      </w:r>
    </w:p>
    <w:p w14:paraId="00000058">
      <w:pPr>
        <w:pStyle w:val="Compact"/>
        <w:bidi w:val="off"/>
        <w:ind w:left="720" w:right="0" w:firstLine="0"/>
        <w:rPr>
          <w:rtl/>
        </w:rPr>
      </w:pPr>
      <w:r>
        <w:rPr>
          <w:rtl/>
        </w:rPr>
        <w:t xml:space="preserve">تفصيل </w:t>
      </w:r>
      <w:r>
        <w:rPr>
          <w:rFonts w:hint="cs"/>
          <w:rtl/>
        </w:rPr>
        <w:t xml:space="preserve">مبدئي </w:t>
      </w:r>
      <w:r>
        <w:rPr>
          <w:rtl/>
        </w:rPr>
        <w:t xml:space="preserve">: </w:t>
      </w:r>
    </w:p>
    <w:p w14:paraId="00000059">
      <w:pPr>
        <w:pStyle w:val="Compact"/>
        <w:bidi w:val="off"/>
        <w:ind w:left="720" w:right="0" w:firstLine="0"/>
        <w:rPr>
          <w:rtl/>
        </w:rPr>
      </w:pPr>
      <w:r>
        <w:rPr>
          <w:rtl/>
        </w:rPr>
        <w:t xml:space="preserve"> المكونات الميكانيكية $1,200</w:t>
      </w:r>
    </w:p>
    <w:p w14:paraId="0000005A">
      <w:pPr>
        <w:pStyle w:val="Compact"/>
        <w:bidi w:val="off"/>
        <w:ind w:left="720" w:right="0" w:firstLine="0"/>
        <w:rPr>
          <w:rtl/>
        </w:rPr>
      </w:pPr>
      <w:r>
        <w:rPr>
          <w:rtl/>
        </w:rPr>
        <w:t xml:space="preserve"> كهرباء وإلكترونيات $700</w:t>
      </w:r>
    </w:p>
    <w:p w14:paraId="0000005B">
      <w:pPr>
        <w:pStyle w:val="Compact"/>
        <w:bidi w:val="off"/>
        <w:ind w:left="720" w:right="0" w:firstLine="0"/>
        <w:rPr/>
      </w:pPr>
      <w:r>
        <w:rPr>
          <w:rtl/>
        </w:rPr>
        <w:t xml:space="preserve"> تجميع واختبار $100</w:t>
      </w:r>
      <w:r>
        <w:t xml:space="preserve">). </w:t>
      </w:r>
    </w:p>
    <w:p w14:paraId="0000005C">
      <w:pPr>
        <w:pStyle w:val="Compact"/>
        <w:bidi w:val="off"/>
        <w:ind w:left="720" w:right="0" w:firstLine="0"/>
        <w:rPr/>
      </w:pPr>
    </w:p>
    <w:p w14:paraId="0000005D">
      <w:pPr>
        <w:pStyle w:val="Heading2"/>
        <w:bidi w:val="off"/>
        <w:rPr>
          <w:b/>
          <w:bCs/>
        </w:rPr>
      </w:pPr>
      <w:bookmarkEnd w:id="11"/>
      <w:bookmarkStart w:id="12" w:name="مخرجات-التوثيق-والتدريب"/>
      <w:r>
        <w:rPr>
          <w:b/>
          <w:bCs/>
        </w:rPr>
        <w:t xml:space="preserve">10. </w:t>
      </w:r>
      <w:r>
        <w:rPr>
          <w:b/>
          <w:bCs/>
          <w:rtl/>
        </w:rPr>
        <w:t>مخرجات التوثيق والتدريب</w:t>
      </w:r>
    </w:p>
    <w:p w14:paraId="0000005E">
      <w:pPr>
        <w:pStyle w:val="Compact"/>
        <w:numPr>
          <w:ilvl w:val="0"/>
          <w:numId w:val="11"/>
        </w:numPr>
        <w:bidi w:val="off"/>
        <w:rPr/>
      </w:pPr>
      <w:r>
        <w:rPr>
          <w:rtl/>
        </w:rPr>
        <w:t>ملفات</w:t>
      </w:r>
      <w:r>
        <w:t xml:space="preserve"> CAD </w:t>
      </w:r>
      <w:r>
        <w:rPr>
          <w:rtl/>
        </w:rPr>
        <w:t>ورسومات تفصيلية</w:t>
      </w:r>
    </w:p>
    <w:p w14:paraId="0000005F">
      <w:pPr>
        <w:pStyle w:val="Compact"/>
        <w:numPr>
          <w:ilvl w:val="0"/>
          <w:numId w:val="11"/>
        </w:numPr>
        <w:bidi w:val="off"/>
        <w:rPr/>
      </w:pPr>
      <w:r>
        <w:rPr>
          <w:rtl/>
        </w:rPr>
        <w:t>مخططات كهربائية ووصلات</w:t>
      </w:r>
      <w:r>
        <w:t xml:space="preserve"> ESP32.</w:t>
      </w:r>
    </w:p>
    <w:p w14:paraId="00000060">
      <w:pPr>
        <w:pStyle w:val="Compact"/>
        <w:numPr>
          <w:ilvl w:val="0"/>
          <w:numId w:val="11"/>
        </w:numPr>
        <w:bidi w:val="off"/>
        <w:rPr/>
      </w:pPr>
      <w:r>
        <w:rPr>
          <w:rtl/>
        </w:rPr>
        <w:t xml:space="preserve">كود برمجي </w:t>
      </w:r>
      <w:r>
        <w:rPr>
          <w:rFonts w:hint="cs"/>
          <w:rtl/>
        </w:rPr>
        <w:t>م</w:t>
      </w:r>
      <w:r>
        <w:rPr>
          <w:rtl/>
        </w:rPr>
        <w:t>شروح بالإنجليزية والعربية</w:t>
      </w:r>
    </w:p>
    <w:p w14:paraId="00000061">
      <w:pPr>
        <w:pStyle w:val="Compact"/>
        <w:numPr>
          <w:ilvl w:val="0"/>
          <w:numId w:val="11"/>
        </w:numPr>
        <w:bidi w:val="off"/>
        <w:rPr/>
      </w:pPr>
      <w:r>
        <w:t xml:space="preserve">Manual </w:t>
      </w:r>
      <w:r>
        <w:rPr>
          <w:rtl/>
        </w:rPr>
        <w:t>للتشغيل والصيانة</w:t>
      </w:r>
      <w:r>
        <w:t xml:space="preserve"> (EN/AR).</w:t>
      </w:r>
    </w:p>
    <w:p w14:paraId="00000062">
      <w:pPr>
        <w:pStyle w:val="Compact"/>
        <w:numPr>
          <w:ilvl w:val="0"/>
          <w:numId w:val="11"/>
        </w:numPr>
        <w:bidi w:val="off"/>
        <w:rPr/>
      </w:pPr>
      <w:r>
        <w:rPr>
          <w:rFonts w:hint="cs"/>
          <w:rtl/>
        </w:rPr>
        <w:t xml:space="preserve">التقرير </w:t>
      </w:r>
      <w:r>
        <w:rPr>
          <w:rFonts w:hint="cs"/>
          <w:rtl/>
        </w:rPr>
        <w:t xml:space="preserve">النهائي </w:t>
      </w:r>
      <w:r>
        <w:rPr>
          <w:rFonts w:hint="cs"/>
          <w:rtl/>
        </w:rPr>
        <w:t>للمشروع</w:t>
      </w:r>
    </w:p>
    <w:p w14:paraId="00000063">
      <w:pPr>
        <w:pStyle w:val="Compact"/>
        <w:bidi w:val="off"/>
        <w:ind w:left="720" w:right="0" w:firstLine="0"/>
        <w:rPr/>
      </w:pPr>
    </w:p>
    <w:p w14:paraId="00000064">
      <w:pPr>
        <w:pStyle w:val="Heading2"/>
        <w:bidi w:val="off"/>
        <w:rPr>
          <w:b/>
          <w:bCs/>
        </w:rPr>
      </w:pPr>
      <w:bookmarkEnd w:id="12"/>
      <w:bookmarkStart w:id="13" w:name="معايير-القبول-acceptance-criteria"/>
      <w:r>
        <w:rPr>
          <w:b/>
          <w:bCs/>
        </w:rPr>
        <w:t xml:space="preserve">11. </w:t>
      </w:r>
      <w:r>
        <w:rPr>
          <w:b/>
          <w:bCs/>
          <w:rtl/>
        </w:rPr>
        <w:t>معايير القبول</w:t>
      </w:r>
      <w:r>
        <w:rPr>
          <w:b/>
          <w:bCs/>
        </w:rPr>
        <w:t xml:space="preserve"> (Acceptance Criteria)</w:t>
      </w:r>
    </w:p>
    <w:p w14:paraId="00000065">
      <w:pPr>
        <w:pStyle w:val="Compact"/>
        <w:numPr>
          <w:ilvl w:val="0"/>
          <w:numId w:val="12"/>
        </w:numPr>
        <w:bidi w:val="off"/>
        <w:rPr/>
      </w:pPr>
      <w:r>
        <w:rPr>
          <w:rtl/>
        </w:rPr>
        <w:t>الآلة تعمل بمعدل لا يقل عن 10 كيس/دقيقة لوزن 1,000 غرام</w:t>
      </w:r>
    </w:p>
    <w:p w14:paraId="00000066">
      <w:pPr>
        <w:pStyle w:val="Compact"/>
        <w:numPr>
          <w:ilvl w:val="0"/>
          <w:numId w:val="12"/>
        </w:numPr>
        <w:bidi w:val="off"/>
        <w:rPr/>
      </w:pPr>
      <w:r>
        <w:rPr>
          <w:rtl/>
        </w:rPr>
        <w:t>جميع الأجزاء الملامسة للمنتج من الستانلس ستيل أو مواد معتمدة مقاومة للملوحة</w:t>
      </w:r>
    </w:p>
    <w:p w14:paraId="00000067">
      <w:pPr>
        <w:pStyle w:val="Compact"/>
        <w:numPr>
          <w:ilvl w:val="0"/>
          <w:numId w:val="12"/>
        </w:numPr>
        <w:bidi w:val="off"/>
        <w:rPr/>
      </w:pPr>
      <w:r>
        <w:rPr>
          <w:rtl/>
        </w:rPr>
        <w:t>اللحامات تحقق مقاومة قِص لا تقل عن معيار محدد</w:t>
      </w:r>
      <w:r>
        <w:t xml:space="preserve"> (Bursted/Peel test passes threshold).</w:t>
      </w:r>
      <w:r>
        <w:rPr/>
        <w:br w:type="textWrapping"/>
      </w:r>
    </w:p>
    <w:p w14:paraId="00000068">
      <w:pPr>
        <w:pStyle w:val="Compact"/>
        <w:numPr>
          <w:ilvl w:val="0"/>
          <w:numId w:val="12"/>
        </w:numPr>
        <w:bidi w:val="off"/>
        <w:rPr/>
      </w:pPr>
      <w:r>
        <w:rPr>
          <w:rtl/>
        </w:rPr>
        <w:t>نظام التحكم يعمل باستقرار لمدة تشغيل تجريبي 6 ساعات متواصلة بدون أعطال حرجة</w:t>
      </w:r>
    </w:p>
    <w:p w14:paraId="00000069">
      <w:pPr>
        <w:pStyle w:val="Compact"/>
        <w:numPr>
          <w:ilvl w:val="0"/>
          <w:numId w:val="12"/>
        </w:numPr>
        <w:bidi w:val="off"/>
        <w:rPr/>
      </w:pPr>
      <w:r>
        <w:rPr>
          <w:rFonts w:hint="cs"/>
          <w:rtl/>
        </w:rPr>
        <w:t>توفر</w:t>
      </w:r>
      <w:r>
        <w:rPr>
          <w:rtl/>
        </w:rPr>
        <w:t xml:space="preserve"> دليل تشغيل وصيانة </w:t>
      </w:r>
      <w:r>
        <w:rPr>
          <w:rFonts w:hint="cs"/>
          <w:rtl/>
        </w:rPr>
        <w:t>باللغة</w:t>
      </w:r>
      <w:r>
        <w:rPr>
          <w:rFonts w:hint="cs"/>
          <w:rtl/>
        </w:rPr>
        <w:t xml:space="preserve"> ا</w:t>
      </w:r>
      <w:r>
        <w:rPr>
          <w:rtl/>
        </w:rPr>
        <w:t xml:space="preserve">لعربية والإنجليزية. </w:t>
      </w:r>
    </w:p>
    <w:p w14:paraId="0000006A">
      <w:pPr>
        <w:pStyle w:val="Heading2"/>
        <w:bidi w:val="off"/>
        <w:rPr>
          <w:b/>
          <w:bCs/>
        </w:rPr>
      </w:pPr>
      <w:bookmarkEnd w:id="13"/>
      <w:bookmarkStart w:id="14" w:name="المخاطر-وخطة-التخفيف"/>
      <w:r>
        <w:rPr>
          <w:b/>
          <w:bCs/>
        </w:rPr>
        <w:t xml:space="preserve">12. </w:t>
      </w:r>
      <w:r>
        <w:rPr>
          <w:b/>
          <w:bCs/>
          <w:rtl/>
        </w:rPr>
        <w:t>المخاطر وخطة التخفيف</w:t>
      </w:r>
    </w:p>
    <w:p w14:paraId="0000006B">
      <w:pPr>
        <w:pStyle w:val="Compact"/>
        <w:numPr>
          <w:ilvl w:val="0"/>
          <w:numId w:val="13"/>
        </w:numPr>
        <w:bidi w:val="off"/>
        <w:rPr/>
      </w:pPr>
      <w:r>
        <w:rPr>
          <w:b/>
          <w:bCs/>
          <w:rtl/>
        </w:rPr>
        <w:t>تأخر توريد أجزاء إلكترونية</w:t>
      </w:r>
      <w:r>
        <w:t xml:space="preserve">: </w:t>
      </w:r>
      <w:r>
        <w:rPr>
          <w:rtl/>
        </w:rPr>
        <w:t>توفير قائمة بدائل وموردين محليين/إقليميين</w:t>
      </w:r>
    </w:p>
    <w:p w14:paraId="0000006C">
      <w:pPr>
        <w:pStyle w:val="Compact"/>
        <w:numPr>
          <w:ilvl w:val="0"/>
          <w:numId w:val="13"/>
        </w:numPr>
        <w:bidi w:val="off"/>
        <w:rPr/>
      </w:pPr>
      <w:r>
        <w:rPr>
          <w:b/>
          <w:bCs/>
          <w:rtl/>
        </w:rPr>
        <w:t>تغيرات خواص الملح (رطوبة/كتلة)</w:t>
      </w:r>
      <w:r>
        <w:t xml:space="preserve">: </w:t>
      </w:r>
      <w:r>
        <w:rPr>
          <w:rtl/>
        </w:rPr>
        <w:t xml:space="preserve">تضمين نظام تدفئة خفيف داخل </w:t>
      </w:r>
      <w:r>
        <w:rPr>
          <w:rFonts w:hint="cs"/>
          <w:rtl/>
        </w:rPr>
        <w:t xml:space="preserve">الهوبر </w:t>
      </w:r>
      <w:r>
        <w:rPr>
          <w:rFonts w:hint="cs"/>
          <w:rtl/>
        </w:rPr>
        <w:t xml:space="preserve">إن </w:t>
      </w:r>
      <w:r>
        <w:rPr>
          <w:rFonts w:hint="cs"/>
          <w:rtl/>
        </w:rPr>
        <w:t>أمكن</w:t>
      </w:r>
      <w:r>
        <w:rPr>
          <w:rtl/>
        </w:rPr>
        <w:t xml:space="preserve"> ونظام</w:t>
      </w:r>
      <w:r>
        <w:t xml:space="preserve"> Closed-loop </w:t>
      </w:r>
      <w:r>
        <w:rPr>
          <w:rtl/>
        </w:rPr>
        <w:t>مع</w:t>
      </w:r>
      <w:r>
        <w:t xml:space="preserve"> Load Cell.</w:t>
      </w:r>
    </w:p>
    <w:p w14:paraId="0000006D">
      <w:pPr>
        <w:pStyle w:val="Compact"/>
        <w:numPr>
          <w:ilvl w:val="0"/>
          <w:numId w:val="13"/>
        </w:numPr>
        <w:bidi w:val="off"/>
        <w:rPr/>
      </w:pPr>
      <w:r>
        <w:rPr>
          <w:rFonts w:hint="cs"/>
          <w:rtl/>
        </w:rPr>
        <w:t>أخطاء برمجة / تحكم</w:t>
      </w:r>
      <w:r>
        <w:rPr>
          <w:rFonts w:hint="default"/>
          <w:rtl/>
        </w:rPr>
        <w:t xml:space="preserve">: </w:t>
      </w:r>
      <w:r>
        <w:rPr>
          <w:rFonts w:hint="cs"/>
          <w:rtl/>
        </w:rPr>
        <w:t>اختبار كل مرحلة على حدة</w:t>
      </w:r>
    </w:p>
    <w:p w14:paraId="0000006E">
      <w:pPr>
        <w:pStyle w:val="Heading2"/>
        <w:bidi w:val="off"/>
        <w:rPr>
          <w:b/>
          <w:bCs/>
        </w:rPr>
      </w:pPr>
      <w:bookmarkEnd w:id="14"/>
      <w:bookmarkStart w:id="15" w:name="الاستدامة-والتطوير-المستقبلي"/>
      <w:r>
        <w:rPr>
          <w:b/>
          <w:bCs/>
        </w:rPr>
        <w:t xml:space="preserve">13. </w:t>
      </w:r>
      <w:r>
        <w:rPr>
          <w:b/>
          <w:bCs/>
          <w:rtl/>
        </w:rPr>
        <w:t>الاستدامة والتطوير المستقبلي</w:t>
      </w:r>
    </w:p>
    <w:p w14:paraId="0000006F">
      <w:pPr>
        <w:pStyle w:val="Compact"/>
        <w:numPr>
          <w:ilvl w:val="0"/>
          <w:numId w:val="14"/>
        </w:numPr>
        <w:bidi w:val="off"/>
        <w:rPr/>
      </w:pPr>
      <w:r>
        <w:rPr>
          <w:rtl/>
        </w:rPr>
        <w:t>توسيع الإنتاج لتغطية تعبئة منتجات أخرى (سكر، دقيق، بهارات)</w:t>
      </w:r>
    </w:p>
    <w:p w14:paraId="00000070">
      <w:pPr>
        <w:pStyle w:val="Compact"/>
        <w:numPr>
          <w:ilvl w:val="0"/>
          <w:numId w:val="14"/>
        </w:numPr>
        <w:bidi w:val="off"/>
        <w:rPr/>
      </w:pPr>
      <w:r>
        <w:rPr>
          <w:rtl/>
        </w:rPr>
        <w:t>تطوير نسخ أسرع أو ذات قدرات أعلى للوزن (مثلاً 5 كجم–10 كجم)</w:t>
      </w:r>
    </w:p>
    <w:p w14:paraId="00000071">
      <w:pPr>
        <w:pStyle w:val="Compact"/>
        <w:numPr>
          <w:ilvl w:val="0"/>
          <w:numId w:val="14"/>
        </w:numPr>
        <w:bidi w:val="off"/>
        <w:rPr/>
      </w:pPr>
      <w:r>
        <w:rPr>
          <w:rtl/>
        </w:rPr>
        <w:t>إنشاء ورشة محلية لإنتاج وصيانة وتصدي</w:t>
      </w:r>
      <w:r>
        <w:rPr>
          <w:rFonts w:hint="cs"/>
          <w:rtl/>
        </w:rPr>
        <w:t>ـ</w:t>
      </w:r>
      <w:r>
        <w:rPr>
          <w:rtl/>
        </w:rPr>
        <w:t xml:space="preserve">ر وحدات </w:t>
      </w:r>
      <w:r>
        <w:rPr>
          <w:rFonts w:hint="cs"/>
          <w:rtl/>
        </w:rPr>
        <w:t xml:space="preserve">مشابهة </w:t>
      </w:r>
      <w:r>
        <w:rPr>
          <w:rFonts w:hint="cs"/>
          <w:rtl/>
        </w:rPr>
        <w:t xml:space="preserve">أكثر </w:t>
      </w:r>
      <w:r>
        <w:rPr>
          <w:rFonts w:hint="cs"/>
          <w:rtl/>
        </w:rPr>
        <w:t>كفاءة</w:t>
      </w:r>
      <w:r>
        <w:t>.</w:t>
      </w:r>
    </w:p>
    <w:p w14:paraId="00000072">
      <w:pPr>
        <w:pStyle w:val="Heading2"/>
        <w:bidi w:val="off"/>
        <w:rPr>
          <w:b/>
          <w:bCs/>
        </w:rPr>
      </w:pPr>
      <w:bookmarkEnd w:id="15"/>
      <w:bookmarkStart w:id="16" w:name="الخلاصة"/>
      <w:r>
        <w:rPr>
          <w:b/>
          <w:bCs/>
        </w:rPr>
        <w:t xml:space="preserve">14. </w:t>
      </w:r>
      <w:r>
        <w:rPr>
          <w:b/>
          <w:bCs/>
          <w:rtl/>
        </w:rPr>
        <w:t>الخلاصة</w:t>
      </w:r>
    </w:p>
    <w:p w14:paraId="00000073">
      <w:pPr>
        <w:pStyle w:val="FirstParagraph"/>
        <w:bidi w:val="on"/>
        <w:rPr/>
      </w:pPr>
      <w:bookmarkEnd w:id="1"/>
      <w:bookmarkEnd w:id="16"/>
      <w:r>
        <w:rPr>
          <w:rFonts w:hint="cs"/>
          <w:rtl/>
        </w:rPr>
        <w:t>إن مشروع آلة تعبئة وتغليف بودرة الملح محلية الصنع هو نموذج تطبيقي قابل للتنفيذ يدعم الاستقلال الصناعي اليمني، ويحقق التكامل بين الهندسة والإنتاج والتعليم، ويساهم في تحقيق أهداف الرؤية الوطنية نحو اقتصاد إنتاجي مستدام ومتنوع يمثل فرصة واعدة لتحقيق إنجاز هندسي ملموس ومفيد للمجتمع. نحن على ثقة بأن الدعم المقدم من مؤسستكم سيساهم في تحويل هذا المشروع من فكرة إلى واقع، وتخريج جيل من المهندسين الميكاترونكس القادرين على المساهمة بفاعلية في الصناعة المحلية</w:t>
      </w:r>
    </w:p>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0" w:usb1="00000000"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00000000" w:usb1="420024ff" w:usb2="00000000" w:usb3="00000000" w:csb0="0000019f" w:csb1="00000000"/>
  </w:font>
  <w:font w:name="Courier New">
    <w:panose1 w:val="02070309020205020404"/>
    <w:charset w:val="00"/>
    <w:family w:val="modern"/>
    <w:pitch w:val="fixed"/>
    <w:sig w:usb0="00000000" w:usb1="00000000" w:usb2="00000009" w:usb3="00000000" w:csb0="000001ff" w:csb1="00000000"/>
  </w:font>
  <w:font w:name="Cambria">
    <w:panose1 w:val="02040503050406030204"/>
    <w:charset w:val="00"/>
    <w:family w:val="roman"/>
    <w:pitch w:val="variable"/>
    <w:sig w:usb0="00000000" w:usb1="400004ff" w:usb2="00000000" w:usb3="00000000" w:csb0="0000019f" w:csb1="00000000"/>
  </w:font>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ne="http://schemas.microsoft.com/office/word/2006/wordml" xmlns:wps="http://schemas.microsoft.com/office/word/2010/wordprocessingShape" xmlns:wpg="http://schemas.microsoft.com/office/word/2010/wordprocessingGroup" xmlns:wp14="http://schemas.microsoft.com/office/word/2010/wordprocessingDrawing" xmlns:w14="http://schemas.microsoft.com/office/word/2010/wordml" xmlns:wpi="http://schemas.microsoft.com/office/word/2010/wordprocessingInk" xmlns:aink="http://schemas.microsoft.com/office/drawing/2016/ink" xmlns:dgm="http://schemas.openxmlformats.org/drawingml/2006/diagram" mc:Ignorable="w14 wp14 ">
  <w:footnote w:type="continuationSeparator" w:id="0">
    <w:p w14:paraId="00000001">
      <w:r>
        <w:rPr/>
        <w:continuationSeparator/>
      </w:r>
    </w:p>
  </w:footnote>
  <w:footnote w:type="separator" w:id="1">
    <w:p w14:paraId="00000002">
      <w:r>
        <w:rPr/>
        <w: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numFmt w:val="bullet"/>
      <w:lvlText w:val=" "/>
      <w:lvlJc w:val="left"/>
      <w:pPr>
        <w:ind w:left="720" w:hanging="360"/>
      </w:pPr>
    </w:lvl>
    <w:lvl w:ilvl="1" w:tentative="0">
      <w:numFmt w:val="bullet"/>
      <w:lvlText w:val=" "/>
      <w:lvlJc w:val="left"/>
      <w:pPr>
        <w:ind w:left="1440" w:hanging="360"/>
      </w:pPr>
    </w:lvl>
    <w:lvl w:ilvl="2" w:tentative="0">
      <w:numFmt w:val="bullet"/>
      <w:lvlText w:val=" "/>
      <w:lvlJc w:val="left"/>
      <w:pPr>
        <w:ind w:left="2160" w:hanging="360"/>
      </w:pPr>
    </w:lvl>
    <w:lvl w:ilvl="3" w:tentative="0">
      <w:numFmt w:val="bullet"/>
      <w:lvlText w:val=" "/>
      <w:lvlJc w:val="left"/>
      <w:pPr>
        <w:ind w:left="2880" w:hanging="360"/>
      </w:pPr>
    </w:lvl>
    <w:lvl w:ilvl="4" w:tentative="0">
      <w:numFmt w:val="bullet"/>
      <w:lvlText w:val=" "/>
      <w:lvlJc w:val="left"/>
      <w:pPr>
        <w:ind w:left="3600" w:hanging="360"/>
      </w:pPr>
    </w:lvl>
    <w:lvl w:ilvl="5" w:tentative="0">
      <w:numFmt w:val="bullet"/>
      <w:lvlText w:val=" "/>
      <w:lvlJc w:val="left"/>
      <w:pPr>
        <w:ind w:left="4320" w:hanging="360"/>
      </w:pPr>
    </w:lvl>
    <w:lvl w:ilvl="6" w:tentative="0">
      <w:numFmt w:val="bullet"/>
      <w:lvlText w:val=" "/>
      <w:lvlJc w:val="left"/>
      <w:pPr>
        <w:ind w:left="5040" w:hanging="360"/>
      </w:pPr>
    </w:lvl>
    <w:lvl w:ilvl="7" w:tentative="0">
      <w:numFmt w:val="bullet"/>
      <w:lvlText w:val=" "/>
      <w:lvlJc w:val="left"/>
      <w:pPr>
        <w:ind w:left="5760" w:hanging="360"/>
      </w:pPr>
    </w:lvl>
    <w:lvl w:ilvl="8" w:tentative="0">
      <w:numFmt w:val="bullet"/>
      <w:lvlText w:val=" "/>
      <w:lvlJc w:val="left"/>
      <w:pPr>
        <w:ind w:left="6480" w:hanging="360"/>
      </w:pPr>
    </w:lvl>
  </w:abstractNum>
  <w:abstractNum w:abstractNumId="1">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multiLevelType w:val="multilevel"/>
    <w:lvl w:ilvl="0" w:tentative="0">
      <w:numFmt w:val="bullet"/>
      <w:lvlText w:val=""/>
      <w:lvlJc w:val="left"/>
      <w:pPr>
        <w:ind w:left="720" w:hanging="360"/>
      </w:pPr>
      <w:rPr>
        <w:rFonts w:ascii="Symbol" w:cs="Symbol" w:hAnsi="Symbol" w:hint="default"/>
      </w:rPr>
    </w:lvl>
    <w:lvl w:ilvl="1" w:tentative="0">
      <w:numFmt w:val="bullet"/>
      <w:lvlText w:val="o"/>
      <w:lvlJc w:val="left"/>
      <w:pPr>
        <w:ind w:left="1440" w:hanging="360"/>
      </w:pPr>
      <w:rPr>
        <w:rFonts w:ascii="Courier New" w:cs="Courier New" w:hAnsi="Courier New" w:hint="default"/>
      </w:rPr>
    </w:lvl>
    <w:lvl w:ilvl="2" w:tentative="0">
      <w:numFmt w:val="bullet"/>
      <w:lvlText w:val=""/>
      <w:lvlJc w:val="left"/>
      <w:pPr>
        <w:ind w:left="2160" w:hanging="360"/>
      </w:pPr>
      <w:rPr>
        <w:rFonts w:ascii="Wingdings" w:cs="Wingdings" w:hAnsi="Wingdings" w:hint="default"/>
      </w:rPr>
    </w:lvl>
    <w:lvl w:ilvl="3" w:tentative="0">
      <w:numFmt w:val="bullet"/>
      <w:lvlText w:val=""/>
      <w:lvlJc w:val="left"/>
      <w:pPr>
        <w:ind w:left="2880" w:hanging="360"/>
      </w:pPr>
      <w:rPr>
        <w:rFonts w:ascii="Symbol" w:cs="Symbol" w:hAnsi="Symbol" w:hint="default"/>
      </w:rPr>
    </w:lvl>
    <w:lvl w:ilvl="4" w:tentative="0">
      <w:numFmt w:val="bullet"/>
      <w:lvlText w:val="o"/>
      <w:lvlJc w:val="left"/>
      <w:pPr>
        <w:ind w:left="3600" w:hanging="360"/>
      </w:pPr>
      <w:rPr>
        <w:rFonts w:ascii="Courier New" w:cs="Courier New" w:hAnsi="Courier New" w:hint="default"/>
      </w:rPr>
    </w:lvl>
    <w:lvl w:ilvl="5" w:tentative="0">
      <w:numFmt w:val="bullet"/>
      <w:lvlText w:val=""/>
      <w:lvlJc w:val="left"/>
      <w:pPr>
        <w:ind w:left="4320" w:hanging="360"/>
      </w:pPr>
      <w:rPr>
        <w:rFonts w:ascii="Wingdings" w:cs="Wingdings" w:hAnsi="Wingdings" w:hint="default"/>
      </w:rPr>
    </w:lvl>
    <w:lvl w:ilvl="6" w:tentative="0">
      <w:numFmt w:val="bullet"/>
      <w:lvlText w:val=""/>
      <w:lvlJc w:val="left"/>
      <w:pPr>
        <w:ind w:left="5040" w:hanging="360"/>
      </w:pPr>
      <w:rPr>
        <w:rFonts w:ascii="Symbol" w:cs="Symbol" w:hAnsi="Symbol" w:hint="default"/>
      </w:rPr>
    </w:lvl>
    <w:lvl w:ilvl="7" w:tentative="0">
      <w:numFmt w:val="bullet"/>
      <w:lvlText w:val="o"/>
      <w:lvlJc w:val="left"/>
      <w:pPr>
        <w:ind w:left="5760" w:hanging="360"/>
      </w:pPr>
      <w:rPr>
        <w:rFonts w:ascii="Courier New" w:cs="Courier New" w:hAnsi="Courier New" w:hint="default"/>
      </w:rPr>
    </w:lvl>
    <w:lvl w:ilvl="8" w:tentative="0">
      <w:numFmt w:val="bullet"/>
      <w:lvlText w:val=""/>
      <w:lvlJc w:val="left"/>
      <w:pPr>
        <w:ind w:left="6480" w:hanging="360"/>
      </w:pPr>
      <w:rPr>
        <w:rFonts w:ascii="Wingdings" w:cs="Wingdings" w:hAnsi="Wingdings" w:hint="default"/>
      </w:rPr>
    </w:lvl>
  </w:abstractNum>
  <w:abstractNum w:abstractNumId="3">
    <w:multiLevelType w:val="hybridMultilevel"/>
    <w:lvl w:ilvl="0" w:tentative="1">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num>
  <w:num w:numId="15">
    <w:abstractNumId w:val="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footnotePr>
    <w:footnote w:id="1"/>
    <w:footnote w:id="0"/>
  </w:foot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US" w:bidi="ar-SA" w:eastAsia="en-US"/>
      </w:rPr>
    </w:rPrDefault>
    <w:pPrDefault>
      <w:pPr>
        <w:spacing w:after="20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156082"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156082" w:themeColor="accent1" w:sz="4" w:space="4"/>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Pr>
      <w:b/>
      <w:bCs/>
      <w:i/>
      <w:iCs/>
      <w:color w:val="156082" w:themeColor="accent1"/>
    </w:rPr>
  </w:style>
  <w:style w:type="character" w:styleId="SubtleReference">
    <w:name w:val="Subtle Reference"/>
    <w:basedOn w:val="DefaultParagraphFont"/>
    <w:uiPriority w:val="31"/>
    <w:qFormat w:val="on"/>
    <w:rPr>
      <w:smallCaps/>
      <w:color w:val="e97132" w:themeColor="accent2"/>
      <w:u w:val="single"/>
    </w:rPr>
  </w:style>
  <w:style w:type="character" w:styleId="IntenseReference">
    <w:name w:val="Intense Reference"/>
    <w:basedOn w:val="DefaultParagraphFont"/>
    <w:uiPriority w:val="32"/>
    <w:qFormat w:val="on"/>
    <w:rPr>
      <w:b/>
      <w:bCs/>
      <w:smallCaps/>
      <w:color w:val="e97132"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99"/>
    <w:qFormat w:val="on"/>
  </w:style>
  <w:style w:type="paragraph" w:styleId="BodyText">
    <w:name w:val="Body Text"/>
    <w:basedOn w:val="Normal"/>
    <w:link w:val="BodyTextChar"/>
    <w:uiPriority w:val="99"/>
    <w:qFormat w:val="on"/>
    <w:pPr>
      <w:spacing w:before="180" w:after="180"/>
    </w:pPr>
  </w:style>
  <w:style w:type="paragraph" w:customStyle="1" w:styleId="FirstParagraph">
    <w:name w:val="First Paragraph"/>
    <w:basedOn w:val="BodyText"/>
    <w:next w:val="BodyText"/>
    <w:uiPriority w:val="99"/>
    <w:qFormat w:val="on"/>
  </w:style>
  <w:style w:type="paragraph" w:customStyle="1" w:styleId="Compact">
    <w:name w:val="Compact"/>
    <w:basedOn w:val="BodyText"/>
    <w:uiPriority w:val="99"/>
    <w:qFormat w:val="on"/>
    <w:pPr>
      <w:spacing w:before="36" w:after="36"/>
    </w:pPr>
  </w:style>
  <w:style w:type="paragraph" w:styleId="Title">
    <w:name w:val="Title"/>
    <w:basedOn w:val="Normal"/>
    <w:next w:val="BodyText"/>
    <w:link w:val="TitleChar"/>
    <w:uiPriority w:val="10"/>
    <w:qFormat w:val="on"/>
    <w:pPr>
      <w:spacing w:after="80" w:line="240" w:lineRule="auto"/>
      <w:contextualSpacing w:val="on"/>
      <w:jc w:val="center"/>
    </w:pPr>
    <w:rPr>
      <w:rFonts w:asciiTheme="majorHAnsi" w:cstheme="majorBidi" w:eastAsiaTheme="majorEastAsia" w:hAnsiTheme="majorHAnsi"/>
      <w:spacing w:val="-10"/>
      <w:sz w:val="56"/>
      <w:szCs w:val="56"/>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Title"/>
    <w:next w:val="BodyText"/>
    <w:link w:val="SubtitleChar"/>
    <w:uiPriority w:val="11"/>
    <w:qFormat w:val="on"/>
    <w:pPr/>
    <w:rPr>
      <w:rFonts w:cstheme="majorBidi" w:eastAsiaTheme="majorEastAsia"/>
      <w:spacing w:val="15"/>
      <w:sz w:val="28"/>
      <w:szCs w:val="28"/>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28"/>
    </w:rPr>
  </w:style>
  <w:style w:type="paragraph" w:customStyle="1" w:styleId="Author">
    <w:name w:val="Author"/>
    <w:next w:val="BodyText"/>
    <w:uiPriority w:val="99"/>
    <w:qFormat w:val="on"/>
    <w:pPr>
      <w:keepNext w:val="on"/>
      <w:keepLines w:val="on"/>
      <w:jc w:val="center"/>
    </w:pPr>
  </w:style>
  <w:style w:type="paragraph" w:styleId="Date">
    <w:name w:val="Date"/>
    <w:next w:val="BodyText"/>
    <w:uiPriority w:val="99"/>
    <w:qFormat w:val="on"/>
    <w:pPr>
      <w:keepNext w:val="on"/>
      <w:keepLines w:val="on"/>
      <w:jc w:val="center"/>
    </w:pPr>
  </w:style>
  <w:style w:type="paragraph" w:customStyle="1" w:styleId="AbstractTitle">
    <w:name w:val="Abstract Title"/>
    <w:basedOn w:val="Normal"/>
    <w:next w:val="Abstract"/>
    <w:uiPriority w:val="99"/>
    <w:qFormat w:val="on"/>
    <w:pPr>
      <w:keepNext w:val="on"/>
      <w:keepLines w:val="on"/>
      <w:spacing w:before="300" w:after="0"/>
      <w:jc w:val="center"/>
    </w:pPr>
    <w:rPr>
      <w:b/>
      <w:sz w:val="20"/>
      <w:szCs w:val="20"/>
    </w:rPr>
  </w:style>
  <w:style w:type="paragraph" w:customStyle="1" w:styleId="Abstract">
    <w:name w:val="Abstract"/>
    <w:basedOn w:val="Normal"/>
    <w:next w:val="BodyText"/>
    <w:uiPriority w:val="99"/>
    <w:qFormat w:val="on"/>
    <w:pPr>
      <w:keepNext w:val="on"/>
      <w:keepLines w:val="on"/>
      <w:spacing w:before="100" w:after="300"/>
    </w:pPr>
    <w:rPr>
      <w:sz w:val="20"/>
      <w:szCs w:val="20"/>
    </w:rPr>
  </w:style>
  <w:style w:type="paragraph" w:styleId="Bibliography">
    <w:name w:val="Bibliography"/>
    <w:basedOn w:val="Normal"/>
    <w:next w:val="Bibliography"/>
    <w:uiPriority w:val="99"/>
    <w:qFormat w:val="on"/>
    <w:pPr/>
    <w:rPr/>
  </w:style>
  <w:style w:type="paragraph" w:styleId="Heading1">
    <w:name w:val="Heading 1"/>
    <w:basedOn w:val="Normal"/>
    <w:next w:val="BodyText"/>
    <w:link w:val="Heading1Char"/>
    <w:uiPriority w:val="9"/>
    <w:qFormat w:val="on"/>
    <w:pPr>
      <w:keepNext w:val="on"/>
      <w:keepLines w:val="on"/>
      <w:spacing w:before="360" w:after="8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BodyText"/>
    <w:link w:val="Heading2Char"/>
    <w:uiPriority w:val="9"/>
    <w:unhideWhenUsed w:val="on"/>
    <w:qFormat w:val="on"/>
    <w:pPr>
      <w:keepNext w:val="on"/>
      <w:keepLines w:val="on"/>
      <w:spacing w:before="160" w:after="8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BodyText"/>
    <w:link w:val="Heading3Char"/>
    <w:uiPriority w:val="9"/>
    <w:semiHidden w:val="on"/>
    <w:unhideWhenUsed w:val="on"/>
    <w:qFormat w:val="on"/>
    <w:pPr>
      <w:keepNext w:val="on"/>
      <w:keepLines w:val="on"/>
      <w:spacing w:before="160" w:after="80"/>
    </w:pPr>
    <w:rPr>
      <w:rFonts w:cstheme="majorBidi" w:eastAsiaTheme="majorEastAsia"/>
      <w:color w:val="104760" w:themeColor="accent1" w:themeShade="bf"/>
      <w:sz w:val="28"/>
      <w:szCs w:val="28"/>
    </w:rPr>
  </w:style>
  <w:style w:type="paragraph" w:styleId="Heading4">
    <w:name w:val="Heading 4"/>
    <w:basedOn w:val="Normal"/>
    <w:next w:val="BodyText"/>
    <w:link w:val="Heading4Char"/>
    <w:uiPriority w:val="9"/>
    <w:semiHidden w:val="on"/>
    <w:unhideWhenUsed w:val="on"/>
    <w:qFormat w:val="on"/>
    <w:pPr>
      <w:keepNext w:val="on"/>
      <w:keepLines w:val="on"/>
      <w:spacing w:before="80" w:after="40"/>
    </w:pPr>
    <w:rPr>
      <w:rFonts w:cstheme="majorBidi" w:eastAsiaTheme="majorEastAsia"/>
      <w:i/>
      <w:iCs/>
      <w:color w:val="104760" w:themeColor="accent1" w:themeShade="bf"/>
    </w:rPr>
  </w:style>
  <w:style w:type="paragraph" w:styleId="Heading5">
    <w:name w:val="Heading 5"/>
    <w:basedOn w:val="Normal"/>
    <w:next w:val="BodyText"/>
    <w:link w:val="Heading5Char"/>
    <w:uiPriority w:val="9"/>
    <w:semiHidden w:val="on"/>
    <w:unhideWhenUsed w:val="on"/>
    <w:qFormat w:val="on"/>
    <w:pPr>
      <w:keepNext w:val="on"/>
      <w:keepLines w:val="on"/>
      <w:spacing w:before="80" w:after="40"/>
    </w:pPr>
    <w:rPr>
      <w:rFonts w:cstheme="majorBidi" w:eastAsiaTheme="majorEastAsia"/>
      <w:color w:val="104760" w:themeColor="accent1" w:themeShade="bf"/>
    </w:rPr>
  </w:style>
  <w:style w:type="paragraph" w:styleId="Heading6">
    <w:name w:val="Heading 6"/>
    <w:basedOn w:val="Normal"/>
    <w:next w:val="BodyText"/>
    <w:link w:val="Heading6Char"/>
    <w:uiPriority w:val="9"/>
    <w:semiHidden w:val="on"/>
    <w:unhideWhenUsed w:val="on"/>
    <w:qFormat w:val="on"/>
    <w:pPr>
      <w:keepNext w:val="on"/>
      <w:keepLines w:val="on"/>
      <w:spacing w:before="40" w:after="0"/>
    </w:pPr>
    <w:rPr>
      <w:rFonts w:cstheme="majorBidi" w:eastAsiaTheme="majorEastAsia"/>
      <w:i/>
      <w:iCs/>
      <w:color w:val="595959" w:themeColor="text1" w:themeTint="a6"/>
    </w:rPr>
  </w:style>
  <w:style w:type="paragraph" w:styleId="Heading7">
    <w:name w:val="Heading 7"/>
    <w:basedOn w:val="Normal"/>
    <w:next w:val="BodyText"/>
    <w:link w:val="Heading7Char"/>
    <w:uiPriority w:val="9"/>
    <w:semiHidden w:val="on"/>
    <w:unhideWhenUsed w:val="on"/>
    <w:qFormat w:val="on"/>
    <w:pPr>
      <w:keepNext w:val="on"/>
      <w:keepLines w:val="on"/>
      <w:spacing w:before="40" w:after="0"/>
    </w:pPr>
    <w:rPr>
      <w:rFonts w:cstheme="majorBidi" w:eastAsiaTheme="majorEastAsia"/>
      <w:color w:val="595959" w:themeColor="text1" w:themeTint="a6"/>
    </w:rPr>
  </w:style>
  <w:style w:type="paragraph" w:styleId="Heading8">
    <w:name w:val="Heading 8"/>
    <w:basedOn w:val="Normal"/>
    <w:next w:val="BodyText"/>
    <w:link w:val="Heading8Char"/>
    <w:uiPriority w:val="9"/>
    <w:semiHidden w:val="on"/>
    <w:unhideWhenUsed w:val="on"/>
    <w:qFormat w:val="on"/>
    <w:pPr>
      <w:keepNext w:val="on"/>
      <w:keepLines w:val="on"/>
      <w:spacing w:after="0"/>
    </w:pPr>
    <w:rPr>
      <w:rFonts w:cstheme="majorBidi" w:eastAsiaTheme="majorEastAsia"/>
      <w:i/>
      <w:iCs/>
      <w:color w:val="272727" w:themeColor="text1" w:themeTint="d8"/>
    </w:rPr>
  </w:style>
  <w:style w:type="paragraph" w:styleId="Heading9">
    <w:name w:val="Heading 9"/>
    <w:basedOn w:val="Normal"/>
    <w:next w:val="BodyText"/>
    <w:link w:val="Heading9Char"/>
    <w:uiPriority w:val="9"/>
    <w:semiHidden w:val="on"/>
    <w:unhideWhenUsed w:val="on"/>
    <w:qFormat w:val="on"/>
    <w:pPr>
      <w:keepNext w:val="on"/>
      <w:keepLines w:val="on"/>
      <w:spacing w:after="0"/>
    </w:pPr>
    <w:rPr>
      <w:rFonts w:cstheme="majorBidi" w:eastAsiaTheme="majorEastAsia"/>
      <w:color w:val="272727" w:themeColor="text1" w:themeTint="d8"/>
    </w:rPr>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32"/>
    </w:rPr>
  </w:style>
  <w:style w:type="character" w:customStyle="1" w:styleId="Heading3Char">
    <w:name w:val="Heading 3 Char"/>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BlockText">
    <w:name w:val="Block Text"/>
    <w:basedOn w:val="BodyText"/>
    <w:next w:val="BodyText"/>
    <w:uiPriority w:val="9"/>
    <w:unhideWhenUsed w:val="on"/>
    <w:qFormat w:val="on"/>
    <w:pPr>
      <w:spacing w:before="100" w:after="100"/>
      <w:ind w:left="480" w:right="480" w:firstLine="0"/>
    </w:pPr>
  </w:style>
  <w:style w:type="paragraph" w:styleId="FootnoteBlockText">
    <w:name w:val="Footnote Block Text"/>
    <w:basedOn w:val="Footnotetext"/>
    <w:next w:val="Footnotetext"/>
    <w:uiPriority w:val="9"/>
    <w:unhideWhenUsed w:val="on"/>
    <w:qFormat w:val="on"/>
    <w:pPr>
      <w:spacing w:before="100" w:after="100"/>
      <w:ind w:left="480" w:right="480" w:firstLine="0"/>
    </w:pPr>
  </w:style>
  <w:style w:type="character" w:default="1" w:styleId="DefaultParagraphFont">
    <w:name w:val="Default Paragraph Font"/>
    <w:uiPriority w:val="99"/>
    <w:semiHidden w:val="on"/>
    <w:unhideWhenUsed w:val="on"/>
  </w:style>
  <w:style w:type="table" w:default="1" w:styleId="Table">
    <w:name w:val="Table"/>
    <w:uiPriority w:val="99"/>
    <w:semiHidden w:val="on"/>
    <w:unhideWhenUsed w:val="on"/>
    <w:qFormat w:val="on"/>
    <w:tblPr>
      <w:tblInd w:w="0" w:type="dxa"/>
      <w:tblCellMar>
        <w:top w:w="0" w:type="dxa"/>
        <w:left w:w="108" w:type="dxa"/>
        <w:bottom w:w="0" w:type="dxa"/>
        <w:right w:w="108" w:type="dxa"/>
      </w:tblCellMar>
    </w:tblPr>
    <w:tblStylePr w:type="firstRow">
      <w:tblPr>
        <w:jc w:val="left"/>
        <w:tblInd w:w="0" w:type="dxa"/>
      </w:tblPr>
      <w:trPr>
        <w:jc w:val="left"/>
      </w:trPr>
      <w:tcPr>
        <w:tcBorders>
          <w:bottom w:val="single" w:sz="4" w:space="0"/>
        </w:tcBorders>
        <w:vAlign w:val="bottom"/>
      </w:tcPr>
    </w:tblStylePr>
  </w:style>
  <w:style w:type="paragraph" w:customStyle="1" w:styleId="DefinitionTerm">
    <w:name w:val="Definition Term"/>
    <w:basedOn w:val="Normal"/>
    <w:next w:val="Definition"/>
    <w:uiPriority w:val="99"/>
    <w:pPr>
      <w:keepNext w:val="on"/>
      <w:keepLines w:val="on"/>
      <w:spacing w:after="0"/>
    </w:pPr>
    <w:rPr>
      <w:b/>
    </w:rPr>
  </w:style>
  <w:style w:type="paragraph" w:customStyle="1" w:styleId="Definition">
    <w:name w:val="Definition"/>
    <w:basedOn w:val="Normal"/>
    <w:uiPriority w:val="99"/>
  </w:style>
  <w:style w:type="paragraph" w:styleId="Caption">
    <w:name w:val="Caption"/>
    <w:basedOn w:val="Normal"/>
    <w:link w:val="BodyTextChar"/>
    <w:uiPriority w:val="99"/>
    <w:pPr>
      <w:spacing w:before="0" w:after="120"/>
    </w:pPr>
    <w:rPr>
      <w:i/>
    </w:rPr>
  </w:style>
  <w:style w:type="paragraph" w:customStyle="1" w:styleId="TableCaption">
    <w:name w:val="Table Caption"/>
    <w:basedOn w:val="Caption"/>
    <w:uiPriority w:val="99"/>
    <w:pPr>
      <w:keepNext w:val="on"/>
    </w:pPr>
  </w:style>
  <w:style w:type="paragraph" w:customStyle="1" w:styleId="ImageCaption">
    <w:name w:val="Image Caption"/>
    <w:basedOn w:val="Caption"/>
    <w:uiPriority w:val="99"/>
  </w:style>
  <w:style w:type="paragraph" w:customStyle="1" w:styleId="Figure">
    <w:name w:val="Figure"/>
    <w:basedOn w:val="Normal"/>
    <w:uiPriority w:val="99"/>
  </w:style>
  <w:style w:type="paragraph" w:customStyle="1" w:styleId="CaptionedFigure">
    <w:name w:val="Captioned Figure"/>
    <w:basedOn w:val="Figure"/>
    <w:uiPriority w:val="99"/>
    <w:pPr>
      <w:keepNext w:val="on"/>
    </w:pPr>
  </w:style>
  <w:style w:type="character" w:customStyle="1" w:styleId="BodyTextChar">
    <w:name w:val="Body Text Char"/>
    <w:basedOn w:val="DefaultParagraphFont"/>
    <w:link w:val="BodyText"/>
    <w:uiPriority w:val="99"/>
  </w:style>
  <w:style w:type="character" w:customStyle="1" w:styleId="VerbatimChar">
    <w:name w:val="Verbatim Char"/>
    <w:basedOn w:val="BodyTextChar"/>
    <w:uiPriority w:val="99"/>
    <w:rPr>
      <w:rFonts w:ascii="Consolas" w:hAnsi="Consolas"/>
      <w:sz w:val="22"/>
    </w:rPr>
  </w:style>
  <w:style w:type="character" w:customStyle="1" w:styleId="SectionNumber">
    <w:name w:val="Section Number"/>
    <w:basedOn w:val="BodyTextChar"/>
    <w:uiPriority w:val="99"/>
  </w:style>
  <w:style w:type="character" w:styleId="Hyperlink">
    <w:name w:val="Hyperlink"/>
    <w:basedOn w:val="BodyTextChar"/>
    <w:uiPriority w:val="99"/>
    <w:rPr>
      <w:color w:val="156082" w:themeColor="accent1"/>
    </w:rPr>
  </w:style>
  <w:style w:type="paragraph" w:styleId="TOCHeading">
    <w:name w:val="TOC Heading"/>
    <w:basedOn w:val="Heading1"/>
    <w:next w:val="BodyText"/>
    <w:uiPriority w:val="39"/>
    <w:unhideWhenUsed w:val="on"/>
    <w:qFormat w:val="on"/>
    <w:pPr>
      <w:spacing w:before="240" w:line="259" w:lineRule="auto"/>
    </w:pPr>
    <w:rPr>
      <w:rFonts w:asciiTheme="majorHAnsi" w:cstheme="majorBidi" w:eastAsiaTheme="majorEastAsia" w:hAnsiTheme="majorHAnsi"/>
      <w:b w:val="off"/>
      <w:bCs w:val="off"/>
      <w:color w:val="104760" w:themeColor="accent1" w:themeShade="bf"/>
    </w:rPr>
  </w:style>
  <w:style w:type="paragraph" w:customStyle="1" w:styleId="SourceCode">
    <w:name w:val="Source Code"/>
    <w:basedOn w:val="Normal"/>
    <w:link w:val="VerbatimChar"/>
    <w:uiPriority w:val="99"/>
    <w:pPr/>
  </w:style>
  <w:style w:type="character" w:customStyle="1" w:styleId="KeywordTok">
    <w:name w:val="KeywordTok"/>
    <w:basedOn w:val="VerbatimChar"/>
    <w:uiPriority w:val="99"/>
    <w:rPr>
      <w:b/>
      <w:color w:val="007020"/>
    </w:rPr>
  </w:style>
  <w:style w:type="character" w:customStyle="1" w:styleId="DataTypeTok">
    <w:name w:val="DataTypeTok"/>
    <w:basedOn w:val="VerbatimChar"/>
    <w:uiPriority w:val="99"/>
    <w:rPr>
      <w:color w:val="902000"/>
    </w:rPr>
  </w:style>
  <w:style w:type="character" w:customStyle="1" w:styleId="DecValTok">
    <w:name w:val="DecValTok"/>
    <w:basedOn w:val="VerbatimChar"/>
    <w:uiPriority w:val="99"/>
    <w:rPr>
      <w:color w:val="40a070"/>
    </w:rPr>
  </w:style>
  <w:style w:type="character" w:customStyle="1" w:styleId="BaseNTok">
    <w:name w:val="BaseNTok"/>
    <w:basedOn w:val="VerbatimChar"/>
    <w:uiPriority w:val="99"/>
    <w:rPr>
      <w:color w:val="40a070"/>
    </w:rPr>
  </w:style>
  <w:style w:type="character" w:customStyle="1" w:styleId="FloatTok">
    <w:name w:val="FloatTok"/>
    <w:basedOn w:val="VerbatimChar"/>
    <w:uiPriority w:val="99"/>
    <w:rPr>
      <w:color w:val="40a070"/>
    </w:rPr>
  </w:style>
  <w:style w:type="character" w:customStyle="1" w:styleId="ConstantTok">
    <w:name w:val="ConstantTok"/>
    <w:basedOn w:val="VerbatimChar"/>
    <w:uiPriority w:val="99"/>
    <w:rPr>
      <w:color w:val="880000"/>
    </w:rPr>
  </w:style>
  <w:style w:type="character" w:customStyle="1" w:styleId="CharTok">
    <w:name w:val="CharTok"/>
    <w:basedOn w:val="VerbatimChar"/>
    <w:uiPriority w:val="99"/>
    <w:rPr>
      <w:color w:val="4070a0"/>
    </w:rPr>
  </w:style>
  <w:style w:type="character" w:customStyle="1" w:styleId="SpecialCharTok">
    <w:name w:val="SpecialCharTok"/>
    <w:basedOn w:val="VerbatimChar"/>
    <w:uiPriority w:val="99"/>
    <w:rPr>
      <w:color w:val="4070a0"/>
    </w:rPr>
  </w:style>
  <w:style w:type="character" w:customStyle="1" w:styleId="StringTok">
    <w:name w:val="StringTok"/>
    <w:basedOn w:val="VerbatimChar"/>
    <w:uiPriority w:val="99"/>
    <w:rPr>
      <w:color w:val="4070a0"/>
    </w:rPr>
  </w:style>
  <w:style w:type="character" w:customStyle="1" w:styleId="VerbatimStringTok">
    <w:name w:val="VerbatimStringTok"/>
    <w:basedOn w:val="VerbatimChar"/>
    <w:uiPriority w:val="99"/>
    <w:rPr>
      <w:color w:val="4070a0"/>
    </w:rPr>
  </w:style>
  <w:style w:type="character" w:customStyle="1" w:styleId="SpecialStringTok">
    <w:name w:val="SpecialStringTok"/>
    <w:basedOn w:val="VerbatimChar"/>
    <w:uiPriority w:val="99"/>
    <w:rPr>
      <w:color w:val="bb6688"/>
    </w:rPr>
  </w:style>
  <w:style w:type="character" w:customStyle="1" w:styleId="ImportTok">
    <w:name w:val="ImportTok"/>
    <w:basedOn w:val="VerbatimChar"/>
    <w:uiPriority w:val="99"/>
    <w:rPr>
      <w:b/>
      <w:color w:val="008000"/>
    </w:rPr>
  </w:style>
  <w:style w:type="character" w:customStyle="1" w:styleId="CommentTok">
    <w:name w:val="CommentTok"/>
    <w:basedOn w:val="VerbatimChar"/>
    <w:uiPriority w:val="99"/>
    <w:rPr>
      <w:i/>
      <w:color w:val="60a0b0"/>
    </w:rPr>
  </w:style>
  <w:style w:type="character" w:customStyle="1" w:styleId="DocumentationTok">
    <w:name w:val="DocumentationTok"/>
    <w:basedOn w:val="VerbatimChar"/>
    <w:uiPriority w:val="99"/>
    <w:rPr>
      <w:i/>
      <w:color w:val="ba2121"/>
    </w:rPr>
  </w:style>
  <w:style w:type="character" w:customStyle="1" w:styleId="AnnotationTok">
    <w:name w:val="AnnotationTok"/>
    <w:basedOn w:val="VerbatimChar"/>
    <w:uiPriority w:val="99"/>
    <w:rPr>
      <w:b/>
      <w:i/>
      <w:color w:val="60a0b0"/>
    </w:rPr>
  </w:style>
  <w:style w:type="character" w:customStyle="1" w:styleId="CommentVarTok">
    <w:name w:val="CommentVarTok"/>
    <w:basedOn w:val="VerbatimChar"/>
    <w:uiPriority w:val="99"/>
    <w:rPr>
      <w:b/>
      <w:i/>
      <w:color w:val="60a0b0"/>
    </w:rPr>
  </w:style>
  <w:style w:type="character" w:customStyle="1" w:styleId="OtherTok">
    <w:name w:val="OtherTok"/>
    <w:basedOn w:val="VerbatimChar"/>
    <w:uiPriority w:val="99"/>
    <w:rPr>
      <w:color w:val="007020"/>
    </w:rPr>
  </w:style>
  <w:style w:type="character" w:customStyle="1" w:styleId="FunctionTok">
    <w:name w:val="FunctionTok"/>
    <w:basedOn w:val="VerbatimChar"/>
    <w:uiPriority w:val="99"/>
    <w:rPr>
      <w:color w:val="06287e"/>
    </w:rPr>
  </w:style>
  <w:style w:type="character" w:customStyle="1" w:styleId="VariableTok">
    <w:name w:val="VariableTok"/>
    <w:basedOn w:val="VerbatimChar"/>
    <w:uiPriority w:val="99"/>
    <w:rPr>
      <w:color w:val="19177c"/>
    </w:rPr>
  </w:style>
  <w:style w:type="character" w:customStyle="1" w:styleId="ControlFlowTok">
    <w:name w:val="ControlFlowTok"/>
    <w:basedOn w:val="VerbatimChar"/>
    <w:uiPriority w:val="99"/>
    <w:rPr>
      <w:b/>
      <w:color w:val="007020"/>
    </w:rPr>
  </w:style>
  <w:style w:type="character" w:customStyle="1" w:styleId="OperatorTok">
    <w:name w:val="OperatorTok"/>
    <w:basedOn w:val="VerbatimChar"/>
    <w:uiPriority w:val="99"/>
    <w:rPr>
      <w:color w:val="666666"/>
    </w:rPr>
  </w:style>
  <w:style w:type="character" w:customStyle="1" w:styleId="BuiltInTok">
    <w:name w:val="BuiltInTok"/>
    <w:basedOn w:val="VerbatimChar"/>
    <w:uiPriority w:val="99"/>
    <w:rPr>
      <w:color w:val="008000"/>
    </w:rPr>
  </w:style>
  <w:style w:type="character" w:customStyle="1" w:styleId="ExtensionTok">
    <w:name w:val="ExtensionTok"/>
    <w:basedOn w:val="VerbatimChar"/>
    <w:uiPriority w:val="99"/>
    <w:rPr/>
  </w:style>
  <w:style w:type="character" w:customStyle="1" w:styleId="PreprocessorTok">
    <w:name w:val="PreprocessorTok"/>
    <w:basedOn w:val="VerbatimChar"/>
    <w:uiPriority w:val="99"/>
    <w:rPr>
      <w:color w:val="bc7a00"/>
    </w:rPr>
  </w:style>
  <w:style w:type="character" w:customStyle="1" w:styleId="AttributeTok">
    <w:name w:val="AttributeTok"/>
    <w:basedOn w:val="VerbatimChar"/>
    <w:uiPriority w:val="99"/>
    <w:rPr>
      <w:color w:val="7d9029"/>
    </w:rPr>
  </w:style>
  <w:style w:type="character" w:customStyle="1" w:styleId="RegionMarkerTok">
    <w:name w:val="RegionMarkerTok"/>
    <w:basedOn w:val="VerbatimChar"/>
    <w:uiPriority w:val="99"/>
    <w:rPr/>
  </w:style>
  <w:style w:type="character" w:customStyle="1" w:styleId="InformationTok">
    <w:name w:val="InformationTok"/>
    <w:basedOn w:val="VerbatimChar"/>
    <w:uiPriority w:val="99"/>
    <w:rPr>
      <w:b/>
      <w:i/>
      <w:color w:val="60a0b0"/>
    </w:rPr>
  </w:style>
  <w:style w:type="character" w:customStyle="1" w:styleId="WarningTok">
    <w:name w:val="WarningTok"/>
    <w:basedOn w:val="VerbatimChar"/>
    <w:uiPriority w:val="99"/>
    <w:rPr>
      <w:b/>
      <w:i/>
      <w:color w:val="60a0b0"/>
    </w:rPr>
  </w:style>
  <w:style w:type="character" w:customStyle="1" w:styleId="AlertTok">
    <w:name w:val="AlertTok"/>
    <w:basedOn w:val="VerbatimChar"/>
    <w:uiPriority w:val="99"/>
    <w:rPr>
      <w:b/>
      <w:color w:val="ff0000"/>
    </w:rPr>
  </w:style>
  <w:style w:type="character" w:customStyle="1" w:styleId="ErrorTok">
    <w:name w:val="ErrorTok"/>
    <w:basedOn w:val="VerbatimChar"/>
    <w:uiPriority w:val="99"/>
    <w:rPr>
      <w:b/>
      <w:color w:val="ff0000"/>
    </w:rPr>
  </w:style>
  <w:style w:type="character" w:customStyle="1" w:styleId="NormalTok">
    <w:name w:val="NormalTok"/>
    <w:basedOn w:val="VerbatimChar"/>
    <w:uiPriority w:val="9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حسن</dc:creator>
  <cp:lastModifiedBy>حسن</cp:lastModifiedBy>
</cp:coreProperties>
</file>

<file path=docProps/custom.xml><?xml version="1.0" encoding="utf-8"?>
<Properties xmlns="http://schemas.openxmlformats.org/officeDocument/2006/custom-properties" xmlns:vt="http://schemas.openxmlformats.org/officeDocument/2006/docPropsVTypes"/>
</file>