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jc w:val="center"/>
        <w:rPr/>
      </w:pPr>
      <w:r>
        <w:rPr>
          <w:b/>
          <w:sz w:val="28"/>
          <w:szCs w:val="28"/>
          <w:rtl/>
        </w:rPr>
        <w:t>تقرير المرحلة الأولى</w:t>
      </w:r>
      <w:r>
        <w:rPr>
          <w:b/>
          <w:sz w:val="28"/>
        </w:rPr>
        <w:br w:type="textWrapping"/>
      </w:r>
      <w:r>
        <w:rPr>
          <w:b/>
          <w:sz w:val="28"/>
          <w:szCs w:val="28"/>
          <w:rtl/>
        </w:rPr>
        <w:t>تصميم لولب التعبئة (Auger Screw) ضمن آلة VFFS — Phase 1</w:t>
      </w:r>
      <w:r>
        <w:rPr>
          <w:b/>
          <w:sz w:val="28"/>
          <w:szCs w:val="28"/>
          <w:rtl/>
        </w:rPr>
        <w:br w:type="textWrapping"/>
      </w:r>
      <w:r>
        <w:rPr>
          <w:b/>
          <w:sz w:val="28"/>
          <w:szCs w:val="28"/>
          <w:rtl/>
        </w:rPr>
        <w:t>(وثائق مرجعية ومراجع متكاملة)</w:t>
      </w:r>
    </w:p>
    <w:p w14:paraId="00000002"/>
    <w:p w14:paraId="00000003">
      <w:pPr>
        <w:pStyle w:val="Heading1"/>
        <w:rPr/>
      </w:pPr>
      <w:r>
        <w:rPr>
          <w:rtl/>
        </w:rPr>
        <w:t>الملخص التنفيذي</w:t>
      </w:r>
      <w:r>
        <w:t xml:space="preserve"> — Executive Summary</w:t>
      </w:r>
    </w:p>
    <w:p w14:paraId="00000004">
      <w:r>
        <w:rPr>
          <w:rtl/>
        </w:rPr>
        <w:t>هذا التقرير يغطي المرحلة الأولى من تصميم لولب التعبئة</w:t>
      </w:r>
      <w:r>
        <w:t xml:space="preserve"> (Auger) </w:t>
      </w:r>
      <w:r>
        <w:rPr>
          <w:rtl/>
        </w:rPr>
        <w:t>لآلة تعبئة عمودية</w:t>
      </w:r>
      <w:r>
        <w:t xml:space="preserve"> VFFS، </w:t>
      </w:r>
      <w:r>
        <w:rPr>
          <w:rtl/>
        </w:rPr>
        <w:t>مع التركيز على: المعادلات الهندسية المستخدمة، القِيَم المُعتمدة، الحسابات الرقمية خطوةً بخطوة لنطاق الأوزان</w:t>
      </w:r>
      <w:r>
        <w:t xml:space="preserve"> (100–500 g)، </w:t>
      </w:r>
      <w:r>
        <w:rPr>
          <w:rtl/>
        </w:rPr>
        <w:t>وكذا المصادر والأوراق العلمية التي استُنِدَت إليها مع روابط مباشرة أمام كل معادلة أو قسم</w:t>
      </w:r>
      <w:r>
        <w:t>.</w:t>
      </w:r>
    </w:p>
    <w:p w14:paraId="00000005">
      <w:r>
        <w:t>This report is Phase 1 documentation for the auger screw design for a VFFS powder filler. It contains equations, input values, detailed numeric calculations for bag weights 100–500 g, and references with direct links.</w:t>
      </w:r>
    </w:p>
    <w:p w14:paraId="00000006"/>
    <w:p w14:paraId="00000007">
      <w:pPr>
        <w:pStyle w:val="Heading2"/>
        <w:rPr/>
      </w:pPr>
      <w:r>
        <w:t xml:space="preserve">1. </w:t>
      </w:r>
      <w:r>
        <w:rPr>
          <w:rtl/>
        </w:rPr>
        <w:t>المعطيات والافتراضات</w:t>
      </w:r>
      <w:r>
        <w:t xml:space="preserve"> (Given data &amp; assumptions)</w:t>
      </w:r>
    </w:p>
    <w:tbl>
      <w:tblPr>
        <w:tblW w:w="0" w:type="auto"/>
        <w:tblLook w:val="04A0"/>
      </w:tblPr>
      <w:tblGrid>
        <w:gridCol w:w="996"/>
        <w:gridCol w:w="787"/>
        <w:gridCol w:w="728"/>
        <w:gridCol w:w="6359"/>
      </w:tblGrid>
      <w:tr>
        <w:trPr/>
        <w:tc>
          <w:tcPr>
            <w:cnfStyle w:val="101000000000"/>
            <w:tcW w:w="2160" w:type="dxa"/>
          </w:tcPr>
          <w:p w14:paraId="00000008">
            <w:r>
              <w:rPr>
                <w:rtl/>
              </w:rPr>
              <w:t>البند</w:t>
            </w:r>
            <w:r>
              <w:t xml:space="preserve"> (Item)</w:t>
            </w:r>
          </w:p>
        </w:tc>
        <w:tc>
          <w:tcPr>
            <w:cnfStyle w:val="100000000000"/>
            <w:tcW w:w="2160" w:type="dxa"/>
          </w:tcPr>
          <w:p w14:paraId="00000009">
            <w:r>
              <w:rPr>
                <w:rtl/>
              </w:rPr>
              <w:t>الرمز</w:t>
            </w:r>
            <w:r>
              <w:t xml:space="preserve"> (Symbol)</w:t>
            </w:r>
          </w:p>
        </w:tc>
        <w:tc>
          <w:tcPr>
            <w:cnfStyle w:val="100000000000"/>
            <w:tcW w:w="2160" w:type="dxa"/>
          </w:tcPr>
          <w:p w14:paraId="0000000A">
            <w:r>
              <w:rPr>
                <w:rtl/>
              </w:rPr>
              <w:t>القيمة</w:t>
            </w:r>
            <w:r>
              <w:t xml:space="preserve"> (Value)</w:t>
            </w:r>
          </w:p>
        </w:tc>
        <w:tc>
          <w:tcPr>
            <w:cnfStyle w:val="100000000000"/>
            <w:tcW w:w="2160" w:type="dxa"/>
          </w:tcPr>
          <w:p w14:paraId="0000000B">
            <w:r>
              <w:rPr>
                <w:rtl/>
              </w:rPr>
              <w:t>ملاحظة / مرجع</w:t>
            </w:r>
            <w:r>
              <w:t xml:space="preserve"> (Note / Source URL)</w:t>
            </w:r>
          </w:p>
        </w:tc>
      </w:tr>
      <w:tr>
        <w:trPr/>
        <w:tc>
          <w:tcPr>
            <w:cnfStyle w:val="001000100000"/>
            <w:tcW w:w="2160" w:type="dxa"/>
          </w:tcPr>
          <w:p w14:paraId="0000000C">
            <w:r>
              <w:rPr>
                <w:rtl/>
              </w:rPr>
              <w:t>كثافة</w:t>
            </w:r>
            <w:r>
              <w:t xml:space="preserve"> bulk (</w:t>
            </w:r>
            <w:r>
              <w:rPr>
                <w:rtl/>
              </w:rPr>
              <w:t>استعمالي</w:t>
            </w:r>
            <w:r>
              <w:t>)</w:t>
            </w:r>
          </w:p>
        </w:tc>
        <w:tc>
          <w:tcPr>
            <w:cnfStyle w:val="000000100000"/>
            <w:tcW w:w="2160" w:type="dxa"/>
          </w:tcPr>
          <w:p w14:paraId="0000000D">
            <w:r>
              <w:t>ρ</w:t>
            </w:r>
          </w:p>
        </w:tc>
        <w:tc>
          <w:tcPr>
            <w:cnfStyle w:val="000000100000"/>
            <w:tcW w:w="2160" w:type="dxa"/>
          </w:tcPr>
          <w:p w14:paraId="0000000E">
            <w:r>
              <w:t>1300 kg/m³</w:t>
            </w:r>
          </w:p>
        </w:tc>
        <w:tc>
          <w:tcPr>
            <w:cnfStyle w:val="000000100000"/>
            <w:tcW w:w="2160" w:type="dxa"/>
          </w:tcPr>
          <w:p w14:paraId="0000000F">
            <w:r>
              <w:rPr>
                <w:rtl/>
              </w:rPr>
              <w:t>قيمة زودها المستخدم؛ مرجع كثافة الأمثلة</w:t>
            </w:r>
            <w:r>
              <w:t>: https://kg-m3.com/material/salt-fine-table</w:t>
            </w:r>
          </w:p>
        </w:tc>
      </w:tr>
      <w:tr>
        <w:trPr/>
        <w:tc>
          <w:tcPr>
            <w:cnfStyle w:val="001000010000"/>
            <w:tcW w:w="2160" w:type="dxa"/>
          </w:tcPr>
          <w:p w14:paraId="00000010">
            <w:r>
              <w:rPr>
                <w:rtl/>
              </w:rPr>
              <w:t>معامل الملء</w:t>
            </w:r>
            <w:r>
              <w:t xml:space="preserve"> (Volumetric fill factor)</w:t>
            </w:r>
          </w:p>
        </w:tc>
        <w:tc>
          <w:tcPr>
            <w:cnfStyle w:val="000000010000"/>
            <w:tcW w:w="2160" w:type="dxa"/>
          </w:tcPr>
          <w:p w14:paraId="00000011">
            <w:r>
              <w:t>ηv</w:t>
            </w:r>
          </w:p>
        </w:tc>
        <w:tc>
          <w:tcPr>
            <w:cnfStyle w:val="000000010000"/>
            <w:tcW w:w="2160" w:type="dxa"/>
          </w:tcPr>
          <w:p w14:paraId="00000012">
            <w:r>
              <w:t>0.60 (</w:t>
            </w:r>
            <w:r>
              <w:rPr>
                <w:rtl/>
              </w:rPr>
              <w:t>افتراضي للعملية</w:t>
            </w:r>
            <w:r>
              <w:t>)</w:t>
            </w:r>
          </w:p>
        </w:tc>
        <w:tc>
          <w:tcPr>
            <w:cnfStyle w:val="000000010000"/>
            <w:tcW w:w="2160" w:type="dxa"/>
          </w:tcPr>
          <w:p w14:paraId="00000013">
            <w:r>
              <w:rPr>
                <w:rtl/>
              </w:rPr>
              <w:t>قيمة افتراضية؛ مرجع بحثي</w:t>
            </w:r>
            <w:r>
              <w:t>: RWTH thesis (DEM) https://publications.rwth-aachen.de/record/814145/files/814145.pdf</w:t>
            </w:r>
          </w:p>
        </w:tc>
      </w:tr>
      <w:tr>
        <w:trPr/>
        <w:tc>
          <w:tcPr>
            <w:cnfStyle w:val="001000100000"/>
            <w:tcW w:w="2160" w:type="dxa"/>
          </w:tcPr>
          <w:p w14:paraId="00000014">
            <w:r>
              <w:rPr>
                <w:rtl/>
              </w:rPr>
              <w:t>قطر اللولب الخارجي</w:t>
            </w:r>
          </w:p>
        </w:tc>
        <w:tc>
          <w:tcPr>
            <w:cnfStyle w:val="000000100000"/>
            <w:tcW w:w="2160" w:type="dxa"/>
          </w:tcPr>
          <w:p w14:paraId="00000015">
            <w:r>
              <w:t>D</w:t>
            </w:r>
          </w:p>
        </w:tc>
        <w:tc>
          <w:tcPr>
            <w:cnfStyle w:val="000000100000"/>
            <w:tcW w:w="2160" w:type="dxa"/>
          </w:tcPr>
          <w:p w14:paraId="00000016">
            <w:r>
              <w:t>60 mm</w:t>
            </w:r>
          </w:p>
        </w:tc>
        <w:tc>
          <w:tcPr>
            <w:cnfStyle w:val="000000100000"/>
            <w:tcW w:w="2160" w:type="dxa"/>
          </w:tcPr>
          <w:p w14:paraId="00000017">
            <w:r>
              <w:rPr>
                <w:rtl/>
              </w:rPr>
              <w:t>قيمة تصميمية مُعطاة</w:t>
            </w:r>
          </w:p>
        </w:tc>
      </w:tr>
      <w:tr>
        <w:trPr/>
        <w:tc>
          <w:tcPr>
            <w:cnfStyle w:val="001000010000"/>
            <w:tcW w:w="2160" w:type="dxa"/>
          </w:tcPr>
          <w:p w14:paraId="00000018">
            <w:r>
              <w:rPr>
                <w:rtl/>
              </w:rPr>
              <w:t>قطر العمود المركزي</w:t>
            </w:r>
            <w:r>
              <w:t xml:space="preserve"> (Shaft)</w:t>
            </w:r>
          </w:p>
        </w:tc>
        <w:tc>
          <w:tcPr>
            <w:cnfStyle w:val="000000010000"/>
            <w:tcW w:w="2160" w:type="dxa"/>
          </w:tcPr>
          <w:p w14:paraId="00000019">
            <w:r>
              <w:t>D_s</w:t>
            </w:r>
          </w:p>
        </w:tc>
        <w:tc>
          <w:tcPr>
            <w:cnfStyle w:val="000000010000"/>
            <w:tcW w:w="2160" w:type="dxa"/>
          </w:tcPr>
          <w:p w14:paraId="0000001A">
            <w:r>
              <w:t>16 mm</w:t>
            </w:r>
          </w:p>
        </w:tc>
        <w:tc>
          <w:tcPr>
            <w:cnfStyle w:val="000000010000"/>
            <w:tcW w:w="2160" w:type="dxa"/>
          </w:tcPr>
          <w:p w14:paraId="0000001B">
            <w:r>
              <w:rPr>
                <w:rtl/>
              </w:rPr>
              <w:t>قيمة مُعطاة؛ ممكن ترقية إلى</w:t>
            </w:r>
            <w:r>
              <w:t xml:space="preserve"> 20 mm</w:t>
            </w:r>
          </w:p>
        </w:tc>
      </w:tr>
      <w:tr>
        <w:trPr/>
        <w:tc>
          <w:tcPr>
            <w:cnfStyle w:val="001000100000"/>
            <w:tcW w:w="2160" w:type="dxa"/>
          </w:tcPr>
          <w:p w14:paraId="0000001C">
            <w:r>
              <w:rPr>
                <w:rtl/>
              </w:rPr>
              <w:t>الخطوة</w:t>
            </w:r>
            <w:r>
              <w:t xml:space="preserve"> (Pitch)</w:t>
            </w:r>
          </w:p>
        </w:tc>
        <w:tc>
          <w:tcPr>
            <w:cnfStyle w:val="000000100000"/>
            <w:tcW w:w="2160" w:type="dxa"/>
          </w:tcPr>
          <w:p w14:paraId="0000001D">
            <w:r>
              <w:t>p</w:t>
            </w:r>
          </w:p>
        </w:tc>
        <w:tc>
          <w:tcPr>
            <w:cnfStyle w:val="000000100000"/>
            <w:tcW w:w="2160" w:type="dxa"/>
          </w:tcPr>
          <w:p w14:paraId="0000001E">
            <w:r>
              <w:t>60 mm</w:t>
            </w:r>
          </w:p>
        </w:tc>
        <w:tc>
          <w:tcPr>
            <w:cnfStyle w:val="000000100000"/>
            <w:tcW w:w="2160" w:type="dxa"/>
          </w:tcPr>
          <w:p w14:paraId="0000001F">
            <w:r>
              <w:rPr>
                <w:rtl/>
              </w:rPr>
              <w:t>اعتماد شائع</w:t>
            </w:r>
            <w:r>
              <w:t xml:space="preserve"> (p = D)</w:t>
            </w:r>
            <w:r>
              <w:rPr>
                <w:rtl/>
              </w:rPr>
              <w:t>؛ مرجع</w:t>
            </w:r>
            <w:r>
              <w:t>: KWS https://www.kwsmfg.com/engineering-guides/screw-conveyor/screw-conveyor-capacity/</w:t>
            </w:r>
          </w:p>
        </w:tc>
      </w:tr>
      <w:tr>
        <w:trPr/>
        <w:tc>
          <w:tcPr>
            <w:cnfStyle w:val="001000010000"/>
            <w:tcW w:w="2160" w:type="dxa"/>
          </w:tcPr>
          <w:p w14:paraId="00000020">
            <w:r>
              <w:rPr>
                <w:rtl/>
              </w:rPr>
              <w:t>عدد اللفات</w:t>
            </w:r>
          </w:p>
        </w:tc>
        <w:tc>
          <w:tcPr>
            <w:cnfStyle w:val="000000010000"/>
            <w:tcW w:w="2160" w:type="dxa"/>
          </w:tcPr>
          <w:p w14:paraId="00000021">
            <w:r>
              <w:t>N</w:t>
            </w:r>
          </w:p>
        </w:tc>
        <w:tc>
          <w:tcPr>
            <w:cnfStyle w:val="000000010000"/>
            <w:tcW w:w="2160" w:type="dxa"/>
          </w:tcPr>
          <w:p w14:paraId="00000022">
            <w:r>
              <w:t xml:space="preserve">4 </w:t>
            </w:r>
            <w:r>
              <w:rPr>
                <w:rtl/>
              </w:rPr>
              <w:t>لفات</w:t>
            </w:r>
          </w:p>
        </w:tc>
        <w:tc>
          <w:tcPr>
            <w:cnfStyle w:val="000000010000"/>
            <w:tcW w:w="2160" w:type="dxa"/>
          </w:tcPr>
          <w:p w14:paraId="00000023">
            <w:r>
              <w:rPr>
                <w:rtl/>
              </w:rPr>
              <w:t>تصميم</w:t>
            </w:r>
            <w:r>
              <w:t xml:space="preserve"> single-start helix</w:t>
            </w:r>
          </w:p>
        </w:tc>
      </w:tr>
      <w:tr>
        <w:trPr/>
        <w:tc>
          <w:tcPr>
            <w:cnfStyle w:val="001000100000"/>
            <w:tcW w:w="2160" w:type="dxa"/>
          </w:tcPr>
          <w:p w14:paraId="00000024">
            <w:r>
              <w:rPr>
                <w:rtl/>
              </w:rPr>
              <w:t>زمن التعبئة</w:t>
            </w:r>
          </w:p>
        </w:tc>
        <w:tc>
          <w:tcPr>
            <w:cnfStyle w:val="000000100000"/>
            <w:tcW w:w="2160" w:type="dxa"/>
          </w:tcPr>
          <w:p w14:paraId="00000025">
            <w:r>
              <w:t>t_fill</w:t>
            </w:r>
          </w:p>
        </w:tc>
        <w:tc>
          <w:tcPr>
            <w:cnfStyle w:val="000000100000"/>
            <w:tcW w:w="2160" w:type="dxa"/>
          </w:tcPr>
          <w:p w14:paraId="00000026">
            <w:r>
              <w:t>2 s</w:t>
            </w:r>
          </w:p>
        </w:tc>
        <w:tc>
          <w:tcPr>
            <w:cnfStyle w:val="000000100000"/>
            <w:tcW w:w="2160" w:type="dxa"/>
          </w:tcPr>
          <w:p w14:paraId="00000027">
            <w:r>
              <w:rPr>
                <w:rtl/>
              </w:rPr>
              <w:t>زمن التعبئة المعيّن من المستخدم</w:t>
            </w:r>
          </w:p>
        </w:tc>
      </w:tr>
      <w:tr>
        <w:trPr/>
        <w:tc>
          <w:tcPr>
            <w:cnfStyle w:val="001000010000"/>
            <w:tcW w:w="2160" w:type="dxa"/>
          </w:tcPr>
          <w:p w14:paraId="00000028">
            <w:r>
              <w:rPr>
                <w:rtl/>
              </w:rPr>
              <w:t>نطاق الوزن للكيس</w:t>
            </w:r>
          </w:p>
        </w:tc>
        <w:tc>
          <w:tcPr>
            <w:cnfStyle w:val="000000010000"/>
            <w:tcW w:w="2160" w:type="dxa"/>
          </w:tcPr>
          <w:p w14:paraId="00000029">
            <w:r>
              <w:t>m_bag</w:t>
            </w:r>
          </w:p>
        </w:tc>
        <w:tc>
          <w:tcPr>
            <w:cnfStyle w:val="000000010000"/>
            <w:tcW w:w="2160" w:type="dxa"/>
          </w:tcPr>
          <w:p w14:paraId="0000002A">
            <w:r>
              <w:t>100–500 g</w:t>
            </w:r>
          </w:p>
        </w:tc>
        <w:tc>
          <w:tcPr>
            <w:cnfStyle w:val="000000010000"/>
            <w:tcW w:w="2160" w:type="dxa"/>
          </w:tcPr>
          <w:p w14:paraId="0000002B">
            <w:r>
              <w:rPr>
                <w:rtl/>
              </w:rPr>
              <w:t>نطاق الحسابات المطلوبة</w:t>
            </w:r>
          </w:p>
        </w:tc>
      </w:tr>
    </w:tbl>
    <w:p w14:paraId="0000002C"/>
    <w:p w14:paraId="0000002D">
      <w:pPr>
        <w:pStyle w:val="Heading2"/>
        <w:rPr/>
      </w:pPr>
      <w:r>
        <w:t xml:space="preserve">2. </w:t>
      </w:r>
      <w:r>
        <w:rPr>
          <w:rtl/>
        </w:rPr>
        <w:t>المعادلات الأساسية</w:t>
      </w:r>
      <w:r>
        <w:t xml:space="preserve"> (Equations) — </w:t>
      </w:r>
      <w:r>
        <w:rPr>
          <w:rtl/>
        </w:rPr>
        <w:t>مع مرجع لكل معادلة</w:t>
      </w:r>
    </w:p>
    <w:p w14:paraId="0000002E">
      <w:r>
        <w:rPr>
          <w:b/>
        </w:rPr>
        <w:t>V_t = (π / 4) · (D² - D_s²) · p</w:t>
      </w:r>
    </w:p>
    <w:p w14:paraId="0000002F">
      <w:r>
        <w:t>Volume per revolution — used in screw conveyor capacity calculations. See KWS engineering guide and Conveyor Engineering manual.</w:t>
      </w:r>
    </w:p>
    <w:p w14:paraId="00000030">
      <w:r>
        <w:rPr>
          <w:rtl/>
        </w:rPr>
        <w:t>مرجع</w:t>
      </w:r>
      <w:r>
        <w:t>: https://www.kwsmfg.com/engineering-guides/screw-conveyor/screw-conveyor-capacity/ , https://www.screwconveyorparts.com/wp-content/uploads/2018/06/Conveyor-Engineering-Screw-Conveyor-Manual-2.20-SCP.pdf</w:t>
      </w:r>
    </w:p>
    <w:p w14:paraId="00000031">
      <w:r>
        <w:rPr>
          <w:b/>
        </w:rPr>
        <w:t>m_rev = ρ · ηv · V_t</w:t>
      </w:r>
    </w:p>
    <w:p w14:paraId="00000032">
      <w:r>
        <w:t>Mass per revolution = density × volumetric efficiency × volume per revolution. See All-Fill volumetric brochure and RWTH thesis.</w:t>
      </w:r>
    </w:p>
    <w:p w14:paraId="00000033">
      <w:r>
        <w:rPr>
          <w:rtl/>
        </w:rPr>
        <w:t>مرجع</w:t>
      </w:r>
      <w:r>
        <w:t xml:space="preserve">: </w:t>
      </w:r>
      <w:r>
        <w:t xml:space="preserve">https://allfill.co.uk/wp-content/uploads/2019/06/Series-10-Volumetric-Brochure.pdf </w:t>
      </w:r>
    </w:p>
    <w:p w14:paraId="00000034">
      <w:r>
        <w:t>, https://publications.rwth-aachen.de/record/814145/files/814145.pdf</w:t>
      </w:r>
    </w:p>
    <w:p w14:paraId="00000035">
      <w:r>
        <w:rPr>
          <w:b/>
        </w:rPr>
        <w:t>n = m_bag / m_rev</w:t>
      </w:r>
    </w:p>
    <w:p w14:paraId="00000036">
      <w:r>
        <w:t>Revolutions required per bag. Standard volumetric filler control approach (All-Fill).</w:t>
      </w:r>
    </w:p>
    <w:p w14:paraId="00000037">
      <w:r>
        <w:rPr>
          <w:rtl/>
        </w:rPr>
        <w:t>مرجع</w:t>
      </w:r>
      <w:r>
        <w:t>: https://all-fill.com/equipment/auger-fillers/ , https://allfill.co.uk/wp-content/uploads/2019/06/Series-10-Volumetric-Brochure.pdf</w:t>
      </w:r>
    </w:p>
    <w:p w14:paraId="00000038">
      <w:r>
        <w:rPr>
          <w:b/>
        </w:rPr>
        <w:t>RPM = 60 · n / t_fill</w:t>
      </w:r>
    </w:p>
    <w:p w14:paraId="00000039">
      <w:r>
        <w:t>Convert revs/sec to revs/min for motor selection and control.</w:t>
      </w:r>
    </w:p>
    <w:p w14:paraId="0000003A">
      <w:r>
        <w:rPr>
          <w:rtl/>
        </w:rPr>
        <w:t>مرجع</w:t>
      </w:r>
      <w:r>
        <w:t>: Basic conversion; applied in All-Fill brochure.</w:t>
      </w:r>
    </w:p>
    <w:p w14:paraId="0000003B">
      <w:r>
        <w:rPr>
          <w:b/>
        </w:rPr>
        <w:t>α = atan(p / (π · D_m)) where D_m = (D + D_s)/2</w:t>
      </w:r>
    </w:p>
    <w:p w14:paraId="0000003C">
      <w:r>
        <w:t>Helix angle formula (mean diameter) used for geometry and helix layout; see RWTH thesis and screw feeder literature.</w:t>
      </w:r>
    </w:p>
    <w:p w14:paraId="0000003D">
      <w:r>
        <w:rPr>
          <w:rtl/>
        </w:rPr>
        <w:t>مرجع</w:t>
      </w:r>
      <w:r>
        <w:t>: https://publications.rwth-aachen.de/record/814145/files/814145.pdf , https://www.researchgate.net/publication/268032034_Design_and_sizing_of_screw_feeders</w:t>
      </w:r>
    </w:p>
    <w:p w14:paraId="0000003E"/>
    <w:p w14:paraId="0000003F">
      <w:pPr>
        <w:pStyle w:val="Heading2"/>
        <w:rPr/>
      </w:pPr>
      <w:r>
        <w:t xml:space="preserve">3. </w:t>
      </w:r>
      <w:r>
        <w:rPr>
          <w:rtl/>
        </w:rPr>
        <w:t>الحسابات الرقمية خطوة بخطوة</w:t>
      </w:r>
      <w:r>
        <w:t xml:space="preserve"> (100–500 g)</w:t>
      </w:r>
    </w:p>
    <w:p w14:paraId="00000040">
      <w:r>
        <w:rPr>
          <w:rtl/>
        </w:rPr>
        <w:t>حساب</w:t>
      </w:r>
      <w:r>
        <w:t xml:space="preserve"> V_t (</w:t>
      </w:r>
      <w:r>
        <w:rPr>
          <w:rtl/>
        </w:rPr>
        <w:t>الحجم لكل دورة</w:t>
      </w:r>
      <w:r>
        <w:t>): V_t = (π/4)(D² − D_s²)p = 0.00015758 m³/rev (157.58 cm³/rev)</w:t>
      </w:r>
    </w:p>
    <w:p w14:paraId="00000041">
      <w:r>
        <w:rPr>
          <w:rtl/>
        </w:rPr>
        <w:t>حساب</w:t>
      </w:r>
      <w:r>
        <w:t xml:space="preserve"> m_rev (</w:t>
      </w:r>
      <w:r>
        <w:rPr>
          <w:rtl/>
        </w:rPr>
        <w:t>الكتلة لكل دورة</w:t>
      </w:r>
      <w:r>
        <w:t>): m_rev = ρ·ηv·V_t = 0.122914 kg/rev (122.91 g/rev)</w:t>
      </w:r>
    </w:p>
    <w:tbl>
      <w:tblPr>
        <w:tblW w:w="0" w:type="auto"/>
        <w:tblLook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/>
        <w:tc>
          <w:tcPr>
            <w:cnfStyle w:val="101000000000"/>
            <w:tcW w:w="1440" w:type="dxa"/>
          </w:tcPr>
          <w:p w14:paraId="00000042">
            <w:r>
              <w:t>m_bag (g)</w:t>
            </w:r>
          </w:p>
        </w:tc>
        <w:tc>
          <w:tcPr>
            <w:cnfStyle w:val="100000000000"/>
            <w:tcW w:w="1440" w:type="dxa"/>
          </w:tcPr>
          <w:p w14:paraId="00000043">
            <w:r>
              <w:t>m_bag (kg)</w:t>
            </w:r>
          </w:p>
        </w:tc>
        <w:tc>
          <w:tcPr>
            <w:cnfStyle w:val="100000000000"/>
            <w:tcW w:w="1440" w:type="dxa"/>
          </w:tcPr>
          <w:p w14:paraId="00000044">
            <w:r>
              <w:t>m_rev (g/rev)</w:t>
            </w:r>
          </w:p>
        </w:tc>
        <w:tc>
          <w:tcPr>
            <w:cnfStyle w:val="100000000000"/>
            <w:tcW w:w="1440" w:type="dxa"/>
          </w:tcPr>
          <w:p w14:paraId="00000045">
            <w:r>
              <w:t>revs per bag (n)</w:t>
            </w:r>
          </w:p>
        </w:tc>
        <w:tc>
          <w:tcPr>
            <w:cnfStyle w:val="100000000000"/>
            <w:tcW w:w="1440" w:type="dxa"/>
          </w:tcPr>
          <w:p w14:paraId="00000046">
            <w:r>
              <w:t>revs/sec (n/t_fill)</w:t>
            </w:r>
          </w:p>
        </w:tc>
        <w:tc>
          <w:tcPr>
            <w:cnfStyle w:val="100000000000"/>
            <w:tcW w:w="1440" w:type="dxa"/>
          </w:tcPr>
          <w:p w14:paraId="00000047">
            <w:r>
              <w:t>RPM (60*n/t_fill)</w:t>
            </w:r>
          </w:p>
        </w:tc>
      </w:tr>
      <w:tr>
        <w:trPr/>
        <w:tc>
          <w:tcPr>
            <w:cnfStyle w:val="001000100000"/>
            <w:tcW w:w="1440" w:type="dxa"/>
          </w:tcPr>
          <w:p w14:paraId="00000048">
            <w:r>
              <w:t>100</w:t>
            </w:r>
          </w:p>
        </w:tc>
        <w:tc>
          <w:tcPr>
            <w:cnfStyle w:val="000000100000"/>
            <w:tcW w:w="1440" w:type="dxa"/>
          </w:tcPr>
          <w:p w14:paraId="00000049">
            <w:r>
              <w:t>0.1000</w:t>
            </w:r>
          </w:p>
        </w:tc>
        <w:tc>
          <w:tcPr>
            <w:cnfStyle w:val="000000100000"/>
            <w:tcW w:w="1440" w:type="dxa"/>
          </w:tcPr>
          <w:p w14:paraId="0000004A">
            <w:r>
              <w:t>122.91</w:t>
            </w:r>
          </w:p>
        </w:tc>
        <w:tc>
          <w:tcPr>
            <w:cnfStyle w:val="000000100000"/>
            <w:tcW w:w="1440" w:type="dxa"/>
          </w:tcPr>
          <w:p w14:paraId="0000004B">
            <w:r>
              <w:t>0.814</w:t>
            </w:r>
          </w:p>
        </w:tc>
        <w:tc>
          <w:tcPr>
            <w:cnfStyle w:val="000000100000"/>
            <w:tcW w:w="1440" w:type="dxa"/>
          </w:tcPr>
          <w:p w14:paraId="0000004C">
            <w:r>
              <w:t>0.407</w:t>
            </w:r>
          </w:p>
        </w:tc>
        <w:tc>
          <w:tcPr>
            <w:cnfStyle w:val="000000100000"/>
            <w:tcW w:w="1440" w:type="dxa"/>
          </w:tcPr>
          <w:p w14:paraId="0000004D">
            <w:r>
              <w:t>24.4</w:t>
            </w:r>
          </w:p>
        </w:tc>
      </w:tr>
      <w:tr>
        <w:trPr/>
        <w:tc>
          <w:tcPr>
            <w:cnfStyle w:val="001000010000"/>
            <w:tcW w:w="1440" w:type="dxa"/>
          </w:tcPr>
          <w:p w14:paraId="0000004E">
            <w:r>
              <w:t>150</w:t>
            </w:r>
          </w:p>
        </w:tc>
        <w:tc>
          <w:tcPr>
            <w:cnfStyle w:val="000000010000"/>
            <w:tcW w:w="1440" w:type="dxa"/>
          </w:tcPr>
          <w:p w14:paraId="0000004F">
            <w:r>
              <w:t>0.1500</w:t>
            </w:r>
          </w:p>
        </w:tc>
        <w:tc>
          <w:tcPr>
            <w:cnfStyle w:val="000000010000"/>
            <w:tcW w:w="1440" w:type="dxa"/>
          </w:tcPr>
          <w:p w14:paraId="00000050">
            <w:r>
              <w:t>122.91</w:t>
            </w:r>
          </w:p>
        </w:tc>
        <w:tc>
          <w:tcPr>
            <w:cnfStyle w:val="000000010000"/>
            <w:tcW w:w="1440" w:type="dxa"/>
          </w:tcPr>
          <w:p w14:paraId="00000051">
            <w:r>
              <w:t>1.220</w:t>
            </w:r>
          </w:p>
        </w:tc>
        <w:tc>
          <w:tcPr>
            <w:cnfStyle w:val="000000010000"/>
            <w:tcW w:w="1440" w:type="dxa"/>
          </w:tcPr>
          <w:p w14:paraId="00000052">
            <w:r>
              <w:t>0.610</w:t>
            </w:r>
          </w:p>
        </w:tc>
        <w:tc>
          <w:tcPr>
            <w:cnfStyle w:val="000000010000"/>
            <w:tcW w:w="1440" w:type="dxa"/>
          </w:tcPr>
          <w:p w14:paraId="00000053">
            <w:r>
              <w:t>36.6</w:t>
            </w:r>
          </w:p>
        </w:tc>
      </w:tr>
      <w:tr>
        <w:trPr/>
        <w:tc>
          <w:tcPr>
            <w:cnfStyle w:val="001000100000"/>
            <w:tcW w:w="1440" w:type="dxa"/>
          </w:tcPr>
          <w:p w14:paraId="00000054">
            <w:r>
              <w:t>200</w:t>
            </w:r>
          </w:p>
        </w:tc>
        <w:tc>
          <w:tcPr>
            <w:cnfStyle w:val="000000100000"/>
            <w:tcW w:w="1440" w:type="dxa"/>
          </w:tcPr>
          <w:p w14:paraId="00000055">
            <w:r>
              <w:t>0.2000</w:t>
            </w:r>
          </w:p>
        </w:tc>
        <w:tc>
          <w:tcPr>
            <w:cnfStyle w:val="000000100000"/>
            <w:tcW w:w="1440" w:type="dxa"/>
          </w:tcPr>
          <w:p w14:paraId="00000056">
            <w:r>
              <w:t>122.91</w:t>
            </w:r>
          </w:p>
        </w:tc>
        <w:tc>
          <w:tcPr>
            <w:cnfStyle w:val="000000100000"/>
            <w:tcW w:w="1440" w:type="dxa"/>
          </w:tcPr>
          <w:p w14:paraId="00000057">
            <w:r>
              <w:t>1.627</w:t>
            </w:r>
          </w:p>
        </w:tc>
        <w:tc>
          <w:tcPr>
            <w:cnfStyle w:val="000000100000"/>
            <w:tcW w:w="1440" w:type="dxa"/>
          </w:tcPr>
          <w:p w14:paraId="00000058">
            <w:r>
              <w:t>0.814</w:t>
            </w:r>
          </w:p>
        </w:tc>
        <w:tc>
          <w:tcPr>
            <w:cnfStyle w:val="000000100000"/>
            <w:tcW w:w="1440" w:type="dxa"/>
          </w:tcPr>
          <w:p w14:paraId="00000059">
            <w:r>
              <w:t>48.8</w:t>
            </w:r>
          </w:p>
        </w:tc>
      </w:tr>
      <w:tr>
        <w:trPr/>
        <w:tc>
          <w:tcPr>
            <w:cnfStyle w:val="001000010000"/>
            <w:tcW w:w="1440" w:type="dxa"/>
          </w:tcPr>
          <w:p w14:paraId="0000005A">
            <w:r>
              <w:t>250</w:t>
            </w:r>
          </w:p>
        </w:tc>
        <w:tc>
          <w:tcPr>
            <w:cnfStyle w:val="000000010000"/>
            <w:tcW w:w="1440" w:type="dxa"/>
          </w:tcPr>
          <w:p w14:paraId="0000005B">
            <w:r>
              <w:t>0.2500</w:t>
            </w:r>
          </w:p>
        </w:tc>
        <w:tc>
          <w:tcPr>
            <w:cnfStyle w:val="000000010000"/>
            <w:tcW w:w="1440" w:type="dxa"/>
          </w:tcPr>
          <w:p w14:paraId="0000005C">
            <w:r>
              <w:t>122.91</w:t>
            </w:r>
          </w:p>
        </w:tc>
        <w:tc>
          <w:tcPr>
            <w:cnfStyle w:val="000000010000"/>
            <w:tcW w:w="1440" w:type="dxa"/>
          </w:tcPr>
          <w:p w14:paraId="0000005D">
            <w:r>
              <w:t>2.034</w:t>
            </w:r>
          </w:p>
        </w:tc>
        <w:tc>
          <w:tcPr>
            <w:cnfStyle w:val="000000010000"/>
            <w:tcW w:w="1440" w:type="dxa"/>
          </w:tcPr>
          <w:p w14:paraId="0000005E">
            <w:r>
              <w:t>1.017</w:t>
            </w:r>
          </w:p>
        </w:tc>
        <w:tc>
          <w:tcPr>
            <w:cnfStyle w:val="000000010000"/>
            <w:tcW w:w="1440" w:type="dxa"/>
          </w:tcPr>
          <w:p w14:paraId="0000005F">
            <w:r>
              <w:t>61.0</w:t>
            </w:r>
          </w:p>
        </w:tc>
      </w:tr>
      <w:tr>
        <w:trPr/>
        <w:tc>
          <w:tcPr>
            <w:cnfStyle w:val="001000100000"/>
            <w:tcW w:w="1440" w:type="dxa"/>
          </w:tcPr>
          <w:p w14:paraId="00000060">
            <w:r>
              <w:t>300</w:t>
            </w:r>
          </w:p>
        </w:tc>
        <w:tc>
          <w:tcPr>
            <w:cnfStyle w:val="000000100000"/>
            <w:tcW w:w="1440" w:type="dxa"/>
          </w:tcPr>
          <w:p w14:paraId="00000061">
            <w:r>
              <w:t>0.3000</w:t>
            </w:r>
          </w:p>
        </w:tc>
        <w:tc>
          <w:tcPr>
            <w:cnfStyle w:val="000000100000"/>
            <w:tcW w:w="1440" w:type="dxa"/>
          </w:tcPr>
          <w:p w14:paraId="00000062">
            <w:r>
              <w:t>122.91</w:t>
            </w:r>
          </w:p>
        </w:tc>
        <w:tc>
          <w:tcPr>
            <w:cnfStyle w:val="000000100000"/>
            <w:tcW w:w="1440" w:type="dxa"/>
          </w:tcPr>
          <w:p w14:paraId="00000063">
            <w:r>
              <w:t>2.441</w:t>
            </w:r>
          </w:p>
        </w:tc>
        <w:tc>
          <w:tcPr>
            <w:cnfStyle w:val="000000100000"/>
            <w:tcW w:w="1440" w:type="dxa"/>
          </w:tcPr>
          <w:p w14:paraId="00000064">
            <w:r>
              <w:t>1.220</w:t>
            </w:r>
          </w:p>
        </w:tc>
        <w:tc>
          <w:tcPr>
            <w:cnfStyle w:val="000000100000"/>
            <w:tcW w:w="1440" w:type="dxa"/>
          </w:tcPr>
          <w:p w14:paraId="00000065">
            <w:r>
              <w:t>73.2</w:t>
            </w:r>
          </w:p>
        </w:tc>
      </w:tr>
      <w:tr>
        <w:trPr/>
        <w:tc>
          <w:tcPr>
            <w:cnfStyle w:val="001000010000"/>
            <w:tcW w:w="1440" w:type="dxa"/>
          </w:tcPr>
          <w:p w14:paraId="00000066">
            <w:r>
              <w:t>400</w:t>
            </w:r>
          </w:p>
        </w:tc>
        <w:tc>
          <w:tcPr>
            <w:cnfStyle w:val="000000010000"/>
            <w:tcW w:w="1440" w:type="dxa"/>
          </w:tcPr>
          <w:p w14:paraId="00000067">
            <w:r>
              <w:t>0.4000</w:t>
            </w:r>
          </w:p>
        </w:tc>
        <w:tc>
          <w:tcPr>
            <w:cnfStyle w:val="000000010000"/>
            <w:tcW w:w="1440" w:type="dxa"/>
          </w:tcPr>
          <w:p w14:paraId="00000068">
            <w:r>
              <w:t>122.91</w:t>
            </w:r>
          </w:p>
        </w:tc>
        <w:tc>
          <w:tcPr>
            <w:cnfStyle w:val="000000010000"/>
            <w:tcW w:w="1440" w:type="dxa"/>
          </w:tcPr>
          <w:p w14:paraId="00000069">
            <w:r>
              <w:t>3.254</w:t>
            </w:r>
          </w:p>
        </w:tc>
        <w:tc>
          <w:tcPr>
            <w:cnfStyle w:val="000000010000"/>
            <w:tcW w:w="1440" w:type="dxa"/>
          </w:tcPr>
          <w:p w14:paraId="0000006A">
            <w:r>
              <w:t>1.627</w:t>
            </w:r>
          </w:p>
        </w:tc>
        <w:tc>
          <w:tcPr>
            <w:cnfStyle w:val="000000010000"/>
            <w:tcW w:w="1440" w:type="dxa"/>
          </w:tcPr>
          <w:p w14:paraId="0000006B">
            <w:r>
              <w:t>97.6</w:t>
            </w:r>
          </w:p>
        </w:tc>
      </w:tr>
      <w:tr>
        <w:trPr/>
        <w:tc>
          <w:tcPr>
            <w:cnfStyle w:val="001000100000"/>
            <w:tcW w:w="1440" w:type="dxa"/>
          </w:tcPr>
          <w:p w14:paraId="0000006C">
            <w:r>
              <w:t>500</w:t>
            </w:r>
          </w:p>
        </w:tc>
        <w:tc>
          <w:tcPr>
            <w:cnfStyle w:val="000000100000"/>
            <w:tcW w:w="1440" w:type="dxa"/>
          </w:tcPr>
          <w:p w14:paraId="0000006D">
            <w:r>
              <w:t>0.5000</w:t>
            </w:r>
          </w:p>
        </w:tc>
        <w:tc>
          <w:tcPr>
            <w:cnfStyle w:val="000000100000"/>
            <w:tcW w:w="1440" w:type="dxa"/>
          </w:tcPr>
          <w:p w14:paraId="0000006E">
            <w:r>
              <w:t>122.91</w:t>
            </w:r>
          </w:p>
        </w:tc>
        <w:tc>
          <w:tcPr>
            <w:cnfStyle w:val="000000100000"/>
            <w:tcW w:w="1440" w:type="dxa"/>
          </w:tcPr>
          <w:p w14:paraId="0000006F">
            <w:r>
              <w:t>4.068</w:t>
            </w:r>
          </w:p>
        </w:tc>
        <w:tc>
          <w:tcPr>
            <w:cnfStyle w:val="000000100000"/>
            <w:tcW w:w="1440" w:type="dxa"/>
          </w:tcPr>
          <w:p w14:paraId="00000070">
            <w:r>
              <w:t>2.034</w:t>
            </w:r>
          </w:p>
        </w:tc>
        <w:tc>
          <w:tcPr>
            <w:cnfStyle w:val="000000100000"/>
            <w:tcW w:w="1440" w:type="dxa"/>
          </w:tcPr>
          <w:p w14:paraId="00000071">
            <w:r>
              <w:t>122.0</w:t>
            </w:r>
          </w:p>
        </w:tc>
      </w:tr>
    </w:tbl>
    <w:p w14:paraId="00000072"/>
    <w:p w14:paraId="00000073">
      <w:pPr>
        <w:pStyle w:val="Heading2"/>
        <w:rPr/>
      </w:pPr>
      <w:r>
        <w:t xml:space="preserve">4. </w:t>
      </w:r>
      <w:r>
        <w:rPr>
          <w:rtl/>
        </w:rPr>
        <w:t>حساسية النتائج (تغير</w:t>
      </w:r>
      <w:r>
        <w:t xml:space="preserve"> ηv </w:t>
      </w:r>
      <w:r>
        <w:rPr>
          <w:rtl/>
        </w:rPr>
        <w:t>و</w:t>
      </w:r>
      <w:r>
        <w:t>ρ)</w:t>
      </w:r>
    </w:p>
    <w:p w14:paraId="00000074">
      <w:r>
        <w:rPr>
          <w:rtl/>
        </w:rPr>
        <w:t>النطاقات العملية لاختبار الحساسية</w:t>
      </w:r>
      <w:r>
        <w:t xml:space="preserve">: ηv∈{0.4,0.5,0.6} </w:t>
      </w:r>
      <w:r>
        <w:rPr>
          <w:rtl/>
        </w:rPr>
        <w:t>و</w:t>
      </w:r>
      <w:r>
        <w:t xml:space="preserve"> ρ∈{1200,1300,1380} kg/m³</w:t>
      </w:r>
    </w:p>
    <w:tbl>
      <w:tblPr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cnfStyle w:val="101000000000"/>
            <w:tcW w:w="1728" w:type="dxa"/>
          </w:tcPr>
          <w:p w14:paraId="00000075">
            <w:r>
              <w:t>ηv</w:t>
            </w:r>
          </w:p>
        </w:tc>
        <w:tc>
          <w:tcPr>
            <w:cnfStyle w:val="100000000000"/>
            <w:tcW w:w="1728" w:type="dxa"/>
          </w:tcPr>
          <w:p w14:paraId="00000076">
            <w:r>
              <w:t>ρ (kg/m³)</w:t>
            </w:r>
          </w:p>
        </w:tc>
        <w:tc>
          <w:tcPr>
            <w:cnfStyle w:val="100000000000"/>
            <w:tcW w:w="1728" w:type="dxa"/>
          </w:tcPr>
          <w:p w14:paraId="00000077">
            <w:r>
              <w:t>m_rev (g/rev)</w:t>
            </w:r>
          </w:p>
        </w:tc>
        <w:tc>
          <w:tcPr>
            <w:cnfStyle w:val="100000000000"/>
            <w:tcW w:w="1728" w:type="dxa"/>
          </w:tcPr>
          <w:p w14:paraId="00000078">
            <w:r>
              <w:t>revs for 250 g</w:t>
            </w:r>
          </w:p>
        </w:tc>
        <w:tc>
          <w:tcPr>
            <w:cnfStyle w:val="100000000000"/>
            <w:tcW w:w="1728" w:type="dxa"/>
          </w:tcPr>
          <w:p w14:paraId="00000079">
            <w:r>
              <w:t>RPM for 250 g (t_fill=2s)</w:t>
            </w:r>
          </w:p>
        </w:tc>
      </w:tr>
      <w:tr>
        <w:trPr/>
        <w:tc>
          <w:tcPr>
            <w:cnfStyle w:val="001000100000"/>
            <w:tcW w:w="1728" w:type="dxa"/>
          </w:tcPr>
          <w:p w14:paraId="0000007A">
            <w:r>
              <w:t>0.40</w:t>
            </w:r>
          </w:p>
        </w:tc>
        <w:tc>
          <w:tcPr>
            <w:cnfStyle w:val="000000100000"/>
            <w:tcW w:w="1728" w:type="dxa"/>
          </w:tcPr>
          <w:p w14:paraId="0000007B">
            <w:r>
              <w:t>1200</w:t>
            </w:r>
          </w:p>
        </w:tc>
        <w:tc>
          <w:tcPr>
            <w:cnfStyle w:val="000000100000"/>
            <w:tcW w:w="1728" w:type="dxa"/>
          </w:tcPr>
          <w:p w14:paraId="0000007C">
            <w:r>
              <w:t>75.64</w:t>
            </w:r>
          </w:p>
        </w:tc>
        <w:tc>
          <w:tcPr>
            <w:cnfStyle w:val="000000100000"/>
            <w:tcW w:w="1728" w:type="dxa"/>
          </w:tcPr>
          <w:p w14:paraId="0000007D">
            <w:r>
              <w:t>3.305</w:t>
            </w:r>
          </w:p>
        </w:tc>
        <w:tc>
          <w:tcPr>
            <w:cnfStyle w:val="000000100000"/>
            <w:tcW w:w="1728" w:type="dxa"/>
          </w:tcPr>
          <w:p w14:paraId="0000007E">
            <w:r>
              <w:t>99.2</w:t>
            </w:r>
          </w:p>
        </w:tc>
      </w:tr>
      <w:tr>
        <w:trPr/>
        <w:tc>
          <w:tcPr>
            <w:cnfStyle w:val="001000010000"/>
            <w:tcW w:w="1728" w:type="dxa"/>
          </w:tcPr>
          <w:p w14:paraId="0000007F">
            <w:r>
              <w:t>0.40</w:t>
            </w:r>
          </w:p>
        </w:tc>
        <w:tc>
          <w:tcPr>
            <w:cnfStyle w:val="000000010000"/>
            <w:tcW w:w="1728" w:type="dxa"/>
          </w:tcPr>
          <w:p w14:paraId="00000080">
            <w:r>
              <w:t>1300</w:t>
            </w:r>
          </w:p>
        </w:tc>
        <w:tc>
          <w:tcPr>
            <w:cnfStyle w:val="000000010000"/>
            <w:tcW w:w="1728" w:type="dxa"/>
          </w:tcPr>
          <w:p w14:paraId="00000081">
            <w:r>
              <w:t>81.94</w:t>
            </w:r>
          </w:p>
        </w:tc>
        <w:tc>
          <w:tcPr>
            <w:cnfStyle w:val="000000010000"/>
            <w:tcW w:w="1728" w:type="dxa"/>
          </w:tcPr>
          <w:p w14:paraId="00000082">
            <w:r>
              <w:t>3.051</w:t>
            </w:r>
          </w:p>
        </w:tc>
        <w:tc>
          <w:tcPr>
            <w:cnfStyle w:val="000000010000"/>
            <w:tcW w:w="1728" w:type="dxa"/>
          </w:tcPr>
          <w:p w14:paraId="00000083">
            <w:r>
              <w:t>91.5</w:t>
            </w:r>
          </w:p>
        </w:tc>
      </w:tr>
      <w:tr>
        <w:trPr/>
        <w:tc>
          <w:tcPr>
            <w:cnfStyle w:val="001000100000"/>
            <w:tcW w:w="1728" w:type="dxa"/>
          </w:tcPr>
          <w:p w14:paraId="00000084">
            <w:r>
              <w:t>0.40</w:t>
            </w:r>
          </w:p>
        </w:tc>
        <w:tc>
          <w:tcPr>
            <w:cnfStyle w:val="000000100000"/>
            <w:tcW w:w="1728" w:type="dxa"/>
          </w:tcPr>
          <w:p w14:paraId="00000085">
            <w:r>
              <w:t>1380</w:t>
            </w:r>
          </w:p>
        </w:tc>
        <w:tc>
          <w:tcPr>
            <w:cnfStyle w:val="000000100000"/>
            <w:tcW w:w="1728" w:type="dxa"/>
          </w:tcPr>
          <w:p w14:paraId="00000086">
            <w:r>
              <w:t>86.99</w:t>
            </w:r>
          </w:p>
        </w:tc>
        <w:tc>
          <w:tcPr>
            <w:cnfStyle w:val="000000100000"/>
            <w:tcW w:w="1728" w:type="dxa"/>
          </w:tcPr>
          <w:p w14:paraId="00000087">
            <w:r>
              <w:t>2.874</w:t>
            </w:r>
          </w:p>
        </w:tc>
        <w:tc>
          <w:tcPr>
            <w:cnfStyle w:val="000000100000"/>
            <w:tcW w:w="1728" w:type="dxa"/>
          </w:tcPr>
          <w:p w14:paraId="00000088">
            <w:r>
              <w:t>86.2</w:t>
            </w:r>
          </w:p>
        </w:tc>
      </w:tr>
      <w:tr>
        <w:trPr/>
        <w:tc>
          <w:tcPr>
            <w:cnfStyle w:val="001000010000"/>
            <w:tcW w:w="1728" w:type="dxa"/>
          </w:tcPr>
          <w:p w14:paraId="00000089">
            <w:r>
              <w:t>0.50</w:t>
            </w:r>
          </w:p>
        </w:tc>
        <w:tc>
          <w:tcPr>
            <w:cnfStyle w:val="000000010000"/>
            <w:tcW w:w="1728" w:type="dxa"/>
          </w:tcPr>
          <w:p w14:paraId="0000008A">
            <w:r>
              <w:t>1200</w:t>
            </w:r>
          </w:p>
        </w:tc>
        <w:tc>
          <w:tcPr>
            <w:cnfStyle w:val="000000010000"/>
            <w:tcW w:w="1728" w:type="dxa"/>
          </w:tcPr>
          <w:p w14:paraId="0000008B">
            <w:r>
              <w:t>94.55</w:t>
            </w:r>
          </w:p>
        </w:tc>
        <w:tc>
          <w:tcPr>
            <w:cnfStyle w:val="000000010000"/>
            <w:tcW w:w="1728" w:type="dxa"/>
          </w:tcPr>
          <w:p w14:paraId="0000008C">
            <w:r>
              <w:t>2.644</w:t>
            </w:r>
          </w:p>
        </w:tc>
        <w:tc>
          <w:tcPr>
            <w:cnfStyle w:val="000000010000"/>
            <w:tcW w:w="1728" w:type="dxa"/>
          </w:tcPr>
          <w:p w14:paraId="0000008D">
            <w:r>
              <w:t>79.3</w:t>
            </w:r>
          </w:p>
        </w:tc>
      </w:tr>
      <w:tr>
        <w:trPr/>
        <w:tc>
          <w:tcPr>
            <w:cnfStyle w:val="001000100000"/>
            <w:tcW w:w="1728" w:type="dxa"/>
          </w:tcPr>
          <w:p w14:paraId="0000008E">
            <w:r>
              <w:t>0.50</w:t>
            </w:r>
          </w:p>
        </w:tc>
        <w:tc>
          <w:tcPr>
            <w:cnfStyle w:val="000000100000"/>
            <w:tcW w:w="1728" w:type="dxa"/>
          </w:tcPr>
          <w:p w14:paraId="0000008F">
            <w:r>
              <w:t>1300</w:t>
            </w:r>
          </w:p>
        </w:tc>
        <w:tc>
          <w:tcPr>
            <w:cnfStyle w:val="000000100000"/>
            <w:tcW w:w="1728" w:type="dxa"/>
          </w:tcPr>
          <w:p w14:paraId="00000090">
            <w:r>
              <w:t>102.43</w:t>
            </w:r>
          </w:p>
        </w:tc>
        <w:tc>
          <w:tcPr>
            <w:cnfStyle w:val="000000100000"/>
            <w:tcW w:w="1728" w:type="dxa"/>
          </w:tcPr>
          <w:p w14:paraId="00000091">
            <w:r>
              <w:t>2.441</w:t>
            </w:r>
          </w:p>
        </w:tc>
        <w:tc>
          <w:tcPr>
            <w:cnfStyle w:val="000000100000"/>
            <w:tcW w:w="1728" w:type="dxa"/>
          </w:tcPr>
          <w:p w14:paraId="00000092">
            <w:r>
              <w:t>73.2</w:t>
            </w:r>
          </w:p>
        </w:tc>
      </w:tr>
      <w:tr>
        <w:trPr/>
        <w:tc>
          <w:tcPr>
            <w:cnfStyle w:val="001000010000"/>
            <w:tcW w:w="1728" w:type="dxa"/>
          </w:tcPr>
          <w:p w14:paraId="00000093">
            <w:r>
              <w:t>0.50</w:t>
            </w:r>
          </w:p>
        </w:tc>
        <w:tc>
          <w:tcPr>
            <w:cnfStyle w:val="000000010000"/>
            <w:tcW w:w="1728" w:type="dxa"/>
          </w:tcPr>
          <w:p w14:paraId="00000094">
            <w:r>
              <w:t>1380</w:t>
            </w:r>
          </w:p>
        </w:tc>
        <w:tc>
          <w:tcPr>
            <w:cnfStyle w:val="000000010000"/>
            <w:tcW w:w="1728" w:type="dxa"/>
          </w:tcPr>
          <w:p w14:paraId="00000095">
            <w:r>
              <w:t>108.73</w:t>
            </w:r>
          </w:p>
        </w:tc>
        <w:tc>
          <w:tcPr>
            <w:cnfStyle w:val="000000010000"/>
            <w:tcW w:w="1728" w:type="dxa"/>
          </w:tcPr>
          <w:p w14:paraId="00000096">
            <w:r>
              <w:t>2.299</w:t>
            </w:r>
          </w:p>
        </w:tc>
        <w:tc>
          <w:tcPr>
            <w:cnfStyle w:val="000000010000"/>
            <w:tcW w:w="1728" w:type="dxa"/>
          </w:tcPr>
          <w:p w14:paraId="00000097">
            <w:r>
              <w:t>69.0</w:t>
            </w:r>
          </w:p>
        </w:tc>
      </w:tr>
      <w:tr>
        <w:trPr/>
        <w:tc>
          <w:tcPr>
            <w:cnfStyle w:val="001000100000"/>
            <w:tcW w:w="1728" w:type="dxa"/>
          </w:tcPr>
          <w:p w14:paraId="00000098">
            <w:r>
              <w:t>0.60</w:t>
            </w:r>
          </w:p>
        </w:tc>
        <w:tc>
          <w:tcPr>
            <w:cnfStyle w:val="000000100000"/>
            <w:tcW w:w="1728" w:type="dxa"/>
          </w:tcPr>
          <w:p w14:paraId="00000099">
            <w:r>
              <w:t>1200</w:t>
            </w:r>
          </w:p>
        </w:tc>
        <w:tc>
          <w:tcPr>
            <w:cnfStyle w:val="000000100000"/>
            <w:tcW w:w="1728" w:type="dxa"/>
          </w:tcPr>
          <w:p w14:paraId="0000009A">
            <w:r>
              <w:t>113.46</w:t>
            </w:r>
          </w:p>
        </w:tc>
        <w:tc>
          <w:tcPr>
            <w:cnfStyle w:val="000000100000"/>
            <w:tcW w:w="1728" w:type="dxa"/>
          </w:tcPr>
          <w:p w14:paraId="0000009B">
            <w:r>
              <w:t>2.203</w:t>
            </w:r>
          </w:p>
        </w:tc>
        <w:tc>
          <w:tcPr>
            <w:cnfStyle w:val="000000100000"/>
            <w:tcW w:w="1728" w:type="dxa"/>
          </w:tcPr>
          <w:p w14:paraId="0000009C">
            <w:r>
              <w:t>66.1</w:t>
            </w:r>
          </w:p>
        </w:tc>
      </w:tr>
      <w:tr>
        <w:trPr/>
        <w:tc>
          <w:tcPr>
            <w:cnfStyle w:val="001000010000"/>
            <w:tcW w:w="1728" w:type="dxa"/>
          </w:tcPr>
          <w:p w14:paraId="0000009D">
            <w:r>
              <w:t>0.60</w:t>
            </w:r>
          </w:p>
        </w:tc>
        <w:tc>
          <w:tcPr>
            <w:cnfStyle w:val="000000010000"/>
            <w:tcW w:w="1728" w:type="dxa"/>
          </w:tcPr>
          <w:p w14:paraId="0000009E">
            <w:r>
              <w:t>1300</w:t>
            </w:r>
          </w:p>
        </w:tc>
        <w:tc>
          <w:tcPr>
            <w:cnfStyle w:val="000000010000"/>
            <w:tcW w:w="1728" w:type="dxa"/>
          </w:tcPr>
          <w:p w14:paraId="0000009F">
            <w:r>
              <w:t>122.91</w:t>
            </w:r>
          </w:p>
        </w:tc>
        <w:tc>
          <w:tcPr>
            <w:cnfStyle w:val="000000010000"/>
            <w:tcW w:w="1728" w:type="dxa"/>
          </w:tcPr>
          <w:p w14:paraId="000000A0">
            <w:r>
              <w:t>2.034</w:t>
            </w:r>
          </w:p>
        </w:tc>
        <w:tc>
          <w:tcPr>
            <w:cnfStyle w:val="000000010000"/>
            <w:tcW w:w="1728" w:type="dxa"/>
          </w:tcPr>
          <w:p w14:paraId="000000A1">
            <w:r>
              <w:t>61.0</w:t>
            </w:r>
          </w:p>
        </w:tc>
      </w:tr>
      <w:tr>
        <w:trPr/>
        <w:tc>
          <w:tcPr>
            <w:cnfStyle w:val="001000100000"/>
            <w:tcW w:w="1728" w:type="dxa"/>
          </w:tcPr>
          <w:p w14:paraId="000000A2">
            <w:r>
              <w:t>0.60</w:t>
            </w:r>
          </w:p>
        </w:tc>
        <w:tc>
          <w:tcPr>
            <w:cnfStyle w:val="000000100000"/>
            <w:tcW w:w="1728" w:type="dxa"/>
          </w:tcPr>
          <w:p w14:paraId="000000A3">
            <w:r>
              <w:t>1380</w:t>
            </w:r>
          </w:p>
        </w:tc>
        <w:tc>
          <w:tcPr>
            <w:cnfStyle w:val="000000100000"/>
            <w:tcW w:w="1728" w:type="dxa"/>
          </w:tcPr>
          <w:p w14:paraId="000000A4">
            <w:r>
              <w:t>130.48</w:t>
            </w:r>
          </w:p>
        </w:tc>
        <w:tc>
          <w:tcPr>
            <w:cnfStyle w:val="000000100000"/>
            <w:tcW w:w="1728" w:type="dxa"/>
          </w:tcPr>
          <w:p w14:paraId="000000A5">
            <w:r>
              <w:t>1.916</w:t>
            </w:r>
          </w:p>
        </w:tc>
        <w:tc>
          <w:tcPr>
            <w:cnfStyle w:val="000000100000"/>
            <w:tcW w:w="1728" w:type="dxa"/>
          </w:tcPr>
          <w:p w14:paraId="000000A6">
            <w:r>
              <w:t>57.5</w:t>
            </w:r>
          </w:p>
        </w:tc>
      </w:tr>
    </w:tbl>
    <w:p w14:paraId="000000A7"/>
    <w:p w14:paraId="000000A8">
      <w:pPr>
        <w:pStyle w:val="Heading2"/>
        <w:rPr/>
      </w:pPr>
      <w:r>
        <w:t xml:space="preserve">5. </w:t>
      </w:r>
      <w:r>
        <w:rPr>
          <w:rtl/>
        </w:rPr>
        <w:t>المراجع</w:t>
      </w:r>
      <w:r>
        <w:t xml:space="preserve"> (References) — </w:t>
      </w:r>
      <w:r>
        <w:rPr>
          <w:rtl/>
        </w:rPr>
        <w:t>روابط مباشرة للمصادر المستخدمة</w:t>
      </w:r>
    </w:p>
    <w:p w14:paraId="000000A9">
      <w:r>
        <w:rPr>
          <w:b/>
        </w:rPr>
        <w:t xml:space="preserve">Screw Conveyor Capacity — KWS Engineering Guide: </w:t>
      </w:r>
      <w:r>
        <w:t>https://www.kwsmfg.com/engineering-guides/screw-conveyor/screw-conveyor-capacity/</w:t>
      </w:r>
    </w:p>
    <w:p w14:paraId="000000AA">
      <w:r>
        <w:rPr>
          <w:b/>
        </w:rPr>
        <w:t xml:space="preserve">Design and sizing of screw feeders — ResearchGate (Bortolamasi &amp; Fottner): </w:t>
      </w:r>
      <w:r>
        <w:t>https://www.researchgate.net/publication/268032034_Design_and_sizing_of_screw_feeders</w:t>
      </w:r>
    </w:p>
    <w:p w14:paraId="000000AB">
      <w:r>
        <w:rPr>
          <w:b/>
        </w:rPr>
        <w:t xml:space="preserve">Machine Design for Auger Dosing of Powders — RWTH Aachen (thesis, PDF): </w:t>
      </w:r>
      <w:r>
        <w:t>https://publications.rwth-aachen.de/record/814145/files/814145.pdf</w:t>
      </w:r>
    </w:p>
    <w:p w14:paraId="000000AC">
      <w:r>
        <w:rPr>
          <w:b/>
        </w:rPr>
        <w:t xml:space="preserve">All-Fill Auger Fillers (product &amp; technical): </w:t>
      </w:r>
      <w:r>
        <w:t>https://www.all-fill.com/equipment/auger-fillers/</w:t>
      </w:r>
    </w:p>
    <w:p w14:paraId="000000AD">
      <w:r>
        <w:rPr>
          <w:b/>
        </w:rPr>
        <w:t xml:space="preserve">Screw Conveyor Design and Component Manual (Conveyor Engineering): </w:t>
      </w:r>
      <w:r>
        <w:t>https://www.screwconveyorparts.com/wp-content/uploads/2018/06/Conveyor-Engineering-Screw-Conveyor-Manual-2.20-SCP.pdf</w:t>
      </w:r>
    </w:p>
    <w:p w14:paraId="000000AE">
      <w:r>
        <w:rPr>
          <w:b/>
        </w:rPr>
        <w:t xml:space="preserve">Salt, fine table density — kg-m3: </w:t>
      </w:r>
      <w:r>
        <w:t>https://kg-m3.com/material/salt-fine-table</w:t>
      </w:r>
    </w:p>
    <w:p w14:paraId="000000AF">
      <w:r>
        <w:rPr>
          <w:b/>
        </w:rPr>
        <w:t xml:space="preserve">A Review on Screw Conveyors for Bulk Materials — ResearchGate (review): </w:t>
      </w:r>
      <w:r>
        <w:t>https://www.researchgate.net/profile/Supattarachai-Sudsawat-2/publication/361655904_A_Review_on_Screw_Conveyors_for_Bulk_Materials_in_Various_Applications/links/62be6ad37d27ac698c2a4d5a/A-Review-on-Screw-Conveyors-for-Bulk-Materials-in-Various-Applications.pdf</w:t>
      </w:r>
    </w:p>
    <w:p w14:paraId="000000B0">
      <w:r>
        <w:rPr>
          <w:b/>
        </w:rPr>
        <w:t xml:space="preserve">All-Fill Series 10 Volumetric Brochure (PDF): </w:t>
      </w:r>
      <w:r>
        <w:t>https://allfill.co.uk/wp-content/uploads/2019/06/Series-10-Volumetric-Brochure.pdf</w:t>
      </w:r>
    </w:p>
    <w:p w14:paraId="000000B1">
      <w:r>
        <w:rPr>
          <w:b/>
        </w:rPr>
        <w:t xml:space="preserve">Modeling the Discharge Rate of a Screw Conveyor (MDPI Agriculture): </w:t>
      </w:r>
      <w:r>
        <w:t>https://www.mdpi.com/2077-0472/14/7/1203</w:t>
      </w:r>
    </w:p>
    <w:p w14:paraId="000000B2">
      <w:r>
        <w:rPr>
          <w:b/>
        </w:rPr>
        <w:t xml:space="preserve">Auger filler manual (technical PDF): </w:t>
      </w:r>
      <w:r>
        <w:t>https://img1.wsimg.com/blobby/go/f36019eb-f077-446f-b5b6-39b8eacedf97/downloads/82417723235.pdf</w:t>
      </w:r>
    </w:p>
    <w:p w14:paraId="000000B3">
      <w:r>
        <w:t>Prepared by: Hassan M. (Project team)</w:t>
      </w:r>
    </w:p>
    <w:p w14:paraId="000000B4">
      <w:r>
        <w:t>Date: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المرحلة الأولى - تصميم لولب التعبئة Auger (ثنائي اللغة - عربي أكثر)</dc:title>
  <dc:description>generated by python-docx</dc:description>
  <dc:creator>python-docx</dc:creator>
  <cp:lastModifiedBy>حسن</cp:lastModifiedBy>
</cp:coreProperties>
</file>