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A9366" w14:textId="297B4BA5" w:rsidR="007C429F" w:rsidRDefault="007C429F" w:rsidP="007C429F">
      <w:pPr>
        <w:spacing w:after="200" w:line="276" w:lineRule="auto"/>
        <w:jc w:val="both"/>
        <w:rPr>
          <w:rFonts w:eastAsiaTheme="majorEastAsia" w:cstheme="majorBidi"/>
          <w:b/>
          <w:bCs/>
          <w:color w:val="003366"/>
          <w:sz w:val="36"/>
          <w:szCs w:val="32"/>
        </w:rPr>
      </w:pPr>
      <w:bookmarkStart w:id="0" w:name="_Hlk226946937"/>
      <w:bookmarkStart w:id="1" w:name="_Hlk226947200"/>
      <w:r>
        <w:rPr>
          <w:rFonts w:eastAsiaTheme="majorEastAsia" w:cstheme="majorBidi"/>
          <w:b/>
          <w:bCs/>
          <w:noProof/>
          <w:color w:val="003366"/>
          <w:sz w:val="36"/>
          <w:szCs w:val="32"/>
        </w:rPr>
        <mc:AlternateContent>
          <mc:Choice Requires="wps">
            <w:drawing>
              <wp:anchor distT="0" distB="0" distL="114300" distR="114300" simplePos="0" relativeHeight="251659264" behindDoc="0" locked="0" layoutInCell="1" allowOverlap="1" wp14:anchorId="7A11CB36" wp14:editId="5DEFBE63">
                <wp:simplePos x="0" y="0"/>
                <wp:positionH relativeFrom="column">
                  <wp:posOffset>-1046633</wp:posOffset>
                </wp:positionH>
                <wp:positionV relativeFrom="paragraph">
                  <wp:posOffset>-915560</wp:posOffset>
                </wp:positionV>
                <wp:extent cx="1347952" cy="10058072"/>
                <wp:effectExtent l="57150" t="19050" r="81280" b="95885"/>
                <wp:wrapNone/>
                <wp:docPr id="1" name="Rectangle 1"/>
                <wp:cNvGraphicFramePr/>
                <a:graphic xmlns:a="http://schemas.openxmlformats.org/drawingml/2006/main">
                  <a:graphicData uri="http://schemas.microsoft.com/office/word/2010/wordprocessingShape">
                    <wps:wsp>
                      <wps:cNvSpPr/>
                      <wps:spPr>
                        <a:xfrm>
                          <a:off x="0" y="0"/>
                          <a:ext cx="1347952" cy="10058072"/>
                        </a:xfrm>
                        <a:prstGeom prst="rect">
                          <a:avLst/>
                        </a:prstGeom>
                        <a:solidFill>
                          <a:schemeClr val="bg2">
                            <a:lumMod val="5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8B7BB7" id="Rectangle 1" o:spid="_x0000_s1026" style="position:absolute;margin-left:-82.4pt;margin-top:-72.1pt;width:106.15pt;height:791.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" fillcolor="#938953 [1614]" strokecolor="#4579b8 [3044]">
                <v:shadow on="t" color="black" opacity="22937f" origin=",.5" offset="0,.63889mm"/>
              </v:rect>
            </w:pict>
          </mc:Fallback>
        </mc:AlternateContent>
      </w:r>
    </w:p>
    <w:p w14:paraId="69AF9E0D" w14:textId="386236DA" w:rsidR="007C429F" w:rsidRDefault="007C429F">
      <w:pPr>
        <w:spacing w:after="200" w:line="276" w:lineRule="auto"/>
        <w:rPr>
          <w:rFonts w:eastAsiaTheme="majorEastAsia" w:cstheme="majorBidi"/>
          <w:b/>
          <w:bCs/>
          <w:color w:val="003366"/>
          <w:sz w:val="36"/>
          <w:szCs w:val="32"/>
        </w:rPr>
      </w:pPr>
      <w:r w:rsidRPr="00681872">
        <w:rPr>
          <w:rFonts w:asciiTheme="majorBidi" w:hAnsiTheme="majorBidi" w:cstheme="majorBidi"/>
          <w:noProof/>
          <w:sz w:val="20"/>
        </w:rPr>
        <mc:AlternateContent>
          <mc:Choice Requires="wps">
            <w:drawing>
              <wp:anchor distT="45720" distB="45720" distL="114300" distR="114300" simplePos="0" relativeHeight="251670016" behindDoc="1" locked="0" layoutInCell="1" allowOverlap="1" wp14:anchorId="5DDE3A90" wp14:editId="4D42E040">
                <wp:simplePos x="0" y="0"/>
                <wp:positionH relativeFrom="margin">
                  <wp:posOffset>1008380</wp:posOffset>
                </wp:positionH>
                <wp:positionV relativeFrom="paragraph">
                  <wp:posOffset>1453515</wp:posOffset>
                </wp:positionV>
                <wp:extent cx="4808220" cy="1859915"/>
                <wp:effectExtent l="0" t="0" r="1143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8220" cy="1859915"/>
                        </a:xfrm>
                        <a:prstGeom prst="rect">
                          <a:avLst/>
                        </a:prstGeom>
                        <a:solidFill>
                          <a:srgbClr val="FFFFFF"/>
                        </a:solidFill>
                        <a:ln w="9525">
                          <a:solidFill>
                            <a:schemeClr val="accent1">
                              <a:lumMod val="75000"/>
                            </a:schemeClr>
                          </a:solidFill>
                          <a:miter lim="800000"/>
                          <a:headEnd/>
                          <a:tailEnd/>
                        </a:ln>
                      </wps:spPr>
                      <wps:txbx>
                        <w:txbxContent>
                          <w:p w14:paraId="12893AE6" w14:textId="77777777" w:rsidR="007C429F" w:rsidRPr="00383605" w:rsidRDefault="007C429F" w:rsidP="007C429F">
                            <w:pPr>
                              <w:spacing w:after="600"/>
                              <w:jc w:val="center"/>
                              <w:rPr>
                                <w:rFonts w:asciiTheme="majorBidi" w:hAnsiTheme="majorBidi" w:cstheme="majorBidi"/>
                                <w:color w:val="000000" w:themeColor="text1"/>
                              </w:rPr>
                            </w:pPr>
                            <w:bookmarkStart w:id="2" w:name="_Toc143549485"/>
                            <w:bookmarkStart w:id="3" w:name="_Toc144167854"/>
                            <w:r w:rsidRPr="00383605">
                              <w:rPr>
                                <w:rStyle w:val="IntenseReference"/>
                                <w:rFonts w:asciiTheme="majorBidi" w:hAnsiTheme="majorBidi" w:cstheme="majorBidi"/>
                                <w:color w:val="000000" w:themeColor="text1"/>
                                <w:sz w:val="40"/>
                                <w:szCs w:val="40"/>
                              </w:rPr>
                              <w:t>CHAPTER THREE</w:t>
                            </w:r>
                          </w:p>
                          <w:bookmarkEnd w:id="2"/>
                          <w:bookmarkEnd w:id="3"/>
                          <w:p w14:paraId="218D31C6" w14:textId="0CB7B5A6" w:rsidR="007C429F" w:rsidRPr="007C429F" w:rsidRDefault="007C429F" w:rsidP="007C429F">
                            <w:pPr>
                              <w:pStyle w:val="Heading1"/>
                              <w:jc w:val="center"/>
                              <w:rPr>
                                <w:rFonts w:asciiTheme="majorBidi" w:hAnsiTheme="majorBidi"/>
                                <w:b w:val="0"/>
                                <w:bCs w:val="0"/>
                                <w:color w:val="948A54" w:themeColor="background2" w:themeShade="80"/>
                                <w:sz w:val="36"/>
                                <w:szCs w:val="36"/>
                              </w:rPr>
                            </w:pPr>
                            <w:r w:rsidRPr="007C429F">
                              <w:rPr>
                                <w:rFonts w:asciiTheme="majorBidi" w:hAnsiTheme="majorBidi"/>
                                <w:color w:val="948A54" w:themeColor="background2" w:themeShade="80"/>
                                <w:sz w:val="48"/>
                                <w:szCs w:val="32"/>
                                <w:u w:val="single"/>
                              </w:rPr>
                              <w:t>RESULTS DISCUSSION AND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DE3A90" id="_x0000_t202" coordsize="21600,21600" o:spt="202" path="m,l,21600r21600,l21600,xe">
                <v:stroke joinstyle="miter"/>
                <v:path gradientshapeok="t" o:connecttype="rect"/>
              </v:shapetype>
              <v:shape id="Text Box 2" o:spid="_x0000_s1026" type="#_x0000_t202" style="position:absolute;margin-left:79.4pt;margin-top:114.45pt;width:378.6pt;height:146.45pt;z-index:-25164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" strokecolor="#365f91 [2404]">
                <v:textbox>
                  <w:txbxContent>
                    <w:p w14:paraId="12893AE6" w14:textId="77777777" w:rsidR="007C429F" w:rsidRPr="00383605" w:rsidRDefault="007C429F" w:rsidP="007C429F">
                      <w:pPr>
                        <w:spacing w:after="600"/>
                        <w:jc w:val="center"/>
                        <w:rPr>
                          <w:rFonts w:asciiTheme="majorBidi" w:hAnsiTheme="majorBidi" w:cstheme="majorBidi"/>
                          <w:color w:val="000000" w:themeColor="text1"/>
                        </w:rPr>
                      </w:pPr>
                      <w:bookmarkStart w:id="4" w:name="_Toc143549485"/>
                      <w:bookmarkStart w:id="5" w:name="_Toc144167854"/>
                      <w:r w:rsidRPr="00383605">
                        <w:rPr>
                          <w:rStyle w:val="IntenseReference"/>
                          <w:rFonts w:asciiTheme="majorBidi" w:hAnsiTheme="majorBidi" w:cstheme="majorBidi"/>
                          <w:color w:val="000000" w:themeColor="text1"/>
                          <w:sz w:val="40"/>
                          <w:szCs w:val="40"/>
                        </w:rPr>
                        <w:t>CHAPTER THREE</w:t>
                      </w:r>
                    </w:p>
                    <w:bookmarkEnd w:id="4"/>
                    <w:bookmarkEnd w:id="5"/>
                    <w:p w14:paraId="218D31C6" w14:textId="0CB7B5A6" w:rsidR="007C429F" w:rsidRPr="007C429F" w:rsidRDefault="007C429F" w:rsidP="007C429F">
                      <w:pPr>
                        <w:pStyle w:val="Heading1"/>
                        <w:jc w:val="center"/>
                        <w:rPr>
                          <w:rFonts w:asciiTheme="majorBidi" w:hAnsiTheme="majorBidi"/>
                          <w:b w:val="0"/>
                          <w:bCs w:val="0"/>
                          <w:color w:val="948A54" w:themeColor="background2" w:themeShade="80"/>
                          <w:sz w:val="36"/>
                          <w:szCs w:val="36"/>
                        </w:rPr>
                      </w:pPr>
                      <w:r w:rsidRPr="007C429F">
                        <w:rPr>
                          <w:rFonts w:asciiTheme="majorBidi" w:hAnsiTheme="majorBidi"/>
                          <w:color w:val="948A54" w:themeColor="background2" w:themeShade="80"/>
                          <w:sz w:val="48"/>
                          <w:szCs w:val="32"/>
                          <w:u w:val="single"/>
                        </w:rPr>
                        <w:t>RESULTS DISCUSSION AND EVALUATION</w:t>
                      </w:r>
                    </w:p>
                  </w:txbxContent>
                </v:textbox>
                <w10:wrap type="square" anchorx="margin"/>
              </v:shape>
            </w:pict>
          </mc:Fallback>
        </mc:AlternateContent>
      </w:r>
      <w:r w:rsidRPr="00681872">
        <w:rPr>
          <w:rFonts w:asciiTheme="majorBidi" w:eastAsia="Calibri" w:hAnsiTheme="majorBidi" w:cstheme="majorBidi"/>
          <w:noProof/>
          <w:sz w:val="22"/>
        </w:rPr>
        <mc:AlternateContent>
          <mc:Choice Requires="wpg">
            <w:drawing>
              <wp:anchor distT="0" distB="0" distL="114300" distR="114300" simplePos="0" relativeHeight="251653632" behindDoc="0" locked="0" layoutInCell="1" allowOverlap="1" wp14:anchorId="340EA642" wp14:editId="30528462">
                <wp:simplePos x="0" y="0"/>
                <wp:positionH relativeFrom="margin">
                  <wp:posOffset>5817169</wp:posOffset>
                </wp:positionH>
                <wp:positionV relativeFrom="paragraph">
                  <wp:posOffset>1224280</wp:posOffset>
                </wp:positionV>
                <wp:extent cx="201930" cy="2513330"/>
                <wp:effectExtent l="0" t="19050" r="26670" b="20320"/>
                <wp:wrapSquare wrapText="bothSides"/>
                <wp:docPr id="110119" name="Group 110119"/>
                <wp:cNvGraphicFramePr/>
                <a:graphic xmlns:a="http://schemas.openxmlformats.org/drawingml/2006/main">
                  <a:graphicData uri="http://schemas.microsoft.com/office/word/2010/wordprocessingGroup">
                    <wpg:wgp>
                      <wpg:cNvGrpSpPr/>
                      <wpg:grpSpPr>
                        <a:xfrm>
                          <a:off x="0" y="0"/>
                          <a:ext cx="201930" cy="2513330"/>
                          <a:chOff x="0" y="0"/>
                          <a:chExt cx="202311" cy="2513330"/>
                        </a:xfrm>
                        <a:solidFill>
                          <a:schemeClr val="bg2">
                            <a:lumMod val="50000"/>
                          </a:schemeClr>
                        </a:solidFill>
                      </wpg:grpSpPr>
                      <wps:wsp>
                        <wps:cNvPr id="2526" name="Shape 2526"/>
                        <wps:cNvSpPr/>
                        <wps:spPr>
                          <a:xfrm>
                            <a:off x="0" y="0"/>
                            <a:ext cx="202311" cy="2513330"/>
                          </a:xfrm>
                          <a:custGeom>
                            <a:avLst/>
                            <a:gdLst/>
                            <a:ahLst/>
                            <a:cxnLst/>
                            <a:rect l="0" t="0" r="0" b="0"/>
                            <a:pathLst>
                              <a:path w="202311" h="2513330">
                                <a:moveTo>
                                  <a:pt x="0" y="0"/>
                                </a:moveTo>
                                <a:cubicBezTo>
                                  <a:pt x="111760" y="0"/>
                                  <a:pt x="202311" y="90551"/>
                                  <a:pt x="202311" y="202311"/>
                                </a:cubicBezTo>
                                <a:lnTo>
                                  <a:pt x="202311" y="2311019"/>
                                </a:lnTo>
                                <a:cubicBezTo>
                                  <a:pt x="202311" y="2422779"/>
                                  <a:pt x="111760" y="2513330"/>
                                  <a:pt x="0" y="2513330"/>
                                </a:cubicBezTo>
                              </a:path>
                            </a:pathLst>
                          </a:custGeom>
                          <a:grpFill/>
                          <a:ln w="38100" cap="flat">
                            <a:solidFill>
                              <a:schemeClr val="bg1">
                                <a:lumMod val="50000"/>
                              </a:schemeClr>
                            </a:solidFill>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5EEBADE7" id="Group 110119" o:spid="_x0000_s1026" style="position:absolute;margin-left:458.05pt;margin-top:96.4pt;width:15.9pt;height:197.9pt;z-index:251653632;mso-position-horizontal-relative:margin"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">
                <v:shape id="Shape 2526" o:spid="_x0000_s1027" style="position:absolute;width:2023;height:25133;visibility:visible;mso-wrap-style:square;v-text-anchor:top" coordsize="202311,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" path="m,c111760,,202311,90551,202311,202311r,2108708c202311,2422779,111760,2513330,,2513330e" filled="f" strokecolor="#7f7f7f [1612]" strokeweight="3pt">
                  <v:path arrowok="t" textboxrect="0,0,202311,2513330"/>
                </v:shape>
                <w10:wrap type="square" anchorx="margin"/>
              </v:group>
            </w:pict>
          </mc:Fallback>
        </mc:AlternateContent>
      </w:r>
      <w:r w:rsidRPr="00681872">
        <w:rPr>
          <w:rFonts w:asciiTheme="majorBidi" w:eastAsia="Calibri" w:hAnsiTheme="majorBidi" w:cstheme="majorBidi"/>
          <w:noProof/>
          <w:sz w:val="22"/>
        </w:rPr>
        <mc:AlternateContent>
          <mc:Choice Requires="wpg">
            <w:drawing>
              <wp:anchor distT="0" distB="0" distL="114300" distR="114300" simplePos="0" relativeHeight="251662848" behindDoc="0" locked="0" layoutInCell="1" allowOverlap="1" wp14:anchorId="027289DB" wp14:editId="1E0F6928">
                <wp:simplePos x="0" y="0"/>
                <wp:positionH relativeFrom="leftMargin">
                  <wp:posOffset>1891512</wp:posOffset>
                </wp:positionH>
                <wp:positionV relativeFrom="paragraph">
                  <wp:posOffset>1106630</wp:posOffset>
                </wp:positionV>
                <wp:extent cx="201930" cy="2513330"/>
                <wp:effectExtent l="19050" t="19050" r="7620" b="20320"/>
                <wp:wrapSquare wrapText="bothSides"/>
                <wp:docPr id="110118" name="Group 110118"/>
                <wp:cNvGraphicFramePr/>
                <a:graphic xmlns:a="http://schemas.openxmlformats.org/drawingml/2006/main">
                  <a:graphicData uri="http://schemas.microsoft.com/office/word/2010/wordprocessingGroup">
                    <wpg:wgp>
                      <wpg:cNvGrpSpPr/>
                      <wpg:grpSpPr>
                        <a:xfrm>
                          <a:off x="0" y="0"/>
                          <a:ext cx="201930" cy="2513330"/>
                          <a:chOff x="0" y="0"/>
                          <a:chExt cx="202349" cy="2513330"/>
                        </a:xfrm>
                        <a:solidFill>
                          <a:schemeClr val="bg2">
                            <a:lumMod val="50000"/>
                          </a:schemeClr>
                        </a:solidFill>
                      </wpg:grpSpPr>
                      <wps:wsp>
                        <wps:cNvPr id="2525" name="Shape 2525"/>
                        <wps:cNvSpPr/>
                        <wps:spPr>
                          <a:xfrm>
                            <a:off x="0" y="0"/>
                            <a:ext cx="202349" cy="2513330"/>
                          </a:xfrm>
                          <a:custGeom>
                            <a:avLst/>
                            <a:gdLst/>
                            <a:ahLst/>
                            <a:cxnLst/>
                            <a:rect l="0" t="0" r="0" b="0"/>
                            <a:pathLst>
                              <a:path w="202349" h="2513330">
                                <a:moveTo>
                                  <a:pt x="202349" y="2513330"/>
                                </a:moveTo>
                                <a:cubicBezTo>
                                  <a:pt x="90602" y="2513330"/>
                                  <a:pt x="0" y="2422779"/>
                                  <a:pt x="0" y="2311019"/>
                                </a:cubicBezTo>
                                <a:lnTo>
                                  <a:pt x="0" y="202311"/>
                                </a:lnTo>
                                <a:cubicBezTo>
                                  <a:pt x="0" y="90551"/>
                                  <a:pt x="90602" y="0"/>
                                  <a:pt x="202349" y="0"/>
                                </a:cubicBezTo>
                              </a:path>
                            </a:pathLst>
                          </a:custGeom>
                          <a:grpFill/>
                          <a:ln w="38100" cap="flat">
                            <a:round/>
                          </a:ln>
                        </wps:spPr>
                        <wps:style>
                          <a:lnRef idx="1">
                            <a:srgbClr val="A5A5A5"/>
                          </a:lnRef>
                          <a:fillRef idx="0">
                            <a:srgbClr val="000000">
                              <a:alpha val="0"/>
                            </a:srgbClr>
                          </a:fillRef>
                          <a:effectRef idx="0">
                            <a:scrgbClr r="0" g="0" b="0"/>
                          </a:effectRef>
                          <a:fontRef idx="none"/>
                        </wps:style>
                        <wps:bodyPr/>
                      </wps:wsp>
                    </wpg:wgp>
                  </a:graphicData>
                </a:graphic>
              </wp:anchor>
            </w:drawing>
          </mc:Choice>
          <mc:Fallback>
            <w:pict>
              <v:group w14:anchorId="5BC89428" id="Group 110118" o:spid="_x0000_s1026" style="position:absolute;margin-left:148.95pt;margin-top:87.15pt;width:15.9pt;height:197.9pt;z-index:251662848;mso-position-horizontal-relative:left-margin-area" coordsize="2023,2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">
                <v:shape id="Shape 2525" o:spid="_x0000_s1027" style="position:absolute;width:2023;height:25133;visibility:visible;mso-wrap-style:square;v-text-anchor:top" coordsize="202349,251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" path="m202349,2513330c90602,2513330,,2422779,,2311019l,202311c,90551,90602,,202349,e" filled="f" strokecolor="#a1a1a1" strokeweight="3pt">
                  <v:path arrowok="t" textboxrect="0,0,202349,2513330"/>
                </v:shape>
                <w10:wrap type="square" anchorx="margin"/>
              </v:group>
            </w:pict>
          </mc:Fallback>
        </mc:AlternateContent>
      </w:r>
      <w:r>
        <w:rPr>
          <w:color w:val="003366"/>
          <w:sz w:val="36"/>
          <w:szCs w:val="32"/>
        </w:rPr>
        <w:br w:type="page"/>
      </w:r>
    </w:p>
    <w:p w14:paraId="28232BD8" w14:textId="4C8371C0" w:rsidR="00A96D90" w:rsidRPr="007C429F" w:rsidRDefault="00000000" w:rsidP="007C429F">
      <w:pPr>
        <w:pStyle w:val="Heading1"/>
        <w:jc w:val="center"/>
        <w:rPr>
          <w:sz w:val="32"/>
          <w:szCs w:val="32"/>
        </w:rPr>
      </w:pPr>
      <w:r w:rsidRPr="007C429F">
        <w:rPr>
          <w:rFonts w:ascii="Times New Roman" w:hAnsi="Times New Roman"/>
          <w:color w:val="003366"/>
          <w:sz w:val="36"/>
          <w:szCs w:val="32"/>
        </w:rPr>
        <w:lastRenderedPageBreak/>
        <w:t>RESULTS DISCUSSION AND EVALUATION</w:t>
      </w:r>
    </w:p>
    <w:bookmarkEnd w:id="1"/>
    <w:p w14:paraId="6855C46C" w14:textId="77777777" w:rsidR="00A96D90" w:rsidRDefault="00A96D90"/>
    <w:p w14:paraId="3D5D63F6" w14:textId="77777777" w:rsidR="00C375DB" w:rsidRDefault="00C375DB">
      <w:pPr>
        <w:pStyle w:val="Heading2"/>
        <w:rPr>
          <w:rFonts w:ascii="Times New Roman" w:hAnsi="Times New Roman"/>
          <w:color w:val="003366"/>
          <w:sz w:val="28"/>
        </w:rPr>
      </w:pPr>
      <w:r w:rsidRPr="00C375DB">
        <w:rPr>
          <w:rFonts w:ascii="Times New Roman" w:eastAsiaTheme="minorEastAsia" w:hAnsi="Times New Roman" w:cstheme="minorBidi"/>
          <w:b w:val="0"/>
          <w:bCs w:val="0"/>
          <w:color w:val="auto"/>
          <w:sz w:val="24"/>
          <w:szCs w:val="22"/>
        </w:rPr>
        <w:t>The development of the Vertical Form-Fill-Seal (VFFS) packaging machine with an integrated auger filler represents a comprehensive exercise in mechatronic system design. This chapter synthesizes the findings from the analytical modeling, finite element analysis (FEA), discrete element method (DEM) simulations, and control system software-in-the-loop (SIL) validation. The discussion evaluates the machine's performance against the initial design requirements, assesses its suitability for industrial integration, and highlights the synergy between mechanical architecture and modern control algorithms.</w:t>
      </w:r>
    </w:p>
    <w:p w14:paraId="42D0B074" w14:textId="77777777" w:rsidR="00A96D90" w:rsidRDefault="00000000">
      <w:pPr>
        <w:pStyle w:val="Heading2"/>
      </w:pPr>
      <w:r>
        <w:rPr>
          <w:rFonts w:ascii="Times New Roman" w:hAnsi="Times New Roman"/>
          <w:color w:val="003366"/>
          <w:sz w:val="28"/>
        </w:rPr>
        <w:t>6.1 Evaluation of Machine Performance</w:t>
      </w:r>
    </w:p>
    <w:p w14:paraId="5B0E350B" w14:textId="77777777" w:rsidR="00C375DB" w:rsidRPr="00C375DB" w:rsidRDefault="00C375DB" w:rsidP="00C375DB">
      <w:r w:rsidRPr="00C375DB">
        <w:t xml:space="preserve">This chapter presents a comprehensive evaluation of the designed Vertical Form-Fill-Seal (VFFS) auger filling system based on analytical modeling and </w:t>
      </w:r>
      <w:proofErr w:type="spellStart"/>
      <w:r w:rsidRPr="00C375DB">
        <w:t>multiphysics</w:t>
      </w:r>
      <w:proofErr w:type="spellEnd"/>
      <w:r w:rsidRPr="00C375DB">
        <w:t xml:space="preserve"> simulation results. The performance assessment focuses on dosing accuracy, structural integrity, and system responsiveness under realistic industrial operating conditions.</w:t>
      </w:r>
    </w:p>
    <w:p w14:paraId="4B15DE35" w14:textId="77777777" w:rsidR="00C375DB" w:rsidRPr="00C375DB" w:rsidRDefault="00C375DB" w:rsidP="00C375DB">
      <w:r w:rsidRPr="00C375DB">
        <w:t>The evaluation is conducted within the constraints of a simulation-based framework, where analytical predictions (Chapter 4) are systematically compared with numerical results (Chapter 5). This correlation establishes confidence in the system’s capability to meet industrial performance standards without physical prototyping.</w:t>
      </w:r>
    </w:p>
    <w:p w14:paraId="20FA70B8" w14:textId="77777777" w:rsidR="00C375DB" w:rsidRPr="00C375DB" w:rsidRDefault="00C375DB" w:rsidP="00C375DB">
      <w:r w:rsidRPr="00C375DB">
        <w:t>Key performance indicators (KPIs) considered include:</w:t>
      </w:r>
    </w:p>
    <w:p w14:paraId="42C3180A" w14:textId="77777777" w:rsidR="00C375DB" w:rsidRPr="00C375DB" w:rsidRDefault="00C375DB" w:rsidP="00C375DB">
      <w:pPr>
        <w:pStyle w:val="ListParagraph"/>
        <w:numPr>
          <w:ilvl w:val="0"/>
          <w:numId w:val="10"/>
        </w:numPr>
      </w:pPr>
      <w:r w:rsidRPr="00C375DB">
        <w:t>Dosing accuracy (±1.5% target)</w:t>
      </w:r>
    </w:p>
    <w:p w14:paraId="517DFF43" w14:textId="77777777" w:rsidR="00C375DB" w:rsidRPr="00C375DB" w:rsidRDefault="00C375DB" w:rsidP="00C375DB">
      <w:pPr>
        <w:pStyle w:val="ListParagraph"/>
        <w:numPr>
          <w:ilvl w:val="0"/>
          <w:numId w:val="10"/>
        </w:numPr>
      </w:pPr>
      <w:r w:rsidRPr="00C375DB">
        <w:t>Structural safety factor under peak torque</w:t>
      </w:r>
    </w:p>
    <w:p w14:paraId="69B6A00E" w14:textId="77777777" w:rsidR="00C375DB" w:rsidRPr="00C375DB" w:rsidRDefault="00C375DB" w:rsidP="00C375DB">
      <w:pPr>
        <w:pStyle w:val="ListParagraph"/>
        <w:numPr>
          <w:ilvl w:val="0"/>
          <w:numId w:val="10"/>
        </w:numPr>
      </w:pPr>
      <w:r w:rsidRPr="00C375DB">
        <w:t>Thermal stability and clearance preservation</w:t>
      </w:r>
    </w:p>
    <w:p w14:paraId="1E271673" w14:textId="77777777" w:rsidR="00C375DB" w:rsidRDefault="00C375DB" w:rsidP="00C375DB">
      <w:pPr>
        <w:pStyle w:val="ListParagraph"/>
        <w:numPr>
          <w:ilvl w:val="0"/>
          <w:numId w:val="10"/>
        </w:numPr>
      </w:pPr>
      <w:r w:rsidRPr="00C375DB">
        <w:t>Control response time and synchronization capability</w:t>
      </w:r>
      <w:r>
        <w:t xml:space="preserve"> </w:t>
      </w:r>
    </w:p>
    <w:p w14:paraId="5C94F9B1" w14:textId="77777777" w:rsidR="00C375DB" w:rsidRPr="00C375DB" w:rsidRDefault="00C375DB" w:rsidP="00C375DB">
      <w:r w:rsidRPr="00C375DB">
        <w:t>The results demonstrate that the system achieves a high level of reliability and precision suitable for</w:t>
      </w:r>
      <w:r>
        <w:t xml:space="preserve"> industrial deployment. </w:t>
      </w:r>
    </w:p>
    <w:p w14:paraId="5A3BD2D1" w14:textId="77777777" w:rsidR="00A96D90" w:rsidRDefault="00000000" w:rsidP="00C375DB">
      <w:pPr>
        <w:pStyle w:val="Heading3"/>
      </w:pPr>
      <w:r>
        <w:rPr>
          <w:rFonts w:ascii="Times New Roman" w:hAnsi="Times New Roman"/>
          <w:color w:val="003366"/>
        </w:rPr>
        <w:t>6.1.1 Precision under Variable Operating Speeds</w:t>
      </w:r>
    </w:p>
    <w:p w14:paraId="44137BC2" w14:textId="77777777" w:rsidR="00A96D90" w:rsidRDefault="00000000">
      <w:pPr>
        <w:jc w:val="both"/>
      </w:pPr>
      <w:r>
        <w:t xml:space="preserve">The dosing precision of the auger filling system represents the most critical performance metric, directly impacting product quality and regulatory compliance. The design target of ±1.5% </w:t>
      </w:r>
      <w:r>
        <w:lastRenderedPageBreak/>
        <w:t>dosing accuracy for 500g salt packages has been validated through multiple analytical and simulation approaches.</w:t>
      </w:r>
    </w:p>
    <w:p w14:paraId="3A7FA788" w14:textId="77777777" w:rsidR="00A96D90" w:rsidRDefault="00000000">
      <w:pPr>
        <w:jc w:val="both"/>
      </w:pPr>
      <w:r>
        <w:t>Analytical modeling based on volumetric displacement theory (Equation 4.1) predicted a theoretical dose mass of 500g per 4 auger revolutions at the design speed of 300 RPM. The Discrete Element Method (DEM) simulation conducted in EDEM 2023 provided comprehensive validation of these analytical predictions, revealing a mean delivered mass of 504g with a standard deviation of 4.2g. This corresponds to a dosing accuracy of ±0.84%, well within the specified ±1.5% tolerance.</w:t>
      </w:r>
    </w:p>
    <w:p w14:paraId="4E4ACF04" w14:textId="77777777" w:rsidR="00A96D90" w:rsidRDefault="00000000">
      <w:pPr>
        <w:jc w:val="both"/>
      </w:pPr>
      <w:r>
        <w:t>The precision performance under variable operating speeds demonstrates the robustness of the servo-controlled dosing mechanism. At reduced speeds (200 RPM), the extended filling time allows for more complete material settling, resulting in slightly improved accuracy (±0.72%). Conversely, at elevated speeds (400 RPM), the increased inertial effects and reduced settling time contribute to marginally higher variability (±1.12%), though still within acceptable limits. The closed-loop position control implemented through the Panasonic MINAS A6 servo system with 23-bit absolute encoder (8,388,608 pulses/revolution) ensures precise angular positioning regardless of speed variations, maintaining consistent volumetric displacement.</w:t>
      </w:r>
    </w:p>
    <w:p w14:paraId="26F4B8A7" w14:textId="77777777" w:rsidR="00A96D90" w:rsidRDefault="00000000">
      <w:pPr>
        <w:jc w:val="both"/>
      </w:pPr>
      <w:r>
        <w:t>The spinner plate mechanism, integrated at the auger discharge, effectively addresses the critical challenge of in-flight material (dribbling) that plagues conventional auger fillers. By providing positive mechanical cutoff of material flow upon servo stop command, the spinner plate reduces post-dose dribble by approximately 85% compared to uncontrolled discharge configurations. This innovation directly contributes to the achieved dosing precision, particularly at higher operating speeds where in-flight effects are more pronounced.</w:t>
      </w:r>
    </w:p>
    <w:p w14:paraId="155C9D3C" w14:textId="77777777" w:rsidR="00A96D90" w:rsidRDefault="00000000">
      <w:pPr>
        <w:pStyle w:val="Heading3"/>
      </w:pPr>
      <w:r>
        <w:rPr>
          <w:rFonts w:ascii="Times New Roman" w:hAnsi="Times New Roman"/>
          <w:color w:val="003366"/>
        </w:rPr>
        <w:t>6.1.2 Structural Reliability under Peak Loads</w:t>
      </w:r>
    </w:p>
    <w:p w14:paraId="1D08D3FA" w14:textId="77777777" w:rsidR="00A96D90" w:rsidRDefault="00000000">
      <w:pPr>
        <w:jc w:val="both"/>
      </w:pPr>
      <w:r>
        <w:t>Structural reliability evaluation confirms the mechanical integrity of all critical components under worst-case loading scenarios, including startup torque transients, material caking conditions, and continuous operation fatigue. The comprehensive static structural analysis conducted on both SOLIDWORKS Simulation and ANSYS Mechanical platforms provides cross-validated confidence in the design's safety margins.</w:t>
      </w:r>
    </w:p>
    <w:p w14:paraId="76B8D4BD" w14:textId="77777777" w:rsidR="00A96D90" w:rsidRDefault="00000000">
      <w:pPr>
        <w:jc w:val="both"/>
      </w:pPr>
      <w:r>
        <w:t xml:space="preserve">The auger screw assembly, subjected to maximum torque loading of 20 N·m (representing the 1:20 gearbox output capacity), demonstrates a minimum factor of safety of 1.6 based on AISI </w:t>
      </w:r>
      <w:r>
        <w:lastRenderedPageBreak/>
        <w:t>304L stainless steel yield strength (215 MPa). The maximum von Mises stress of 136 MPa occurs at the shaft-flight intersection, a well-defined stress concentration location amenable to manufacturing quality control. The integration of the 16mm central shaft reduces maximum deflection from 0.7087 mm (isolated helix) to 0.0032 mm, effectively eliminating torsional compliance that could compromise dosing accuracy.</w:t>
      </w:r>
    </w:p>
    <w:p w14:paraId="2BC65C55" w14:textId="77777777" w:rsidR="00A96D90" w:rsidRDefault="00000000">
      <w:pPr>
        <w:jc w:val="both"/>
      </w:pPr>
      <w:r>
        <w:t>The complete auger-shaft-spinner plate assembly exhibits the most favorable structural response, with maximum stress of 90.67 MPa and minimum safety factor of 2.3. The spinner plate functions as a geometric stiffener at the distal shaft end, redistributing torsional loads and reducing stress concentrations. Maximum resultant displacement of 0.0021 mm ensures that the 1.5 mm radial clearance between auger flight and funnel wall remains strictly maintained during aggressive acceleration and deceleration profiles.</w:t>
      </w:r>
    </w:p>
    <w:p w14:paraId="73D10483" w14:textId="77777777" w:rsidR="00A96D90" w:rsidRDefault="00000000">
      <w:pPr>
        <w:jc w:val="both"/>
      </w:pPr>
      <w:r>
        <w:t>Fatigue analysis using Soderberg mean stress theory predicts a minimum service life of 1.0×10⁶ cycles for the long agitator blade under fully reversed loading conditions. At the operating speed of 30 RPM (1,800 cycles/hour), this corresponds to approximately 555 hours of continuous operation. The short blade configuration, exhibiting higher stiffness due to reduced cantilever length, demonstrates superior fatigue performance with predicted life of 1.0×10⁸ cycles (100 million cycles), representing essentially infinite life under normal operating conditions.</w:t>
      </w:r>
    </w:p>
    <w:p w14:paraId="34A71B6A" w14:textId="77777777" w:rsidR="00A96D90" w:rsidRDefault="00000000">
      <w:pPr>
        <w:jc w:val="both"/>
      </w:pPr>
      <w:r>
        <w:t>The DEM simulation validated torque requirements under realistic operating conditions, recording peak auger torque of 15.2 N·m during startup and 18.5 N·m during simulated caking conditions. These values provide an 8% safety margin relative to the motor-gearbox capacity of 20 N·m, confirming adequate sizing for worst-case scenarios while avoiding excessive oversizing that would compromise dynamic response.</w:t>
      </w:r>
    </w:p>
    <w:p w14:paraId="09D374DF" w14:textId="77777777" w:rsidR="00A96D90" w:rsidRDefault="00000000">
      <w:pPr>
        <w:pStyle w:val="Heading2"/>
      </w:pPr>
      <w:r>
        <w:rPr>
          <w:rFonts w:ascii="Times New Roman" w:hAnsi="Times New Roman"/>
          <w:color w:val="003366"/>
          <w:sz w:val="28"/>
        </w:rPr>
        <w:t>6.2 Suitability for VFFS Industrial Integration</w:t>
      </w:r>
    </w:p>
    <w:p w14:paraId="10374DCE" w14:textId="77777777" w:rsidR="00A96D90" w:rsidRDefault="00000000">
      <w:pPr>
        <w:jc w:val="both"/>
      </w:pPr>
      <w:r>
        <w:t>The industrial integration assessment evaluates the design's compatibility with standard VFFS packaging line configurations, control system architectures, and operational workflows prevalent in modern packaging facilities. This evaluation encompasses mechanical interfacing, control system interoperability, and production workflow integration.</w:t>
      </w:r>
    </w:p>
    <w:p w14:paraId="34B0938E" w14:textId="77777777" w:rsidR="00A96D90" w:rsidRDefault="00000000">
      <w:pPr>
        <w:pStyle w:val="Heading3"/>
      </w:pPr>
      <w:r>
        <w:rPr>
          <w:rFonts w:ascii="Times New Roman" w:hAnsi="Times New Roman"/>
          <w:color w:val="003366"/>
        </w:rPr>
        <w:lastRenderedPageBreak/>
        <w:t>6.2.1 Mechanical Integration</w:t>
      </w:r>
    </w:p>
    <w:p w14:paraId="75197F81" w14:textId="77777777" w:rsidR="00A96D90" w:rsidRDefault="00000000">
      <w:pPr>
        <w:jc w:val="both"/>
      </w:pPr>
      <w:r>
        <w:t>The mechanical architecture of the auger filling system has been designed for seamless integration with standard VFFS machine configurations. The 60mm auger diameter represents an industry-standard dimension, validated through benchmarking against commercial machines including the Accufill Model 50S and Tecnipac DCS-1A. This standardization ensures compatibility with widely available tooling, spare parts, and maintenance procedures.</w:t>
      </w:r>
    </w:p>
    <w:p w14:paraId="6E3D7EA8" w14:textId="77777777" w:rsidR="00A96D90" w:rsidRDefault="00000000">
      <w:pPr>
        <w:jc w:val="both"/>
      </w:pPr>
      <w:r>
        <w:t>The overall dimensional envelope of the filling module (400mm height × 300mm width × 250mm depth) conforms to typical VFFS machine mounting configurations. The modular mounting interface, featuring standard M8 threaded connections on a 200mm × 200mm bolt pattern, enables direct attachment to industry-standard forming tube assemblies without requiring custom adapter fabrication.</w:t>
      </w:r>
    </w:p>
    <w:p w14:paraId="4830EA8B" w14:textId="77777777" w:rsidR="00A96D90" w:rsidRDefault="00000000">
      <w:pPr>
        <w:jc w:val="both"/>
      </w:pPr>
      <w:r>
        <w:t>Material selection throughout the filling system prioritizes industrial hygiene standards and regulatory compliance. AISI 304L stainless steel construction provides excellent corrosion resistance for salt packaging applications while meeting FDA 21 CFR Part 110 requirements for food contact surfaces. Surface finishes of Ra ≤ 0.8 μm on all product-contact surfaces facilitate cleaning and prevent microbial adhesion, supporting sanitary operation in food packaging environments.</w:t>
      </w:r>
    </w:p>
    <w:p w14:paraId="17A2A58C" w14:textId="77777777" w:rsidR="00A96D90" w:rsidRDefault="00000000">
      <w:pPr>
        <w:jc w:val="both"/>
      </w:pPr>
      <w:r>
        <w:t>The sealing system integration demonstrates comprehensive compatibility with standard VFFS thermal sealing requirements. Horizontal sealing jaws (220mm length, 8mm sealing width with bifurcated dual-line configuration) provide 300-500N sealing force at 150-180°C, suitable for polyethylene film thicknesses of 60-120 μm. Vertical sealing bars (400mm length, 10mm width) operating at 140-160°C under 3 bar pneumatic pressure ensure continuous longitudinal seal integrity throughout the packaging cycle.</w:t>
      </w:r>
    </w:p>
    <w:p w14:paraId="55B5B789" w14:textId="77777777" w:rsidR="00A96D90" w:rsidRDefault="00000000">
      <w:pPr>
        <w:pStyle w:val="Heading3"/>
      </w:pPr>
      <w:r>
        <w:rPr>
          <w:rFonts w:ascii="Times New Roman" w:hAnsi="Times New Roman"/>
          <w:color w:val="003366"/>
        </w:rPr>
        <w:lastRenderedPageBreak/>
        <w:t>6.2.2 Control System Integration</w:t>
      </w:r>
    </w:p>
    <w:p w14:paraId="374EEE25" w14:textId="77777777" w:rsidR="00AD669B" w:rsidRP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t>6.2.2 Control System Integration</w:t>
      </w:r>
    </w:p>
    <w:p w14:paraId="6A12C014" w14:textId="77777777" w:rsidR="00AD669B" w:rsidRP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t>The mechatronic control architecture has been engineered for seamless integration with industrial automation ecosystems while providing advanced capabilities for precision motion control and thermal management. The distributed processing strategy employing dual ESP32 microcontrollers implements a master-slave topology that balances computational load and ensures deterministic real-time performance.</w:t>
      </w:r>
    </w:p>
    <w:p w14:paraId="6C5FB9C5" w14:textId="77777777" w:rsid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t xml:space="preserve">The master node (machine controller) executes time-critical control functions including the thermal PID algorithm, motion control pulse generation, and sensor polling. </w:t>
      </w:r>
      <w:proofErr w:type="spellStart"/>
      <w:r w:rsidRPr="00AD669B">
        <w:rPr>
          <w:rFonts w:ascii="Times New Roman" w:eastAsiaTheme="minorEastAsia" w:hAnsi="Times New Roman" w:cstheme="minorBidi"/>
          <w:b w:val="0"/>
          <w:bCs w:val="0"/>
          <w:color w:val="auto"/>
        </w:rPr>
        <w:t>FreeRTOS</w:t>
      </w:r>
      <w:proofErr w:type="spellEnd"/>
      <w:r w:rsidRPr="00AD669B">
        <w:rPr>
          <w:rFonts w:ascii="Times New Roman" w:eastAsiaTheme="minorEastAsia" w:hAnsi="Times New Roman" w:cstheme="minorBidi"/>
          <w:b w:val="0"/>
          <w:bCs w:val="0"/>
          <w:color w:val="auto"/>
        </w:rPr>
        <w:t xml:space="preserve"> task allocation isolates hardware-critical operations on Core 0 (Priority 5: Fault Handler, Priority 4: Motion Controller, Priority 3: Thermal PID Controller) from application logic on Core 1 (Priority 2: Control Loop FSM, Priority 1: HMI). This architecture ensures that emergency stop interrupts and motion control maintain maximum responsiveness regardless of user interface activity.</w:t>
      </w:r>
    </w:p>
    <w:p w14:paraId="2F66BA19" w14:textId="77777777" w:rsidR="00AD669B" w:rsidRP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t>Industrial environments are highly susceptible to electromagnetic interference (EMI). The proposed architecture successfully mitigates this through a three-layer hierarchical design that isolates the 3.3V logic from the 24V/220V power systems using PC817 optocouplers and zero-crossing Solid State Relays (SSR). The distributed processing strategy, utilizing a dual-core ESP32 topology (Master-Slave), ensures that the graphical user interface (HMI) does not interfere with hard real-time tasks like generating stepper motor pulses or executing the thermal PID loop.</w:t>
      </w:r>
    </w:p>
    <w:p w14:paraId="12FE0A8E" w14:textId="77777777" w:rsidR="00AD669B" w:rsidRP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t>Communication interfaces support standard industrial protocols enabling integration with supervisory control and data acquisition (SCADA) systems. The UART protocol between master and slave nodes operates at 115,200 baud, providing sufficient bandwidth for real-time status updates and command exchange. Future expansion capabilities include Modbus RTU/TCP and MQTT protocols for Industry 4.0 connectivity.</w:t>
      </w:r>
    </w:p>
    <w:p w14:paraId="36E7A947" w14:textId="77777777" w:rsidR="00AD669B" w:rsidRP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lastRenderedPageBreak/>
        <w:t>The thermal control subsystem achieves exceptional stability through model-based PID controller design. MATLAB/</w:t>
      </w:r>
      <w:proofErr w:type="spellStart"/>
      <w:r w:rsidRPr="00AD669B">
        <w:rPr>
          <w:rFonts w:ascii="Times New Roman" w:eastAsiaTheme="minorEastAsia" w:hAnsi="Times New Roman" w:cstheme="minorBidi"/>
          <w:b w:val="0"/>
          <w:bCs w:val="0"/>
          <w:color w:val="auto"/>
        </w:rPr>
        <w:t>Simscape</w:t>
      </w:r>
      <w:proofErr w:type="spellEnd"/>
      <w:r w:rsidRPr="00AD669B">
        <w:rPr>
          <w:rFonts w:ascii="Times New Roman" w:eastAsiaTheme="minorEastAsia" w:hAnsi="Times New Roman" w:cstheme="minorBidi"/>
          <w:b w:val="0"/>
          <w:bCs w:val="0"/>
          <w:color w:val="auto"/>
        </w:rPr>
        <w:t xml:space="preserve"> simulation validated the discrete PID parameters (P=1.0, I=0.004, D=0.5) with a sample time of 1 second, achieving steady-state error within ±1°C and overshoot below 1%. The first-order transfer function G(s) = 218.2</w:t>
      </w:r>
      <w:proofErr w:type="gramStart"/>
      <w:r w:rsidRPr="00AD669B">
        <w:rPr>
          <w:rFonts w:ascii="Times New Roman" w:eastAsiaTheme="minorEastAsia" w:hAnsi="Times New Roman" w:cstheme="minorBidi"/>
          <w:b w:val="0"/>
          <w:bCs w:val="0"/>
          <w:color w:val="auto"/>
        </w:rPr>
        <w:t>/(</w:t>
      </w:r>
      <w:proofErr w:type="gramEnd"/>
      <w:r w:rsidRPr="00AD669B">
        <w:rPr>
          <w:rFonts w:ascii="Times New Roman" w:eastAsiaTheme="minorEastAsia" w:hAnsi="Times New Roman" w:cstheme="minorBidi"/>
          <w:b w:val="0"/>
          <w:bCs w:val="0"/>
          <w:color w:val="auto"/>
        </w:rPr>
        <w:t>272.7s + 1) characterizes the thermal system dynamics, with the dominant time constant of 272.7 seconds indicating substantial thermal inertia that is effectively managed by the control algorithm.</w:t>
      </w:r>
    </w:p>
    <w:p w14:paraId="7055CB67" w14:textId="77777777" w:rsidR="00AD669B" w:rsidRDefault="00AD669B" w:rsidP="00AD669B">
      <w:pPr>
        <w:pStyle w:val="Heading3"/>
        <w:rPr>
          <w:rFonts w:ascii="Times New Roman" w:eastAsiaTheme="minorEastAsia" w:hAnsi="Times New Roman" w:cstheme="minorBidi"/>
          <w:b w:val="0"/>
          <w:bCs w:val="0"/>
          <w:color w:val="auto"/>
        </w:rPr>
      </w:pPr>
      <w:r w:rsidRPr="00AD669B">
        <w:rPr>
          <w:rFonts w:ascii="Times New Roman" w:eastAsiaTheme="minorEastAsia" w:hAnsi="Times New Roman" w:cstheme="minorBidi"/>
          <w:b w:val="0"/>
          <w:bCs w:val="0"/>
          <w:color w:val="auto"/>
        </w:rPr>
        <w:t xml:space="preserve">Software-in-the-Loop (SIL) validation using the </w:t>
      </w:r>
      <w:proofErr w:type="spellStart"/>
      <w:r w:rsidRPr="00AD669B">
        <w:rPr>
          <w:rFonts w:ascii="Times New Roman" w:eastAsiaTheme="minorEastAsia" w:hAnsi="Times New Roman" w:cstheme="minorBidi"/>
          <w:b w:val="0"/>
          <w:bCs w:val="0"/>
          <w:color w:val="auto"/>
        </w:rPr>
        <w:t>Wokwi</w:t>
      </w:r>
      <w:proofErr w:type="spellEnd"/>
      <w:r w:rsidRPr="00AD669B">
        <w:rPr>
          <w:rFonts w:ascii="Times New Roman" w:eastAsiaTheme="minorEastAsia" w:hAnsi="Times New Roman" w:cstheme="minorBidi"/>
          <w:b w:val="0"/>
          <w:bCs w:val="0"/>
          <w:color w:val="auto"/>
        </w:rPr>
        <w:t xml:space="preserve"> simulation environment confirmed firmware functionality prior to hardware deployment. The virtual model simulated real-time heating and cooling rates based on actual C-code execution within the </w:t>
      </w:r>
      <w:proofErr w:type="spellStart"/>
      <w:r w:rsidRPr="00AD669B">
        <w:rPr>
          <w:rFonts w:ascii="Times New Roman" w:eastAsiaTheme="minorEastAsia" w:hAnsi="Times New Roman" w:cstheme="minorBidi"/>
          <w:b w:val="0"/>
          <w:bCs w:val="0"/>
          <w:color w:val="auto"/>
        </w:rPr>
        <w:t>FreeRTOS</w:t>
      </w:r>
      <w:proofErr w:type="spellEnd"/>
      <w:r w:rsidRPr="00AD669B">
        <w:rPr>
          <w:rFonts w:ascii="Times New Roman" w:eastAsiaTheme="minorEastAsia" w:hAnsi="Times New Roman" w:cstheme="minorBidi"/>
          <w:b w:val="0"/>
          <w:bCs w:val="0"/>
          <w:color w:val="auto"/>
        </w:rPr>
        <w:t xml:space="preserve"> environment, validating control response without requiring physical prototype availability.</w:t>
      </w:r>
    </w:p>
    <w:p w14:paraId="26691A9E" w14:textId="77777777" w:rsidR="00A96D90" w:rsidRDefault="00000000" w:rsidP="00AD669B">
      <w:pPr>
        <w:pStyle w:val="Heading3"/>
      </w:pPr>
      <w:r>
        <w:rPr>
          <w:rFonts w:ascii="Times New Roman" w:hAnsi="Times New Roman"/>
          <w:color w:val="003366"/>
        </w:rPr>
        <w:t>6.2.3 Operational Workflow</w:t>
      </w:r>
    </w:p>
    <w:p w14:paraId="292EDDF7" w14:textId="77777777" w:rsidR="00A96D90" w:rsidRDefault="00000000">
      <w:pPr>
        <w:jc w:val="both"/>
      </w:pPr>
      <w:r>
        <w:t>The operational workflow of the VFFS auger filling system has been optimized for production efficiency while maintaining quality assurance throughout the packaging cycle. The Finite State Machine (FSM) architecture provides deterministic behavior with clearly defined states: Initialization, Film Feeding, Dosing, Sealing, and Discharge.</w:t>
      </w:r>
    </w:p>
    <w:p w14:paraId="060619E9" w14:textId="77777777" w:rsidR="00A96D90" w:rsidRDefault="00000000">
      <w:pPr>
        <w:jc w:val="both"/>
      </w:pPr>
      <w:r>
        <w:t>Cycle timing analysis validates the achievement of the 20 bags per minute (BPM) production target. The total cycle time of 3.0 seconds per bag is allocated across sequential and parallel operations: film pulling (234 pulses at 200 PPR, 1.17 revolutions), auger dosing (4 revolutions at 300 RPM, 0.8 seconds), horizontal sealing (0.5 seconds at 150-180°C), and vertical sealing (continuous during film advance). Parallel processing, where dosing occurs concurrently with sealing operations, reduces cumulative cycle time to 2.282 seconds, providing a 23.9% safety margin below the 3.0-second requirement.</w:t>
      </w:r>
    </w:p>
    <w:p w14:paraId="331CB691" w14:textId="77777777" w:rsidR="00A96D90" w:rsidRDefault="00000000">
      <w:pPr>
        <w:jc w:val="both"/>
      </w:pPr>
      <w:r>
        <w:t>The hybrid motion control strategy optimizes both speed and precision for the film advancement mechanism. During the 'Blind Zone' phase, the stepper motor operates at maximum speed using the ESP32 hardware RMT (Remote Control) peripheral, generating precise waveforms without CPU cycle consumption. Upon entering the 'Search Zone,' the system transitions to software-stepping mode, polling the registration eye-mark sensor after each microstep to ensure precise bag positioning. This two-phase approach achieves both high throughput and accurate registration.</w:t>
      </w:r>
    </w:p>
    <w:p w14:paraId="6F94B7FB" w14:textId="77777777" w:rsidR="00A96D90" w:rsidRDefault="00000000">
      <w:pPr>
        <w:jc w:val="both"/>
      </w:pPr>
      <w:r>
        <w:lastRenderedPageBreak/>
        <w:t>The in-flight material compensation algorithm addresses the critical synchronization challenge between dosing completion and sealing initiation. By accounting for material falling time from auger discharge to bag bottom, the control system initiates sealing operations at the optimal moment to prevent material interference with seal formation while minimizing cycle time. This compensation is particularly critical for the 500g target mass, where material column height significantly affects fall time.</w:t>
      </w:r>
    </w:p>
    <w:p w14:paraId="37631A2F" w14:textId="77777777" w:rsidR="00A96D90" w:rsidRDefault="00000000">
      <w:pPr>
        <w:jc w:val="both"/>
      </w:pPr>
      <w:r>
        <w:t>Operational safety is ensured through comprehensive Failure Mode and Effects Analysis (FMEA) implemented in the control firmware. Critical failure modes including thermocouple sensor failure, heater over-temperature, and emergency stop activation trigger immediate protective responses: sensor failure causes heater shutdown within 100ms, over-temperature triggers system shutdown with alarm notification, and E-STOP interrupts bypass all software delays for immediate motor and heater deactivation.</w:t>
      </w:r>
    </w:p>
    <w:p w14:paraId="6FF05C9B" w14:textId="77777777" w:rsidR="00A96D90" w:rsidRDefault="00000000">
      <w:pPr>
        <w:pStyle w:val="Heading2"/>
      </w:pPr>
      <w:r>
        <w:rPr>
          <w:rFonts w:ascii="Times New Roman" w:hAnsi="Times New Roman"/>
          <w:color w:val="003366"/>
          <w:sz w:val="28"/>
        </w:rPr>
        <w:t>6.3 Discussion of Mechatronic Synergy (How Control Impacts Mechanical Life)</w:t>
      </w:r>
    </w:p>
    <w:p w14:paraId="731D96D9" w14:textId="77777777" w:rsidR="00A96D90" w:rsidRDefault="00000000">
      <w:pPr>
        <w:jc w:val="both"/>
      </w:pPr>
      <w:r>
        <w:t>The mechatronic synergy analysis examines the interdependence between control system implementation and mechanical component longevity. This integrated perspective reveals how intelligent control strategies can significantly extend mechanical service life while maintaining or improving performance metrics.</w:t>
      </w:r>
    </w:p>
    <w:p w14:paraId="5130FC71" w14:textId="77777777" w:rsidR="00A96D90" w:rsidRDefault="00000000">
      <w:pPr>
        <w:pStyle w:val="Heading3"/>
      </w:pPr>
      <w:r>
        <w:rPr>
          <w:rFonts w:ascii="Times New Roman" w:hAnsi="Times New Roman"/>
          <w:color w:val="003366"/>
        </w:rPr>
        <w:t>6.3.1 Motion Profile Optimization</w:t>
      </w:r>
    </w:p>
    <w:p w14:paraId="5F514D65" w14:textId="77777777" w:rsidR="00A96D90" w:rsidRDefault="00000000">
      <w:pPr>
        <w:jc w:val="both"/>
      </w:pPr>
      <w:r>
        <w:t>The servo motor motion profile directly influences mechanical stress accumulation and component fatigue. The implemented S-curve acceleration profile, in contrast to trapezoidal profiles, reduces peak torque transients by approximately 35% during startup and deceleration phases. This smoothing effect is achieved through gradual jerk limitation, minimizing shock loading on gearbox components, shaft couplings, and auger flight-to-shaft connections.</w:t>
      </w:r>
    </w:p>
    <w:p w14:paraId="4D130D6F" w14:textId="77777777" w:rsidR="00A96D90" w:rsidRDefault="00000000">
      <w:pPr>
        <w:jc w:val="both"/>
      </w:pPr>
      <w:r>
        <w:t xml:space="preserve">The Panasonic MINAS A6 servo drive supports advanced motion profiling through built-in position, velocity, and torque feedforward compensation. The velocity feedforward term (Kv) reduces following error during acceleration phases, while torque feedforward (Kt) compensates for known load disturbances. These feedforward contributions reduce the burden on the </w:t>
      </w:r>
      <w:r>
        <w:lastRenderedPageBreak/>
        <w:t>feedback controller, resulting in smoother torque commands to the motor and reduced mechanical vibration.</w:t>
      </w:r>
    </w:p>
    <w:p w14:paraId="6EF72AD2" w14:textId="77777777" w:rsidR="00A96D90" w:rsidRDefault="00000000">
      <w:pPr>
        <w:jc w:val="both"/>
      </w:pPr>
      <w:r>
        <w:t>The EDEM simulation recorded peak auger torque of 15.2 N·m during startup with the optimized motion profile. Comparative analysis suggests that unoptimized trapezoidal profiles would generate peak torques exceeding 22 N·m, potentially exceeding the gearbox capacity and significantly reducing service life. The 31% reduction in peak torque achieved through motion profile optimization directly translates to extended bearing life, reduced gear wear, and improved overall system reliability.</w:t>
      </w:r>
    </w:p>
    <w:p w14:paraId="1B32AFC7" w14:textId="77777777" w:rsidR="00A96D90" w:rsidRDefault="00000000">
      <w:pPr>
        <w:pStyle w:val="Heading3"/>
      </w:pPr>
      <w:r>
        <w:rPr>
          <w:rFonts w:ascii="Times New Roman" w:hAnsi="Times New Roman"/>
          <w:color w:val="003366"/>
        </w:rPr>
        <w:t>6.3.2 Closed-Loop Position Control</w:t>
      </w:r>
    </w:p>
    <w:p w14:paraId="028E37F1" w14:textId="77777777" w:rsidR="00A96D90" w:rsidRDefault="00000000">
      <w:pPr>
        <w:jc w:val="both"/>
      </w:pPr>
      <w:r>
        <w:t>The closed-loop position control implementation fundamentally transforms the mechanical behavior of the auger filling system. Unlike open-loop stepper systems that generate fixed pulse counts regardless of actual position, the servo control system with 23-bit absolute encoder provides continuous position feedback with 8,388,608 counts per revolution resolution.</w:t>
      </w:r>
    </w:p>
    <w:p w14:paraId="2504D971" w14:textId="77777777" w:rsidR="00A96D90" w:rsidRDefault="00000000">
      <w:pPr>
        <w:jc w:val="both"/>
      </w:pPr>
      <w:r>
        <w:t>This high-resolution feedback enables several critical capabilities that indirectly protect mechanical components. The servo drive's overload protection function continuously monitors motor current and torque, triggering immediate shutdown if mechanical jamming occurs. This protection prevents catastrophic failures such as shaft shear, gear tooth fracture, or bearing seizure that would result from sustained overload in unprotected systems.</w:t>
      </w:r>
    </w:p>
    <w:p w14:paraId="46168311" w14:textId="77777777" w:rsidR="00A96D90" w:rsidRDefault="00000000">
      <w:pPr>
        <w:jc w:val="both"/>
      </w:pPr>
      <w:r>
        <w:t>The position loop gain tuning (Kp) has been optimized to achieve critical damping, eliminating mechanical oscillations that would cause fatigue damage. Underdamped systems exhibit position overshoot and ringing, subjecting mechanical components to cyclic loading even after reaching the target position. The critically damped response achieves target position without overshoot, ensuring that mechanical stresses decay monotonically to steady-state values.</w:t>
      </w:r>
    </w:p>
    <w:p w14:paraId="68AF0ACD" w14:textId="77777777" w:rsidR="00A96D90" w:rsidRDefault="00000000">
      <w:pPr>
        <w:jc w:val="both"/>
      </w:pPr>
      <w:r>
        <w:t>The absolute encoder eliminates the need for homing sequences at startup, reducing mechanical wear associated with repeated homing motions. In incremental encoder systems, power loss requires a homing cycle that subjects mechanical components to additional stress cycles. The absolute position knowledge maintained through power cycles ensures that the servo system resumes operation from the exact previous position without requiring mechanical motion.</w:t>
      </w:r>
    </w:p>
    <w:p w14:paraId="1E3E3C55" w14:textId="77777777" w:rsidR="00A96D90" w:rsidRDefault="00000000">
      <w:pPr>
        <w:pStyle w:val="Heading3"/>
      </w:pPr>
      <w:r>
        <w:rPr>
          <w:rFonts w:ascii="Times New Roman" w:hAnsi="Times New Roman"/>
          <w:color w:val="003366"/>
        </w:rPr>
        <w:lastRenderedPageBreak/>
        <w:t>6.3.3 Condition Monitoring and Predictive Maintenance</w:t>
      </w:r>
    </w:p>
    <w:p w14:paraId="549D44E5" w14:textId="77777777" w:rsidR="00A96D90" w:rsidRDefault="00000000">
      <w:pPr>
        <w:jc w:val="both"/>
      </w:pPr>
      <w:r>
        <w:t>The mechatronic architecture enables comprehensive condition monitoring capabilities that support predictive maintenance strategies, transitioning from reactive or scheduled maintenance to condition-based intervention. This approach maximizes component utilization while preventing unexpected failures that would cause production downtime.</w:t>
      </w:r>
    </w:p>
    <w:p w14:paraId="3068F1FD" w14:textId="77777777" w:rsidR="00A96D90" w:rsidRDefault="00000000">
      <w:pPr>
        <w:jc w:val="both"/>
      </w:pPr>
      <w:r>
        <w:t>Motor current signature analysis provides indirect monitoring of mechanical system health. The servo drive continuously records motor current, which correlates with load torque. Trend analysis of current draw during standardized motion profiles can detect developing mechanical issues: increasing current during normal operation indicates bearing degradation or material buildup; current fluctuations suggest mechanical looseness or coupling wear; and startup current increases reveal growing friction or lubrication degradation.</w:t>
      </w:r>
    </w:p>
    <w:p w14:paraId="451846DC" w14:textId="77777777" w:rsidR="00A96D90" w:rsidRDefault="00000000">
      <w:pPr>
        <w:jc w:val="both"/>
      </w:pPr>
      <w:r>
        <w:t>The DEM simulation established baseline torque signatures for normal operation: agitator average torque of 0.31 N·m with peak values of 0.42 N·m; auger average torque of 8.7 N·m with startup peaks of 15.2 N·m. Deviations from these established baselines exceeding 15% would trigger maintenance alerts, enabling intervention before catastrophic failure. The 76% safety margin for agitator torque and 8% margin for auger torque provide quantifiable thresholds for maintenance scheduling.</w:t>
      </w:r>
    </w:p>
    <w:p w14:paraId="4F63387E" w14:textId="77777777" w:rsidR="00A96D90" w:rsidRDefault="00000000">
      <w:pPr>
        <w:jc w:val="both"/>
      </w:pPr>
      <w:r>
        <w:t>Thermal monitoring of critical components extends beyond the sealing jaw temperature control to include motor housing temperature, gearbox oil temperature (if applicable), and bearing housing temperatures. The ESP32 microcontroller's multiple analog input channels support expansion to additional thermocouple sensors, enabling comprehensive thermal mapping of the mechanical system. Elevated temperatures in specific components indicate localized problems: motor overheating suggests electrical issues or excessive load; gearbox temperature rise indicates lubrication degradation or gear wear; and bearing temperature elevation reveals impending bearing failure.</w:t>
      </w:r>
    </w:p>
    <w:p w14:paraId="2C7B1A0F" w14:textId="77777777" w:rsidR="00A96D90" w:rsidRDefault="00000000">
      <w:pPr>
        <w:jc w:val="both"/>
      </w:pPr>
      <w:r>
        <w:t>The distributed control architecture supports cloud connectivity for centralized monitoring of multiple machines. Aggregate data analysis across machine fleets enables identification of systematic issues, optimization of maintenance schedules, and continuous improvement of operating parameters. This Industry 4.0 capability transforms individual machines from isolated assets into connected components of an intelligent manufacturing ecosystem.</w:t>
      </w:r>
    </w:p>
    <w:p w14:paraId="09A37497" w14:textId="77777777" w:rsidR="00A96D90" w:rsidRDefault="00000000">
      <w:pPr>
        <w:pStyle w:val="Heading2"/>
      </w:pPr>
      <w:r>
        <w:rPr>
          <w:rFonts w:ascii="Times New Roman" w:hAnsi="Times New Roman"/>
          <w:color w:val="003366"/>
          <w:sz w:val="28"/>
        </w:rPr>
        <w:lastRenderedPageBreak/>
        <w:t>6.4 Contribution to Engineering Knowledge</w:t>
      </w:r>
    </w:p>
    <w:p w14:paraId="5EBC6EBD" w14:textId="77777777" w:rsidR="00A96D90" w:rsidRDefault="00000000">
      <w:pPr>
        <w:jc w:val="both"/>
      </w:pPr>
      <w:r>
        <w:t>This graduation project contributes to engineering knowledge through the development and validation of integrated design methodologies, specialized optimization techniques for auger geometry, comprehensive thermal-structural coupling analysis, and innovative servo control implementations. These contributions advance the state of the art in VFFS packaging system design and provide a foundation for future research and development in the field.</w:t>
      </w:r>
    </w:p>
    <w:p w14:paraId="7DF1371A" w14:textId="77777777" w:rsidR="00A96D90" w:rsidRDefault="00000000">
      <w:pPr>
        <w:pStyle w:val="Heading3"/>
      </w:pPr>
      <w:r>
        <w:rPr>
          <w:rFonts w:ascii="Times New Roman" w:hAnsi="Times New Roman"/>
          <w:color w:val="003366"/>
        </w:rPr>
        <w:t>6.4.1 Integrated Design Methodology</w:t>
      </w:r>
    </w:p>
    <w:p w14:paraId="29DBD69C" w14:textId="77777777" w:rsidR="00A96D90" w:rsidRDefault="00000000">
      <w:pPr>
        <w:jc w:val="both"/>
      </w:pPr>
      <w:r>
        <w:t>The project demonstrates a comprehensive integrated design methodology that synthesizes mechanical engineering, bulk solids mechanics, thermal analysis, and control systems engineering into a unified framework. This methodology addresses the limitations of traditional empirical design approaches that rely on industry rules of thumb without fundamental understanding of underlying physical phenomena.</w:t>
      </w:r>
    </w:p>
    <w:p w14:paraId="71C4E361" w14:textId="77777777" w:rsidR="00A96D90" w:rsidRDefault="00000000">
      <w:pPr>
        <w:jc w:val="both"/>
      </w:pPr>
      <w:r>
        <w:t>The design process progression from requirements definition through analytical modeling, numerical simulation, and control system validation establishes a replicable framework for mechatronic system development. Key elements of this methodology include: (1) systematic decomposition of system requirements into measurable performance metrics; (2) analytical modeling based on first principles to establish design parameter bounds; (3) multiphysics simulation for detailed performance prediction and optimization; (4) control system design based on mathematical models with hardware-in-the-loop validation; and (5) correlation analysis between analytical predictions and simulation results to establish confidence bounds.</w:t>
      </w:r>
    </w:p>
    <w:p w14:paraId="2953EFBC" w14:textId="77777777" w:rsidR="00A96D90" w:rsidRDefault="00000000">
      <w:pPr>
        <w:jc w:val="both"/>
      </w:pPr>
      <w:r>
        <w:t>The correlation analysis between analytical and numerical results, with deviations consistently below 10%, validates the predictive capability of the integrated methodology. This correlation establishes confidence that analytical models can guide initial design decisions, while numerical simulations provide detailed validation and optimization. The methodology reduces reliance on expensive physical prototyping while maintaining design reliability.</w:t>
      </w:r>
    </w:p>
    <w:p w14:paraId="1420BD91" w14:textId="77777777" w:rsidR="00A96D90" w:rsidRDefault="00000000">
      <w:pPr>
        <w:pStyle w:val="Heading3"/>
      </w:pPr>
      <w:r>
        <w:rPr>
          <w:rFonts w:ascii="Times New Roman" w:hAnsi="Times New Roman"/>
          <w:color w:val="003366"/>
        </w:rPr>
        <w:t>6.4.2 Auger Geometry Optimization for Salt Packaging</w:t>
      </w:r>
    </w:p>
    <w:p w14:paraId="471514FA" w14:textId="77777777" w:rsidR="00A96D90" w:rsidRDefault="00000000">
      <w:pPr>
        <w:jc w:val="both"/>
      </w:pPr>
      <w:r>
        <w:t>The auger geometry optimization for sodium chloride (table salt) packaging represents a specialized contribution addressing the unique flow characteristics of crystalline granular materials. While general auger design guidelines exist for powder handling, the specific optimization for salt crystallography and flow properties advances the state of the art.</w:t>
      </w:r>
    </w:p>
    <w:p w14:paraId="0ED2A898" w14:textId="77777777" w:rsidR="00A96D90" w:rsidRDefault="00000000">
      <w:pPr>
        <w:jc w:val="both"/>
      </w:pPr>
      <w:r>
        <w:lastRenderedPageBreak/>
        <w:t>The selected auger geometry (60mm outer diameter, 16mm shaft diameter, 60mm pitch, single-start flight) optimizes the trade-off between volumetric displacement capacity and mechanical stress distribution. The pitch-to-diameter ratio of 1.0 falls within the optimal range for free-flowing granular materials, providing sufficient axial advance per revolution while maintaining mechanical stability. The shaft diameter-to-outer diameter ratio of 0.267 provides adequate torsional rigidity while maximizing volumetric displacement area.</w:t>
      </w:r>
    </w:p>
    <w:p w14:paraId="429A86AA" w14:textId="77777777" w:rsidR="00A96D90" w:rsidRDefault="00000000">
      <w:pPr>
        <w:jc w:val="both"/>
      </w:pPr>
      <w:r>
        <w:t>The radial clearance specification of 1.5mm between flight tip and funnel wall represents a compromise between dosing accuracy and manufacturing tolerance. Smaller clearances reduce backflow (volumetric back-slip) but increase manufacturing costs and sensitivity to thermal expansion. The thermal expansion analysis confirmed that a 50°C temperature rise generates only 0.076mm radial expansion, representing 5% of the specified clearance, validating adequate margin for thermal effects.</w:t>
      </w:r>
    </w:p>
    <w:p w14:paraId="3D2D117B" w14:textId="77777777" w:rsidR="00A96D90" w:rsidRDefault="00000000">
      <w:pPr>
        <w:jc w:val="both"/>
      </w:pPr>
      <w:r>
        <w:t>The spinner plate innovation addresses a persistent challenge in auger filling: the cutoff of material flow at dose completion. The rotating plate with precisely timed aperture alignment provides positive mechanical cutoff, reducing dribble by 85% compared to uncontrolled discharge. This innovation is particularly effective for free-flowing granular materials like salt, where in-flight material can significantly compromise dosing accuracy.</w:t>
      </w:r>
    </w:p>
    <w:p w14:paraId="050480D7" w14:textId="77777777" w:rsidR="00A96D90" w:rsidRDefault="00000000">
      <w:pPr>
        <w:jc w:val="both"/>
      </w:pPr>
      <w:r>
        <w:t>The EDEM simulation results validated the auger geometry optimization, demonstrating excellent correlation with analytical predictions. The 0.8% deviation in dose mass validates the volumetric efficiency assumption (ηv = 0.95) and confirms that the selected geometry effectively minimizes backflow and slip effects. The torque requirements predicted by DEM simulation (average 8.7 N·m, peak 15.2 N·m) align with analytical calculations, confirming adequate motor-gearbox sizing.</w:t>
      </w:r>
    </w:p>
    <w:p w14:paraId="18CF73D3" w14:textId="77777777" w:rsidR="00A96D90" w:rsidRDefault="00000000">
      <w:pPr>
        <w:pStyle w:val="Heading3"/>
      </w:pPr>
      <w:r>
        <w:rPr>
          <w:rFonts w:ascii="Times New Roman" w:hAnsi="Times New Roman"/>
          <w:color w:val="003366"/>
        </w:rPr>
        <w:t>6.4.3 Thermal-Structural Coupling Analysis</w:t>
      </w:r>
    </w:p>
    <w:p w14:paraId="699B3693" w14:textId="77777777" w:rsidR="00A96D90" w:rsidRDefault="00000000">
      <w:pPr>
        <w:jc w:val="both"/>
      </w:pPr>
      <w:r>
        <w:t>The thermal-structural coupling analysis represents a significant contribution to understanding the multiphysics behavior of VFFS packaging systems under continuous operation. While existing literature addresses thermal and structural phenomena independently, the coupled analysis of thermally-induced stresses and deformations provides critical insights for design optimization.</w:t>
      </w:r>
    </w:p>
    <w:p w14:paraId="028985D7" w14:textId="77777777" w:rsidR="00A96D90" w:rsidRDefault="00000000">
      <w:pPr>
        <w:jc w:val="both"/>
      </w:pPr>
      <w:r>
        <w:lastRenderedPageBreak/>
        <w:t>The thermal analysis of the sealing system, based on lumped-capacitance modeling and validated through MATLAB/Simscape simulation, characterizes the dominant thermal inertia (time constant τ = 272.7 seconds) and transport delay (θ = 2 seconds). These parameters are essential for control system design, as they determine the achievable response speed and stability margins. The first-order transfer function model G(s) = 218.2/(272.7s + 1) provides a mathematical foundation for controller tuning and performance prediction.</w:t>
      </w:r>
    </w:p>
    <w:p w14:paraId="70E033D0" w14:textId="77777777" w:rsidR="00A96D90" w:rsidRDefault="00000000">
      <w:pPr>
        <w:jc w:val="both"/>
      </w:pPr>
      <w:r>
        <w:t>The thermal expansion analysis quantifies the dimensional changes in critical components under operating temperatures. For the sealing jaws operating at 150-180°C, thermal expansion of approximately 0.076mm per 100mm of component length must be accommodated in the mechanical design. The analysis confirmed that specified clearances (1.5mm radial clearance for auger, 2mm blade clearances) maintain adequate margin under thermal loading, preventing interference while maintaining functional tolerances.</w:t>
      </w:r>
    </w:p>
    <w:p w14:paraId="6430A0EF" w14:textId="77777777" w:rsidR="00A96D90" w:rsidRDefault="00000000">
      <w:pPr>
        <w:jc w:val="both"/>
      </w:pPr>
      <w:r>
        <w:t>The thermally-induced stress analysis reveals that thermal gradients, rather than absolute temperatures, dominate stress generation. During startup, transient temperature differentials between the heated sealing jaws and cooler support structures create thermal stresses that exceed steady-state values. The transient analysis identified maximum thermal stress of 42 MPa during cold startup, well below the material yield strength but significant relative to mechanical stresses.</w:t>
      </w:r>
    </w:p>
    <w:p w14:paraId="389AD0A9" w14:textId="77777777" w:rsidR="00A96D90" w:rsidRDefault="00000000">
      <w:pPr>
        <w:jc w:val="both"/>
      </w:pPr>
      <w:r>
        <w:t>The PID controller design for thermal management incorporates the thermal-structural coupling through conservative setpoint selection and rate limiting. The 150°C setpoint provides margin below the maximum allowable temperature (180°C), accommodating sensor uncertainty and control variability. The integrator anti-windup clamping prevents excessive temperature overshoot during startup that could cause thermal stress exceeding design limits.</w:t>
      </w:r>
    </w:p>
    <w:p w14:paraId="2643A316" w14:textId="77777777" w:rsidR="00A96D90" w:rsidRDefault="00000000">
      <w:pPr>
        <w:pStyle w:val="Heading3"/>
      </w:pPr>
      <w:r>
        <w:rPr>
          <w:rFonts w:ascii="Times New Roman" w:hAnsi="Times New Roman"/>
          <w:color w:val="003366"/>
        </w:rPr>
        <w:t>6.4.4 Servo Control Implementation for Powder Dosing</w:t>
      </w:r>
    </w:p>
    <w:p w14:paraId="0BD4459B" w14:textId="77777777" w:rsidR="00A96D90" w:rsidRDefault="00000000">
      <w:pPr>
        <w:jc w:val="both"/>
      </w:pPr>
      <w:r>
        <w:t>The servo control implementation for precision powder dosing represents an advancement in mechatronic integration for packaging machinery. While servo systems are well-established in industrial automation, their application to auger filling systems with integrated flow control (spinner plate) demonstrates innovative control architecture addressing the unique challenges of powder dosing.</w:t>
      </w:r>
    </w:p>
    <w:p w14:paraId="697F1124" w14:textId="77777777" w:rsidR="00A96D90" w:rsidRDefault="00000000">
      <w:pPr>
        <w:jc w:val="both"/>
      </w:pPr>
      <w:r>
        <w:lastRenderedPageBreak/>
        <w:t>The hybrid control strategy combining hardware-accelerated pulse generation (ESP32 RMT peripheral) with software-based sensor polling achieves both high-speed operation and precise positioning. The RMT peripheral generates precisely timed pulse trains at frequencies up to 50 kHz without CPU intervention, enabling smooth motor operation while the processor executes control algorithms. This architecture supports the two-phase motion strategy: maximum speed in the 'Blind Zone' followed by precise stepping in the 'Search Zone' for registration mark detection.</w:t>
      </w:r>
    </w:p>
    <w:p w14:paraId="4AC17702" w14:textId="77777777" w:rsidR="00A96D90" w:rsidRDefault="00000000">
      <w:pPr>
        <w:jc w:val="both"/>
      </w:pPr>
      <w:r>
        <w:t>The pulse frequency calculations for the auger servo demonstrate the precision achievable with modern servo systems. At 300 RPM with 10,000 PPR encoder resolution, the required pulse frequency of 50 kHz corresponds to 20 μs pulse intervals, easily achievable with the ESP32 RMT peripheral. This precision enables exact angular positioning for volumetric dosing: 4 revolutions (40,000 pulses) for 500g dose at the calibrated displacement rate.</w:t>
      </w:r>
    </w:p>
    <w:p w14:paraId="7AFF54E6" w14:textId="77777777" w:rsidR="00A96D90" w:rsidRDefault="00000000">
      <w:pPr>
        <w:jc w:val="both"/>
      </w:pPr>
      <w:r>
        <w:t>The synchronization between dosing and sealing operations exemplifies mechatronic system design. The control system manages multiple concurrent processes: auger rotation (0.8 seconds), horizontal sealing (0.5 seconds), vertical sealing (continuous), and film advancement (variable duration based on speed). The Finite State Machine architecture ensures deterministic sequencing with defined transitions, while parallel processing maximizes throughput. The validated cycle time of 2.282 seconds (compared to 3.0 second requirement) demonstrates 23.9% margin for 20 BPM production target.</w:t>
      </w:r>
    </w:p>
    <w:p w14:paraId="3068FF34" w14:textId="77777777" w:rsidR="00A96D90" w:rsidRDefault="00000000">
      <w:pPr>
        <w:jc w:val="both"/>
      </w:pPr>
      <w:r>
        <w:t>The Software-in-the-Loop (SIL) validation methodology using Wokwi simulation environment provides a replicable approach for control system verification. By executing actual firmware code against virtual plant models, SIL validation identifies control logic errors prior to hardware deployment. This methodology reduces development risk and accelerates the transition from design to operational system.</w:t>
      </w:r>
    </w:p>
    <w:p w14:paraId="47134D46" w14:textId="77777777" w:rsidR="00A96D90" w:rsidRDefault="00000000">
      <w:pPr>
        <w:jc w:val="both"/>
      </w:pPr>
      <w:r>
        <w:t>The Failure Mode and Effects Analysis (FMEA) integrated into the control firmware demonstrates systematic reliability engineering. Each identified failure mode (sensor failure, over-temperature, emergency stop) triggers specific protective responses with defined response times. This structured approach to safety ensures that single-point failures do not compromise system integrity or operator safety.</w:t>
      </w:r>
    </w:p>
    <w:p w14:paraId="4A885909" w14:textId="77777777" w:rsidR="00A96D90" w:rsidRDefault="00000000">
      <w:r>
        <w:br w:type="page"/>
      </w:r>
    </w:p>
    <w:p w14:paraId="6BCC899B" w14:textId="77777777" w:rsidR="00A96D90" w:rsidRDefault="00000000">
      <w:pPr>
        <w:pStyle w:val="Heading2"/>
      </w:pPr>
      <w:r>
        <w:rPr>
          <w:rFonts w:ascii="Times New Roman" w:hAnsi="Times New Roman"/>
          <w:color w:val="003366"/>
          <w:sz w:val="28"/>
        </w:rPr>
        <w:lastRenderedPageBreak/>
        <w:t>6.5 Chapter Summary</w:t>
      </w:r>
    </w:p>
    <w:p w14:paraId="20C7E942" w14:textId="77777777" w:rsidR="00A96D90" w:rsidRDefault="00000000">
      <w:pPr>
        <w:jc w:val="both"/>
      </w:pPr>
      <w:r>
        <w:t>This chapter has presented a comprehensive evaluation of the VFFS auger filling system design, demonstrating achievement of all specified performance objectives and establishing the design's suitability for industrial integration. The key findings and conclusions are summarized as follows:</w:t>
      </w:r>
    </w:p>
    <w:p w14:paraId="304C5CD3" w14:textId="77777777" w:rsidR="00A96D90" w:rsidRDefault="00000000">
      <w:pPr>
        <w:jc w:val="both"/>
      </w:pPr>
      <w:r>
        <w:rPr>
          <w:b/>
        </w:rPr>
        <w:t xml:space="preserve">Dosing Precision: </w:t>
      </w:r>
      <w:r>
        <w:t>The design achieves ±0.84% dosing accuracy (target: ±1.5%) through optimized auger geometry, servo-controlled motion, and spinner plate cutoff mechanism. Variable speed operation maintains precision across the 200-400 RPM range, demonstrating robustness to production rate variations.</w:t>
      </w:r>
    </w:p>
    <w:p w14:paraId="7C91C7F1" w14:textId="77777777" w:rsidR="00A96D90" w:rsidRDefault="00000000">
      <w:pPr>
        <w:jc w:val="both"/>
      </w:pPr>
      <w:r>
        <w:rPr>
          <w:b/>
        </w:rPr>
        <w:t xml:space="preserve">Structural Reliability: </w:t>
      </w:r>
      <w:r>
        <w:t>All critical components demonstrate safety factors exceeding 1.6 under worst-case loading, with the auger-shaft-spinner assembly achieving minimum FOS of 2.3. Fatigue life predictions exceed 1.0×10⁶ cycles for all components, ensuring multi-year service life under continuous operation.</w:t>
      </w:r>
    </w:p>
    <w:p w14:paraId="7FB058B7" w14:textId="77777777" w:rsidR="00A96D90" w:rsidRDefault="00000000">
      <w:pPr>
        <w:jc w:val="both"/>
      </w:pPr>
      <w:r>
        <w:rPr>
          <w:b/>
        </w:rPr>
        <w:t xml:space="preserve">Industrial Integration: </w:t>
      </w:r>
      <w:r>
        <w:t>Standardized mechanical interfaces (60mm auger, M8 mounting pattern) and industrial control architecture (ESP32 with FreeRTOS, Modbus-capable) ensure compatibility with existing VFFS installations. The validated production rate of 20 BPM with 23.9% cycle time margin supports industrial throughput requirements.</w:t>
      </w:r>
    </w:p>
    <w:p w14:paraId="2B48618A" w14:textId="77777777" w:rsidR="00A96D90" w:rsidRDefault="00000000">
      <w:pPr>
        <w:jc w:val="both"/>
      </w:pPr>
      <w:r>
        <w:rPr>
          <w:b/>
        </w:rPr>
        <w:t xml:space="preserve">Mechatronic Synergy: </w:t>
      </w:r>
      <w:r>
        <w:t>Motion profile optimization reduces peak torque by 35%, extending mechanical service life. Closed-loop position control with 23-bit encoder resolution enables overload protection and condition monitoring capabilities. The integrated control architecture supports predictive maintenance strategies based on current signature analysis and thermal monitoring.</w:t>
      </w:r>
    </w:p>
    <w:p w14:paraId="12D2A4C1" w14:textId="77777777" w:rsidR="00A96D90" w:rsidRDefault="00000000">
      <w:pPr>
        <w:jc w:val="both"/>
      </w:pPr>
      <w:r>
        <w:rPr>
          <w:b/>
        </w:rPr>
        <w:t xml:space="preserve">Engineering Contributions: </w:t>
      </w:r>
      <w:r>
        <w:t>The project advances engineering knowledge through validated integrated design methodology, auger geometry optimization for salt packaging, thermal-structural coupling analysis, and innovative servo control implementation. The correlation between analytical and numerical results (deviations &lt;10%) validates the predictive capability of the methodology.</w:t>
      </w:r>
    </w:p>
    <w:p w14:paraId="36074DBD" w14:textId="77777777" w:rsidR="00A96D90" w:rsidRDefault="00A96D90">
      <w:pPr>
        <w:jc w:val="both"/>
      </w:pPr>
    </w:p>
    <w:p w14:paraId="513E2C64" w14:textId="77777777" w:rsidR="00A96D90" w:rsidRDefault="00000000">
      <w:pPr>
        <w:jc w:val="both"/>
      </w:pPr>
      <w:r>
        <w:lastRenderedPageBreak/>
        <w:t>The comprehensive evaluation confirms that the VFFS auger filling system design meets all specified requirements and represents a significant advancement in mechatronic packaging system design. The integration of precision mechanical engineering with intelligent control systems achieves performance levels that exceed industry standards while maintaining the reliability and robustness required for continuous industrial operation.</w:t>
      </w:r>
      <w:bookmarkEnd w:id="0"/>
    </w:p>
    <w:sectPr w:rsidR="00A96D90" w:rsidSect="00866BA7">
      <w:head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E4411" w14:textId="77777777" w:rsidR="009670BF" w:rsidRDefault="009670BF" w:rsidP="007C429F">
      <w:pPr>
        <w:spacing w:after="0" w:line="240" w:lineRule="auto"/>
      </w:pPr>
      <w:r>
        <w:separator/>
      </w:r>
    </w:p>
  </w:endnote>
  <w:endnote w:type="continuationSeparator" w:id="0">
    <w:p w14:paraId="53B61442" w14:textId="77777777" w:rsidR="009670BF" w:rsidRDefault="009670BF" w:rsidP="007C4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00F44" w14:textId="77777777" w:rsidR="009670BF" w:rsidRDefault="009670BF" w:rsidP="007C429F">
      <w:pPr>
        <w:spacing w:after="0" w:line="240" w:lineRule="auto"/>
      </w:pPr>
      <w:r>
        <w:separator/>
      </w:r>
    </w:p>
  </w:footnote>
  <w:footnote w:type="continuationSeparator" w:id="0">
    <w:p w14:paraId="49ED113D" w14:textId="77777777" w:rsidR="009670BF" w:rsidRDefault="009670BF" w:rsidP="007C4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ED4D" w14:textId="3AD32CBF" w:rsidR="007C429F" w:rsidRDefault="007C429F">
    <w:pPr>
      <w:pStyle w:val="Header"/>
    </w:pPr>
    <w:r>
      <w:rPr>
        <w:noProof/>
      </w:rPr>
      <mc:AlternateContent>
        <mc:Choice Requires="wps">
          <w:drawing>
            <wp:anchor distT="0" distB="0" distL="114300" distR="114300" simplePos="0" relativeHeight="251660288" behindDoc="0" locked="0" layoutInCell="0" allowOverlap="1" wp14:anchorId="52686052" wp14:editId="094407D4">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EB065" w14:textId="71CAF7E4" w:rsidR="007C429F" w:rsidRDefault="007C429F">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797C22">
                            <w:rPr>
                              <w:noProof/>
                            </w:rPr>
                            <w:instrText>RESULTS DISCUSSION AND EVALUATION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797C22">
                            <w:rPr>
                              <w:noProof/>
                            </w:rPr>
                            <w:instrText>RESULTS DISCUSSION AND EVALUATION</w:instrText>
                          </w:r>
                          <w:r>
                            <w:rPr>
                              <w:noProof/>
                            </w:rPr>
                            <w:fldChar w:fldCharType="end"/>
                          </w:r>
                          <w:r>
                            <w:rPr>
                              <w:noProof/>
                            </w:rPr>
                            <w:instrText>""Add a heading to your document""</w:instrText>
                          </w:r>
                          <w:r>
                            <w:rPr>
                              <w:noProof/>
                            </w:rPr>
                            <w:fldChar w:fldCharType="separate"/>
                          </w:r>
                          <w:r w:rsidR="00797C22">
                            <w:rPr>
                              <w:noProof/>
                            </w:rPr>
                            <w:t>RESULTS DISCUSSION AND EVALUATION</w:t>
                          </w:r>
                          <w:r>
                            <w:rPr>
                              <w:noProof/>
                            </w:rPr>
                            <w:fldChar w:fldCharType="end"/>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2686052" id="_x0000_t202" coordsize="21600,21600" o:spt="202" path="m,l,21600r21600,l21600,xe">
              <v:stroke joinstyle="miter"/>
              <v:path gradientshapeok="t" o:connecttype="rect"/>
            </v:shapetype>
            <v:shape id="Text Box 220" o:spid="_x0000_s1027"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057EB065" w14:textId="71CAF7E4" w:rsidR="007C429F" w:rsidRDefault="007C429F">
                    <w:pPr>
                      <w:spacing w:after="0" w:line="240" w:lineRule="auto"/>
                      <w:jc w:val="right"/>
                      <w:rPr>
                        <w:noProof/>
                      </w:rPr>
                    </w:pPr>
                    <w:r>
                      <w:rPr>
                        <w:noProof/>
                      </w:rPr>
                      <w:fldChar w:fldCharType="begin"/>
                    </w:r>
                    <w:r>
                      <w:rPr>
                        <w:noProof/>
                      </w:rPr>
                      <w:instrText xml:space="preserve"> If </w:instrText>
                    </w:r>
                    <w:r>
                      <w:rPr>
                        <w:noProof/>
                      </w:rPr>
                      <w:fldChar w:fldCharType="begin"/>
                    </w:r>
                    <w:r>
                      <w:rPr>
                        <w:noProof/>
                      </w:rPr>
                      <w:instrText xml:space="preserve"> STYLEREF “Heading 1”  </w:instrText>
                    </w:r>
                    <w:r>
                      <w:rPr>
                        <w:noProof/>
                      </w:rPr>
                      <w:fldChar w:fldCharType="separate"/>
                    </w:r>
                    <w:r w:rsidR="00797C22">
                      <w:rPr>
                        <w:noProof/>
                      </w:rPr>
                      <w:instrText>RESULTS DISCUSSION AND EVALUATION</w:instrText>
                    </w:r>
                    <w:r>
                      <w:rPr>
                        <w:noProof/>
                      </w:rPr>
                      <w:fldChar w:fldCharType="end"/>
                    </w:r>
                    <w:r>
                      <w:rPr>
                        <w:noProof/>
                      </w:rPr>
                      <w:instrText>&lt;&gt; “Error*” “</w:instrText>
                    </w:r>
                    <w:r>
                      <w:rPr>
                        <w:noProof/>
                      </w:rPr>
                      <w:fldChar w:fldCharType="begin"/>
                    </w:r>
                    <w:r>
                      <w:rPr>
                        <w:noProof/>
                      </w:rPr>
                      <w:instrText xml:space="preserve"> STYLEREF “Heading 1” </w:instrText>
                    </w:r>
                    <w:r>
                      <w:rPr>
                        <w:noProof/>
                      </w:rPr>
                      <w:fldChar w:fldCharType="separate"/>
                    </w:r>
                    <w:r w:rsidR="00797C22">
                      <w:rPr>
                        <w:noProof/>
                      </w:rPr>
                      <w:instrText>RESULTS DISCUSSION AND EVALUATION</w:instrText>
                    </w:r>
                    <w:r>
                      <w:rPr>
                        <w:noProof/>
                      </w:rPr>
                      <w:fldChar w:fldCharType="end"/>
                    </w:r>
                    <w:r>
                      <w:rPr>
                        <w:noProof/>
                      </w:rPr>
                      <w:instrText>""Add a heading to your document""</w:instrText>
                    </w:r>
                    <w:r>
                      <w:rPr>
                        <w:noProof/>
                      </w:rPr>
                      <w:fldChar w:fldCharType="separate"/>
                    </w:r>
                    <w:r w:rsidR="00797C22">
                      <w:rPr>
                        <w:noProof/>
                      </w:rPr>
                      <w:t>RESULTS DISCUSSION AND EVALUATION</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11ED01EC" wp14:editId="00E25F94">
              <wp:simplePos x="0" y="0"/>
              <wp:positionH relativeFrom="page">
                <wp:align>right</wp:align>
              </wp:positionH>
              <wp:positionV relativeFrom="topMargin">
                <wp:align>center</wp:align>
              </wp:positionV>
              <wp:extent cx="911860" cy="170815"/>
              <wp:effectExtent l="0" t="0" r="0" b="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bg2">
                          <a:lumMod val="50000"/>
                        </a:schemeClr>
                      </a:solidFill>
                      <a:ln>
                        <a:noFill/>
                      </a:ln>
                    </wps:spPr>
                    <wps:txbx>
                      <w:txbxContent>
                        <w:p w14:paraId="3D289F22" w14:textId="06EA859B" w:rsidR="007C429F" w:rsidRDefault="007C429F">
                          <w:pPr>
                            <w:spacing w:after="0" w:line="240" w:lineRule="auto"/>
                            <w:rPr>
                              <w:color w:val="FFFFFF" w:themeColor="background1"/>
                            </w:rPr>
                          </w:pP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11ED01EC" id="Text Box 221" o:spid="_x0000_s1028"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" o:allowincell="f" fillcolor="#938953 [1614]" stroked="f">
              <v:textbox style="mso-fit-shape-to-text:t" inset=",0,,0">
                <w:txbxContent>
                  <w:p w14:paraId="3D289F22" w14:textId="06EA859B" w:rsidR="007C429F" w:rsidRDefault="007C429F">
                    <w:pPr>
                      <w:spacing w:after="0" w:line="240" w:lineRule="auto"/>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FF394E"/>
    <w:multiLevelType w:val="hybridMultilevel"/>
    <w:tmpl w:val="0D52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3458233">
    <w:abstractNumId w:val="8"/>
  </w:num>
  <w:num w:numId="2" w16cid:durableId="931816028">
    <w:abstractNumId w:val="6"/>
  </w:num>
  <w:num w:numId="3" w16cid:durableId="1578899047">
    <w:abstractNumId w:val="5"/>
  </w:num>
  <w:num w:numId="4" w16cid:durableId="754791224">
    <w:abstractNumId w:val="4"/>
  </w:num>
  <w:num w:numId="5" w16cid:durableId="1134905746">
    <w:abstractNumId w:val="7"/>
  </w:num>
  <w:num w:numId="6" w16cid:durableId="776409566">
    <w:abstractNumId w:val="3"/>
  </w:num>
  <w:num w:numId="7" w16cid:durableId="838276911">
    <w:abstractNumId w:val="2"/>
  </w:num>
  <w:num w:numId="8" w16cid:durableId="1229347078">
    <w:abstractNumId w:val="1"/>
  </w:num>
  <w:num w:numId="9" w16cid:durableId="1932351736">
    <w:abstractNumId w:val="0"/>
  </w:num>
  <w:num w:numId="10" w16cid:durableId="324673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605"/>
    <w:rsid w:val="00713C59"/>
    <w:rsid w:val="00797C22"/>
    <w:rsid w:val="007C429F"/>
    <w:rsid w:val="00866BA7"/>
    <w:rsid w:val="00890F9E"/>
    <w:rsid w:val="009670BF"/>
    <w:rsid w:val="00A5382B"/>
    <w:rsid w:val="00A96D90"/>
    <w:rsid w:val="00AA1D8D"/>
    <w:rsid w:val="00AD669B"/>
    <w:rsid w:val="00B47730"/>
    <w:rsid w:val="00C375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9CC9C2"/>
  <w14:defaultImageDpi w14:val="300"/>
  <w15:docId w15:val="{6DC92ABE-63A1-48C8-BB35-8A7F71CC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Heading1"/>
    <w:basedOn w:val="Heading1"/>
    <w:pPr>
      <w:spacing w:after="240"/>
    </w:pPr>
    <w:rPr>
      <w:rFonts w:ascii="Times New Roman" w:hAnsi="Times New Roman"/>
      <w:color w:val="003366"/>
      <w:sz w:val="32"/>
    </w:rPr>
  </w:style>
  <w:style w:type="paragraph" w:customStyle="1" w:styleId="CustomHeading2">
    <w:name w:val="CustomHeading2"/>
    <w:basedOn w:val="Heading2"/>
    <w:pPr>
      <w:spacing w:before="360" w:after="160"/>
    </w:pPr>
    <w:rPr>
      <w:rFonts w:ascii="Times New Roman" w:hAnsi="Times New Roman"/>
      <w:color w:val="003366"/>
      <w:sz w:val="28"/>
    </w:rPr>
  </w:style>
  <w:style w:type="paragraph" w:customStyle="1" w:styleId="CustomHeading3">
    <w:name w:val="CustomHeading3"/>
    <w:basedOn w:val="Heading3"/>
    <w:pPr>
      <w:spacing w:before="240" w:after="120"/>
    </w:pPr>
    <w:rPr>
      <w:rFonts w:ascii="Times New Roman" w:hAnsi="Times New Roman"/>
      <w:color w:val="0033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4808</Words>
  <Characters>27407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Moqbel</cp:lastModifiedBy>
  <cp:revision>4</cp:revision>
  <dcterms:created xsi:type="dcterms:W3CDTF">2026-04-13T02:41:00Z</dcterms:created>
  <dcterms:modified xsi:type="dcterms:W3CDTF">2026-04-13T03:10:00Z</dcterms:modified>
  <cp:category/>
</cp:coreProperties>
</file>