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C7DD0" w:rsidRDefault="00000000">
      <w:pPr>
        <w:pStyle w:val="Heading1"/>
        <w:pageBreakBefore/>
      </w:pPr>
      <w:r>
        <w:t xml:space="preserve">CHAPTER </w:t>
      </w:r>
      <w:r w:rsidR="00EC24B6">
        <w:t>5</w:t>
      </w:r>
    </w:p>
    <w:p w:rsidR="005C7DD0" w:rsidRDefault="00000000">
      <w:pPr>
        <w:pStyle w:val="Heading1"/>
      </w:pPr>
      <w:r>
        <w:t>RESULTS, DISCUSSION, AND VALIDATION</w:t>
      </w:r>
    </w:p>
    <w:p w:rsidR="005C7DD0" w:rsidRDefault="00000000">
      <w:pPr>
        <w:spacing w:line="360" w:lineRule="auto"/>
        <w:jc w:val="both"/>
      </w:pPr>
      <w:r>
        <w:rPr>
          <w:sz w:val="22"/>
        </w:rPr>
        <w:t>This chapter presents the comprehensive verification and validation (V&amp;V) of the designed Vertical Auger Filling system for sodium chloride (NaCl) packaging applications. The validation framework encompasses a multi-layered approach integrating analytical modeling, numerical simulation, industrial benchmarking, and academic cross-referencing. The structural and kinematic integrity of the auger assembly was verified using the physical properties of Sodium Chloride with a bulk density of 1300 kg/m³. This chapter substantiates that the proposed design not only meets the theoretical performance criteria but also aligns with current industrial best practices and academic research findings.</w:t>
      </w:r>
    </w:p>
    <w:p w:rsidR="005C7DD0" w:rsidRDefault="00EC24B6">
      <w:pPr>
        <w:pStyle w:val="Heading2"/>
      </w:pPr>
      <w:r>
        <w:t>5</w:t>
      </w:r>
      <w:r w:rsidR="00000000">
        <w:t>.1 Technical Verification (Analytical vs. Numerical)</w:t>
      </w:r>
    </w:p>
    <w:p w:rsidR="005C7DD0" w:rsidRDefault="00000000">
      <w:pPr>
        <w:spacing w:line="360" w:lineRule="auto"/>
        <w:jc w:val="both"/>
      </w:pPr>
      <w:r>
        <w:rPr>
          <w:sz w:val="22"/>
        </w:rPr>
        <w:t>The technical verification process establishes the correlation between analytical predictions and numerical simulation results. This dual-validation approach ensures that the theoretical models accurately represent the physical behavior of the auger filling system under operational conditions.</w:t>
      </w:r>
    </w:p>
    <w:p w:rsidR="005C7DD0" w:rsidRDefault="00EC24B6">
      <w:pPr>
        <w:pStyle w:val="Heading3"/>
      </w:pPr>
      <w:r>
        <w:t>5</w:t>
      </w:r>
      <w:r w:rsidR="00000000">
        <w:t>.1.1 Volumetric Precision Verification</w:t>
      </w:r>
    </w:p>
    <w:p w:rsidR="005C7DD0" w:rsidRDefault="00000000">
      <w:pPr>
        <w:spacing w:line="360" w:lineRule="auto"/>
        <w:jc w:val="both"/>
      </w:pPr>
      <w:r>
        <w:rPr>
          <w:sz w:val="22"/>
        </w:rPr>
        <w:t>Based on the auger diameter (D = 60 mm) and pitch (p = 60 mm), the theoretical displacement per revolution was calculated using the annular cylinder formula:</w:t>
      </w:r>
    </w:p>
    <w:p w:rsidR="005C7DD0" w:rsidRDefault="00000000">
      <w:pPr>
        <w:spacing w:before="200"/>
        <w:jc w:val="center"/>
      </w:pPr>
      <m:oMathPara>
        <m:oMath>
          <m:sSub>
            <m:sSubPr>
              <m:ctrlPr>
                <w:rPr>
                  <w:rFonts w:ascii="Cambria Math" w:hAnsi="Cambria Math"/>
                </w:rPr>
              </m:ctrlPr>
            </m:sSubPr>
            <m:e>
              <m:r>
                <w:rPr>
                  <w:rFonts w:ascii="Cambria Math" w:hAnsi="Cambria Math"/>
                </w:rPr>
                <m:t>V</m:t>
              </m:r>
            </m:e>
            <m:sub>
              <m:r>
                <w:rPr>
                  <w:rFonts w:ascii="Cambria Math" w:hAnsi="Cambria Math"/>
                </w:rPr>
                <m:t>th</m:t>
              </m:r>
            </m:sub>
          </m:sSub>
          <m:r>
            <w:rPr>
              <w:rFonts w:ascii="Cambria Math" w:hAnsi="Cambria Math"/>
            </w:rPr>
            <m:t xml:space="preserve"> = </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 xml:space="preserve">) × p = </m:t>
          </m:r>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 xml:space="preserve"> × (</m:t>
          </m:r>
          <m:sSup>
            <m:sSupPr>
              <m:ctrlPr>
                <w:rPr>
                  <w:rFonts w:ascii="Cambria Math" w:hAnsi="Cambria Math"/>
                </w:rPr>
              </m:ctrlPr>
            </m:sSupPr>
            <m:e>
              <m:r>
                <w:rPr>
                  <w:rFonts w:ascii="Cambria Math" w:hAnsi="Cambria Math"/>
                </w:rPr>
                <m:t>0.060</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0.016</m:t>
              </m:r>
            </m:e>
            <m:sup>
              <m:r>
                <w:rPr>
                  <w:rFonts w:ascii="Cambria Math" w:hAnsi="Cambria Math"/>
                </w:rPr>
                <m:t>2</m:t>
              </m:r>
            </m:sup>
          </m:sSup>
          <m:r>
            <w:rPr>
              <w:rFonts w:ascii="Cambria Math" w:hAnsi="Cambria Math"/>
            </w:rPr>
            <m:t xml:space="preserve">) × 0.060 = 160 </m:t>
          </m:r>
          <m:sSup>
            <m:sSupPr>
              <m:ctrlPr>
                <w:rPr>
                  <w:rFonts w:ascii="Cambria Math" w:hAnsi="Cambria Math"/>
                </w:rPr>
              </m:ctrlPr>
            </m:sSupPr>
            <m:e>
              <m:r>
                <w:rPr>
                  <w:rFonts w:ascii="Cambria Math" w:hAnsi="Cambria Math"/>
                </w:rPr>
                <m:t>cm</m:t>
              </m:r>
            </m:e>
            <m:sup>
              <m:r>
                <w:rPr>
                  <w:rFonts w:ascii="Cambria Math" w:hAnsi="Cambria Math"/>
                </w:rPr>
                <m:t>3</m:t>
              </m:r>
            </m:sup>
          </m:sSup>
          <m:r>
            <w:rPr>
              <w:rFonts w:ascii="Cambria Math" w:hAnsi="Cambria Math"/>
            </w:rPr>
            <m:t>/rev</m:t>
          </m:r>
        </m:oMath>
      </m:oMathPara>
    </w:p>
    <w:p w:rsidR="005C7DD0" w:rsidRDefault="00000000">
      <w:pPr>
        <w:spacing w:line="360" w:lineRule="auto"/>
        <w:jc w:val="both"/>
      </w:pPr>
      <w:r>
        <w:rPr>
          <w:sz w:val="22"/>
        </w:rPr>
        <w:t>Accounting for a filling efficiency (ηᵥ = 0.6) determined through DEM simulation analysis, the effective volumetric delivery becomes 96 cm³/rev. At the bulk density of 1300 kg/m³, this corresponds to a mass delivery of 125 g/rev. Verification confirms that the ESP32 control logic correctly executes 4 revolutions to approach the 500 g target mass, with precision trim filling completing the dose.</w:t>
      </w:r>
    </w:p>
    <w:p w:rsidR="005C7DD0" w:rsidRDefault="00EC24B6">
      <w:pPr>
        <w:pStyle w:val="Heading3"/>
      </w:pPr>
      <w:r>
        <w:t>5</w:t>
      </w:r>
      <w:r w:rsidR="00000000">
        <w:t>.1.2 Torque and Power Verification</w:t>
      </w:r>
    </w:p>
    <w:p w:rsidR="005C7DD0" w:rsidRDefault="00000000">
      <w:pPr>
        <w:spacing w:line="360" w:lineRule="auto"/>
        <w:jc w:val="both"/>
      </w:pPr>
      <w:r>
        <w:rPr>
          <w:sz w:val="22"/>
        </w:rPr>
        <w:t xml:space="preserve">Analytical torque calculations indicated a peak requirement of 20 </w:t>
      </w:r>
      <w:proofErr w:type="spellStart"/>
      <w:r>
        <w:rPr>
          <w:sz w:val="22"/>
        </w:rPr>
        <w:t>N·m</w:t>
      </w:r>
      <w:proofErr w:type="spellEnd"/>
      <w:r>
        <w:rPr>
          <w:sz w:val="22"/>
        </w:rPr>
        <w:t xml:space="preserve"> to overcome the static shear strength of compacted salt during startup conditions. This value was derived from the Mohr-Coulomb failure criterion applied to the powder bed within the auger flights:</w:t>
      </w:r>
    </w:p>
    <w:p w:rsidR="005C7DD0" w:rsidRDefault="00000000">
      <w:pPr>
        <w:spacing w:before="200"/>
        <w:jc w:val="center"/>
      </w:pPr>
      <m:oMathPara>
        <m:oMath>
          <m:sSub>
            <m:sSubPr>
              <m:ctrlPr>
                <w:rPr>
                  <w:rFonts w:ascii="Cambria Math" w:hAnsi="Cambria Math"/>
                </w:rPr>
              </m:ctrlPr>
            </m:sSubPr>
            <m:e>
              <m:r>
                <w:rPr>
                  <w:rFonts w:ascii="Cambria Math" w:hAnsi="Cambria Math"/>
                </w:rPr>
                <m:t>T</m:t>
              </m:r>
            </m:e>
            <m:sub>
              <m:r>
                <w:rPr>
                  <w:rFonts w:ascii="Cambria Math" w:hAnsi="Cambria Math"/>
                </w:rPr>
                <m:t>peak</m:t>
              </m:r>
            </m:sub>
          </m:sSub>
          <m:r>
            <w:rPr>
              <w:rFonts w:ascii="Cambria Math" w:hAnsi="Cambria Math"/>
            </w:rPr>
            <m:t xml:space="preserve"> = </m:t>
          </m:r>
          <m:sSub>
            <m:sSubPr>
              <m:ctrlPr>
                <w:rPr>
                  <w:rFonts w:ascii="Cambria Math" w:hAnsi="Cambria Math"/>
                </w:rPr>
              </m:ctrlPr>
            </m:sSubPr>
            <m:e>
              <m:r>
                <w:rPr>
                  <w:rFonts w:ascii="Cambria Math" w:hAnsi="Cambria Math"/>
                </w:rPr>
                <m:t>τ</m:t>
              </m:r>
            </m:e>
            <m:sub>
              <m:r>
                <w:rPr>
                  <w:rFonts w:ascii="Cambria Math" w:hAnsi="Cambria Math"/>
                </w:rPr>
                <m:t>shear</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flight</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mean</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friction</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inertia</m:t>
              </m:r>
            </m:sub>
          </m:sSub>
        </m:oMath>
      </m:oMathPara>
    </w:p>
    <w:p w:rsidR="005C7DD0" w:rsidRDefault="00000000">
      <w:pPr>
        <w:spacing w:line="360" w:lineRule="auto"/>
        <w:jc w:val="both"/>
      </w:pPr>
      <w:r>
        <w:rPr>
          <w:sz w:val="22"/>
        </w:rPr>
        <w:t xml:space="preserve">Numerical verification via EDEM simulation confirmed that torque levels remain within the operational safety limits of the 400W servo motor when coupled with a 1:20 planetary gearbox. The simulation recorded maximum torque spikes of 18.5 </w:t>
      </w:r>
      <w:proofErr w:type="spellStart"/>
      <w:r>
        <w:rPr>
          <w:sz w:val="22"/>
        </w:rPr>
        <w:t>N·m</w:t>
      </w:r>
      <w:proofErr w:type="spellEnd"/>
      <w:r>
        <w:rPr>
          <w:sz w:val="22"/>
        </w:rPr>
        <w:t xml:space="preserve"> during simulated caking conditions, validating the analytical safety margin of 8%.</w:t>
      </w:r>
    </w:p>
    <w:p w:rsidR="005C7DD0" w:rsidRDefault="00EC24B6">
      <w:pPr>
        <w:pStyle w:val="Heading3"/>
      </w:pPr>
      <w:r>
        <w:t>5</w:t>
      </w:r>
      <w:r w:rsidR="00000000">
        <w:t>.1.3 Structural Integrity Correlation</w:t>
      </w:r>
    </w:p>
    <w:p w:rsidR="005C7DD0" w:rsidRDefault="00000000">
      <w:pPr>
        <w:spacing w:line="360" w:lineRule="auto"/>
        <w:jc w:val="both"/>
      </w:pPr>
      <w:r>
        <w:rPr>
          <w:sz w:val="22"/>
        </w:rPr>
        <w:t>The correlation between analytical stress predictions and FEA results demonstrates excellent agreement. The maximum von Mises stress recorded in SOLIDWORKS Simulation (90.3 MPa) and ANSYS Mechanical (85.37 MPa) both remain well below the yield strength of AISI 304 stainless steel (206.8 MPa), providing a minimum factor of safety of 2.28.</w:t>
      </w:r>
    </w:p>
    <w:p w:rsidR="002D684A" w:rsidRDefault="002D684A">
      <w:pPr>
        <w:spacing w:line="360" w:lineRule="auto"/>
        <w:jc w:val="both"/>
      </w:pPr>
      <w:r>
        <w:rPr>
          <w:noProof/>
        </w:rPr>
        <w:drawing>
          <wp:inline distT="0" distB="0" distL="0" distR="0">
            <wp:extent cx="5731510" cy="3343275"/>
            <wp:effectExtent l="0" t="0" r="0" b="0"/>
            <wp:docPr id="53471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4254" name="Picture 5347142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rsidR="002D684A" w:rsidRPr="002D684A" w:rsidRDefault="002D684A" w:rsidP="002D684A">
      <w:pPr>
        <w:spacing w:after="0" w:line="240" w:lineRule="auto"/>
        <w:rPr>
          <w:rFonts w:eastAsia="Times New Roman" w:cs="Times New Roman"/>
          <w:color w:val="auto"/>
          <w:kern w:val="0"/>
          <w:szCs w:val="24"/>
          <w14:ligatures w14:val="none"/>
        </w:rPr>
      </w:pPr>
      <w:r w:rsidRPr="002D684A">
        <w:rPr>
          <w:rFonts w:eastAsia="Times New Roman" w:cs="Times New Roman"/>
          <w:color w:val="auto"/>
          <w:kern w:val="0"/>
          <w:szCs w:val="24"/>
          <w14:ligatures w14:val="none"/>
        </w:rPr>
        <w:t xml:space="preserve">Figure </w:t>
      </w:r>
      <w:r>
        <w:rPr>
          <w:rFonts w:eastAsia="Times New Roman" w:cs="Times New Roman"/>
          <w:color w:val="auto"/>
          <w:kern w:val="0"/>
          <w:szCs w:val="24"/>
          <w14:ligatures w14:val="none"/>
        </w:rPr>
        <w:t>5</w:t>
      </w:r>
      <w:r w:rsidRPr="002D684A">
        <w:rPr>
          <w:rFonts w:eastAsia="Times New Roman" w:cs="Times New Roman"/>
          <w:color w:val="auto"/>
          <w:kern w:val="0"/>
          <w:szCs w:val="24"/>
          <w14:ligatures w14:val="none"/>
        </w:rPr>
        <w:t>.</w:t>
      </w:r>
      <w:r>
        <w:rPr>
          <w:rFonts w:eastAsia="Times New Roman" w:cs="Times New Roman"/>
          <w:color w:val="auto"/>
          <w:kern w:val="0"/>
          <w:szCs w:val="24"/>
          <w14:ligatures w14:val="none"/>
        </w:rPr>
        <w:t>1</w:t>
      </w:r>
      <w:r w:rsidRPr="002D684A">
        <w:rPr>
          <w:rFonts w:eastAsia="Times New Roman" w:cs="Times New Roman"/>
          <w:color w:val="auto"/>
          <w:kern w:val="0"/>
          <w:szCs w:val="24"/>
          <w14:ligatures w14:val="none"/>
        </w:rPr>
        <w:t xml:space="preserve">.1: Bar chart comparing the max stresses of the </w:t>
      </w:r>
      <w:r>
        <w:rPr>
          <w:rFonts w:eastAsia="Times New Roman" w:cs="Times New Roman"/>
          <w:color w:val="auto"/>
          <w:kern w:val="0"/>
          <w:szCs w:val="24"/>
          <w14:ligatures w14:val="none"/>
        </w:rPr>
        <w:t>7</w:t>
      </w:r>
      <w:r w:rsidRPr="002D684A">
        <w:rPr>
          <w:rFonts w:eastAsia="Times New Roman" w:cs="Times New Roman"/>
          <w:color w:val="auto"/>
          <w:kern w:val="0"/>
          <w:szCs w:val="24"/>
          <w14:ligatures w14:val="none"/>
        </w:rPr>
        <w:t xml:space="preserve"> configurations against the yield strength line (206.8 MPA).</w:t>
      </w:r>
    </w:p>
    <w:p w:rsidR="002D684A" w:rsidRDefault="002D684A">
      <w:pPr>
        <w:spacing w:line="360" w:lineRule="auto"/>
        <w:jc w:val="both"/>
      </w:pPr>
    </w:p>
    <w:p w:rsidR="005C7DD0" w:rsidRDefault="00EC24B6">
      <w:pPr>
        <w:pStyle w:val="Heading3"/>
      </w:pPr>
      <w:r>
        <w:t>5</w:t>
      </w:r>
      <w:r w:rsidR="00000000">
        <w:t>.1.4 Verification Summary</w:t>
      </w:r>
    </w:p>
    <w:tbl>
      <w:tblPr>
        <w:tblW w:w="5000" w:type="pct"/>
        <w:tblInd w:w="10" w:type="dxa"/>
        <w:tblBorders>
          <w:top w:val="single" w:sz="12" w:space="0" w:color="1E3A5F"/>
          <w:bottom w:val="single" w:sz="12" w:space="0" w:color="1E3A5F"/>
          <w:insideH w:val="single" w:sz="4" w:space="0" w:color="B8C4D0"/>
        </w:tblBorders>
        <w:tblCellMar>
          <w:top w:w="80" w:type="dxa"/>
          <w:left w:w="10" w:type="dxa"/>
          <w:bottom w:w="80" w:type="dxa"/>
          <w:right w:w="10" w:type="dxa"/>
        </w:tblCellMar>
        <w:tblLook w:val="0000" w:firstRow="0" w:lastRow="0" w:firstColumn="0" w:lastColumn="0" w:noHBand="0" w:noVBand="0"/>
      </w:tblPr>
      <w:tblGrid>
        <w:gridCol w:w="2413"/>
        <w:gridCol w:w="2412"/>
        <w:gridCol w:w="2412"/>
        <w:gridCol w:w="1809"/>
      </w:tblGrid>
      <w:tr w:rsidR="005C7DD0" w:rsidTr="009C7047">
        <w:tc>
          <w:tcPr>
            <w:tcW w:w="2413" w:type="dxa"/>
            <w:shd w:val="clear" w:color="auto" w:fill="E8EDF2"/>
          </w:tcPr>
          <w:p w:rsidR="005C7DD0" w:rsidRDefault="00000000">
            <w:pPr>
              <w:spacing w:before="60" w:after="60"/>
              <w:jc w:val="center"/>
            </w:pPr>
            <w:r>
              <w:rPr>
                <w:b/>
                <w:sz w:val="20"/>
              </w:rPr>
              <w:t>Parameter</w:t>
            </w:r>
          </w:p>
        </w:tc>
        <w:tc>
          <w:tcPr>
            <w:tcW w:w="2412" w:type="dxa"/>
            <w:shd w:val="clear" w:color="auto" w:fill="E8EDF2"/>
          </w:tcPr>
          <w:p w:rsidR="005C7DD0" w:rsidRDefault="00000000">
            <w:pPr>
              <w:spacing w:before="60" w:after="60"/>
              <w:jc w:val="center"/>
            </w:pPr>
            <w:r>
              <w:rPr>
                <w:b/>
                <w:sz w:val="20"/>
              </w:rPr>
              <w:t>Analytical</w:t>
            </w:r>
          </w:p>
        </w:tc>
        <w:tc>
          <w:tcPr>
            <w:tcW w:w="2412" w:type="dxa"/>
            <w:shd w:val="clear" w:color="auto" w:fill="E8EDF2"/>
          </w:tcPr>
          <w:p w:rsidR="005C7DD0" w:rsidRDefault="00000000">
            <w:pPr>
              <w:spacing w:before="60" w:after="60"/>
              <w:jc w:val="center"/>
            </w:pPr>
            <w:r>
              <w:rPr>
                <w:b/>
                <w:sz w:val="20"/>
              </w:rPr>
              <w:t>Numerical (FEA/DEM)</w:t>
            </w:r>
          </w:p>
        </w:tc>
        <w:tc>
          <w:tcPr>
            <w:tcW w:w="1809" w:type="dxa"/>
            <w:shd w:val="clear" w:color="auto" w:fill="E8EDF2"/>
          </w:tcPr>
          <w:p w:rsidR="005C7DD0" w:rsidRDefault="00000000">
            <w:pPr>
              <w:spacing w:before="60" w:after="60"/>
              <w:jc w:val="center"/>
            </w:pPr>
            <w:r>
              <w:rPr>
                <w:b/>
                <w:sz w:val="20"/>
              </w:rPr>
              <w:t>Deviation</w:t>
            </w:r>
          </w:p>
        </w:tc>
      </w:tr>
      <w:tr w:rsidR="005C7DD0" w:rsidTr="009C7047">
        <w:tc>
          <w:tcPr>
            <w:tcW w:w="2413" w:type="dxa"/>
          </w:tcPr>
          <w:p w:rsidR="005C7DD0" w:rsidRDefault="00000000">
            <w:pPr>
              <w:spacing w:before="60" w:after="60"/>
              <w:jc w:val="center"/>
            </w:pPr>
            <w:r>
              <w:rPr>
                <w:sz w:val="20"/>
              </w:rPr>
              <w:t>Theoretical Volume</w:t>
            </w:r>
          </w:p>
        </w:tc>
        <w:tc>
          <w:tcPr>
            <w:tcW w:w="2412" w:type="dxa"/>
          </w:tcPr>
          <w:p w:rsidR="005C7DD0" w:rsidRDefault="00000000">
            <w:pPr>
              <w:spacing w:before="60" w:after="60"/>
              <w:jc w:val="center"/>
            </w:pPr>
            <w:r>
              <w:rPr>
                <w:sz w:val="20"/>
              </w:rPr>
              <w:t>160 cm³/rev</w:t>
            </w:r>
          </w:p>
        </w:tc>
        <w:tc>
          <w:tcPr>
            <w:tcW w:w="2412" w:type="dxa"/>
          </w:tcPr>
          <w:p w:rsidR="005C7DD0" w:rsidRDefault="00000000">
            <w:pPr>
              <w:spacing w:before="60" w:after="60"/>
              <w:jc w:val="center"/>
            </w:pPr>
            <w:r>
              <w:rPr>
                <w:sz w:val="20"/>
              </w:rPr>
              <w:t>158.2 cm³/rev</w:t>
            </w:r>
          </w:p>
        </w:tc>
        <w:tc>
          <w:tcPr>
            <w:tcW w:w="1809" w:type="dxa"/>
          </w:tcPr>
          <w:p w:rsidR="005C7DD0" w:rsidRDefault="00000000">
            <w:pPr>
              <w:spacing w:before="60" w:after="60"/>
              <w:jc w:val="center"/>
            </w:pPr>
            <w:r>
              <w:rPr>
                <w:sz w:val="20"/>
              </w:rPr>
              <w:t>1.1%</w:t>
            </w:r>
          </w:p>
        </w:tc>
      </w:tr>
      <w:tr w:rsidR="005C7DD0" w:rsidTr="009C7047">
        <w:tc>
          <w:tcPr>
            <w:tcW w:w="2413" w:type="dxa"/>
          </w:tcPr>
          <w:p w:rsidR="005C7DD0" w:rsidRDefault="00000000">
            <w:pPr>
              <w:spacing w:before="60" w:after="60"/>
              <w:jc w:val="center"/>
            </w:pPr>
            <w:r>
              <w:rPr>
                <w:sz w:val="20"/>
              </w:rPr>
              <w:t>Volumetric Efficiency</w:t>
            </w:r>
          </w:p>
        </w:tc>
        <w:tc>
          <w:tcPr>
            <w:tcW w:w="2412" w:type="dxa"/>
          </w:tcPr>
          <w:p w:rsidR="005C7DD0" w:rsidRDefault="00000000">
            <w:pPr>
              <w:spacing w:before="60" w:after="60"/>
              <w:jc w:val="center"/>
            </w:pPr>
            <w:r>
              <w:rPr>
                <w:sz w:val="20"/>
              </w:rPr>
              <w:t>60% (assumed)</w:t>
            </w:r>
          </w:p>
        </w:tc>
        <w:tc>
          <w:tcPr>
            <w:tcW w:w="2412" w:type="dxa"/>
          </w:tcPr>
          <w:p w:rsidR="005C7DD0" w:rsidRDefault="00000000">
            <w:pPr>
              <w:spacing w:before="60" w:after="60"/>
              <w:jc w:val="center"/>
            </w:pPr>
            <w:r>
              <w:rPr>
                <w:sz w:val="20"/>
              </w:rPr>
              <w:t>65% (DEM)</w:t>
            </w:r>
          </w:p>
        </w:tc>
        <w:tc>
          <w:tcPr>
            <w:tcW w:w="1809" w:type="dxa"/>
          </w:tcPr>
          <w:p w:rsidR="005C7DD0" w:rsidRDefault="00000000">
            <w:pPr>
              <w:spacing w:before="60" w:after="60"/>
              <w:jc w:val="center"/>
            </w:pPr>
            <w:r>
              <w:rPr>
                <w:sz w:val="20"/>
              </w:rPr>
              <w:t>-8.3%</w:t>
            </w:r>
          </w:p>
        </w:tc>
      </w:tr>
      <w:tr w:rsidR="005C7DD0" w:rsidTr="009C7047">
        <w:tc>
          <w:tcPr>
            <w:tcW w:w="2413" w:type="dxa"/>
          </w:tcPr>
          <w:p w:rsidR="005C7DD0" w:rsidRDefault="00000000">
            <w:pPr>
              <w:spacing w:before="60" w:after="60"/>
              <w:jc w:val="center"/>
            </w:pPr>
            <w:r>
              <w:rPr>
                <w:sz w:val="20"/>
              </w:rPr>
              <w:lastRenderedPageBreak/>
              <w:t>Peak Torque</w:t>
            </w:r>
          </w:p>
        </w:tc>
        <w:tc>
          <w:tcPr>
            <w:tcW w:w="2412" w:type="dxa"/>
          </w:tcPr>
          <w:p w:rsidR="005C7DD0" w:rsidRDefault="00000000">
            <w:pPr>
              <w:spacing w:before="60" w:after="60"/>
              <w:jc w:val="center"/>
            </w:pPr>
            <w:r>
              <w:rPr>
                <w:sz w:val="20"/>
              </w:rPr>
              <w:t xml:space="preserve">20 </w:t>
            </w:r>
            <w:proofErr w:type="spellStart"/>
            <w:r>
              <w:rPr>
                <w:sz w:val="20"/>
              </w:rPr>
              <w:t>N·m</w:t>
            </w:r>
            <w:proofErr w:type="spellEnd"/>
          </w:p>
        </w:tc>
        <w:tc>
          <w:tcPr>
            <w:tcW w:w="2412" w:type="dxa"/>
          </w:tcPr>
          <w:p w:rsidR="005C7DD0" w:rsidRDefault="00000000">
            <w:pPr>
              <w:spacing w:before="60" w:after="60"/>
              <w:jc w:val="center"/>
            </w:pPr>
            <w:r>
              <w:rPr>
                <w:sz w:val="20"/>
              </w:rPr>
              <w:t xml:space="preserve">18.5 </w:t>
            </w:r>
            <w:proofErr w:type="spellStart"/>
            <w:r>
              <w:rPr>
                <w:sz w:val="20"/>
              </w:rPr>
              <w:t>N·m</w:t>
            </w:r>
            <w:proofErr w:type="spellEnd"/>
          </w:p>
        </w:tc>
        <w:tc>
          <w:tcPr>
            <w:tcW w:w="1809" w:type="dxa"/>
          </w:tcPr>
          <w:p w:rsidR="005C7DD0" w:rsidRDefault="00000000">
            <w:pPr>
              <w:spacing w:before="60" w:after="60"/>
              <w:jc w:val="center"/>
            </w:pPr>
            <w:r>
              <w:rPr>
                <w:sz w:val="20"/>
              </w:rPr>
              <w:t>7.5%</w:t>
            </w:r>
          </w:p>
        </w:tc>
      </w:tr>
      <w:tr w:rsidR="005C7DD0" w:rsidTr="009C7047">
        <w:tc>
          <w:tcPr>
            <w:tcW w:w="2413" w:type="dxa"/>
          </w:tcPr>
          <w:p w:rsidR="005C7DD0" w:rsidRDefault="00000000">
            <w:pPr>
              <w:spacing w:before="60" w:after="60"/>
              <w:jc w:val="center"/>
            </w:pPr>
            <w:r>
              <w:rPr>
                <w:sz w:val="20"/>
              </w:rPr>
              <w:t>Max Deflection</w:t>
            </w:r>
          </w:p>
        </w:tc>
        <w:tc>
          <w:tcPr>
            <w:tcW w:w="2412" w:type="dxa"/>
          </w:tcPr>
          <w:p w:rsidR="005C7DD0" w:rsidRDefault="00000000">
            <w:pPr>
              <w:spacing w:before="60" w:after="60"/>
              <w:jc w:val="center"/>
            </w:pPr>
            <w:r>
              <w:rPr>
                <w:sz w:val="20"/>
              </w:rPr>
              <w:t>&lt; 0.01 mm</w:t>
            </w:r>
          </w:p>
        </w:tc>
        <w:tc>
          <w:tcPr>
            <w:tcW w:w="2412" w:type="dxa"/>
          </w:tcPr>
          <w:p w:rsidR="005C7DD0" w:rsidRDefault="00000000">
            <w:pPr>
              <w:spacing w:before="60" w:after="60"/>
              <w:jc w:val="center"/>
            </w:pPr>
            <w:r>
              <w:rPr>
                <w:sz w:val="20"/>
              </w:rPr>
              <w:t>0.0021 mm</w:t>
            </w:r>
          </w:p>
        </w:tc>
        <w:tc>
          <w:tcPr>
            <w:tcW w:w="1809" w:type="dxa"/>
          </w:tcPr>
          <w:p w:rsidR="005C7DD0" w:rsidRDefault="00000000">
            <w:pPr>
              <w:spacing w:before="60" w:after="60"/>
              <w:jc w:val="center"/>
            </w:pPr>
            <w:r>
              <w:rPr>
                <w:sz w:val="20"/>
              </w:rPr>
              <w:t>Validated</w:t>
            </w:r>
          </w:p>
        </w:tc>
      </w:tr>
      <w:tr w:rsidR="005C7DD0" w:rsidTr="009C7047">
        <w:tc>
          <w:tcPr>
            <w:tcW w:w="2413" w:type="dxa"/>
          </w:tcPr>
          <w:p w:rsidR="005C7DD0" w:rsidRDefault="00000000">
            <w:pPr>
              <w:spacing w:before="60" w:after="60"/>
              <w:jc w:val="center"/>
            </w:pPr>
            <w:r>
              <w:rPr>
                <w:sz w:val="20"/>
              </w:rPr>
              <w:t>Safety Factor</w:t>
            </w:r>
          </w:p>
        </w:tc>
        <w:tc>
          <w:tcPr>
            <w:tcW w:w="2412" w:type="dxa"/>
          </w:tcPr>
          <w:p w:rsidR="005C7DD0" w:rsidRDefault="00000000">
            <w:pPr>
              <w:spacing w:before="60" w:after="60"/>
              <w:jc w:val="center"/>
            </w:pPr>
            <w:r>
              <w:rPr>
                <w:sz w:val="20"/>
              </w:rPr>
              <w:t xml:space="preserve">&gt; </w:t>
            </w:r>
            <w:r w:rsidR="00E76C76">
              <w:rPr>
                <w:sz w:val="20"/>
              </w:rPr>
              <w:t>1.5</w:t>
            </w:r>
            <w:r>
              <w:rPr>
                <w:sz w:val="20"/>
              </w:rPr>
              <w:t xml:space="preserve"> (target)</w:t>
            </w:r>
          </w:p>
        </w:tc>
        <w:tc>
          <w:tcPr>
            <w:tcW w:w="2412" w:type="dxa"/>
          </w:tcPr>
          <w:p w:rsidR="005C7DD0" w:rsidRDefault="00000000">
            <w:pPr>
              <w:spacing w:before="60" w:after="60"/>
              <w:jc w:val="center"/>
            </w:pPr>
            <w:r>
              <w:rPr>
                <w:sz w:val="20"/>
              </w:rPr>
              <w:t>2.28 (actual)</w:t>
            </w:r>
          </w:p>
        </w:tc>
        <w:tc>
          <w:tcPr>
            <w:tcW w:w="1809" w:type="dxa"/>
          </w:tcPr>
          <w:p w:rsidR="005C7DD0" w:rsidRDefault="00000000">
            <w:pPr>
              <w:spacing w:before="60" w:after="60"/>
              <w:jc w:val="center"/>
            </w:pPr>
            <w:r>
              <w:rPr>
                <w:sz w:val="20"/>
              </w:rPr>
              <w:t>Pass</w:t>
            </w:r>
          </w:p>
        </w:tc>
      </w:tr>
    </w:tbl>
    <w:p w:rsidR="005C7DD0" w:rsidRDefault="00000000">
      <w:pPr>
        <w:pStyle w:val="Caption"/>
      </w:pPr>
      <w:r>
        <w:t>Table 8.1: Analytical vs. Numerical Verification Results</w:t>
      </w:r>
    </w:p>
    <w:p w:rsidR="005C7DD0" w:rsidRDefault="00EC24B6">
      <w:pPr>
        <w:pStyle w:val="Heading2"/>
      </w:pPr>
      <w:r>
        <w:t>5</w:t>
      </w:r>
      <w:r w:rsidR="00000000">
        <w:t>.2 Industrial Validation (Benchmarking)</w:t>
      </w:r>
    </w:p>
    <w:p w:rsidR="005C7DD0" w:rsidRDefault="00000000">
      <w:pPr>
        <w:spacing w:line="360" w:lineRule="auto"/>
        <w:jc w:val="both"/>
      </w:pPr>
      <w:r>
        <w:rPr>
          <w:sz w:val="22"/>
        </w:rPr>
        <w:t xml:space="preserve">The proposed design was systematically validated against the technical specifications of standard industrial machinery to ensure compliance with established packaging industry standards. Benchmarking was conducted against three representative commercial systems: VTOPS-P2 (Zhengzhou </w:t>
      </w:r>
      <w:proofErr w:type="spellStart"/>
      <w:r>
        <w:rPr>
          <w:sz w:val="22"/>
        </w:rPr>
        <w:t>Vtops</w:t>
      </w:r>
      <w:proofErr w:type="spellEnd"/>
      <w:r>
        <w:rPr>
          <w:sz w:val="22"/>
        </w:rPr>
        <w:t xml:space="preserve"> Machinery), </w:t>
      </w:r>
      <w:proofErr w:type="spellStart"/>
      <w:r>
        <w:rPr>
          <w:sz w:val="22"/>
        </w:rPr>
        <w:t>Accufill</w:t>
      </w:r>
      <w:proofErr w:type="spellEnd"/>
      <w:r>
        <w:rPr>
          <w:sz w:val="22"/>
        </w:rPr>
        <w:t xml:space="preserve"> 50S (All-Fill Inc.), and </w:t>
      </w:r>
      <w:proofErr w:type="spellStart"/>
      <w:r>
        <w:rPr>
          <w:sz w:val="22"/>
        </w:rPr>
        <w:t>Tecnipac</w:t>
      </w:r>
      <w:proofErr w:type="spellEnd"/>
      <w:r>
        <w:rPr>
          <w:sz w:val="22"/>
        </w:rPr>
        <w:t xml:space="preserve"> DCS-1A.</w:t>
      </w:r>
    </w:p>
    <w:p w:rsidR="005C7DD0" w:rsidRDefault="00EC24B6">
      <w:pPr>
        <w:pStyle w:val="Heading3"/>
      </w:pPr>
      <w:r>
        <w:t>5</w:t>
      </w:r>
      <w:r w:rsidR="00000000">
        <w:t>.2.1 Auger and Tooling Validation</w:t>
      </w:r>
    </w:p>
    <w:p w:rsidR="005C7DD0" w:rsidRDefault="00000000">
      <w:pPr>
        <w:spacing w:line="360" w:lineRule="auto"/>
        <w:jc w:val="both"/>
        <w:rPr>
          <w:sz w:val="22"/>
        </w:rPr>
      </w:pPr>
      <w:r>
        <w:rPr>
          <w:sz w:val="22"/>
        </w:rPr>
        <w:t xml:space="preserve">The selection of a 60 mm auger diameter was validated against the </w:t>
      </w:r>
      <w:proofErr w:type="spellStart"/>
      <w:r>
        <w:rPr>
          <w:sz w:val="22"/>
        </w:rPr>
        <w:t>Accufill</w:t>
      </w:r>
      <w:proofErr w:type="spellEnd"/>
      <w:r>
        <w:rPr>
          <w:sz w:val="22"/>
        </w:rPr>
        <w:t xml:space="preserve"> Model 50S and </w:t>
      </w:r>
      <w:proofErr w:type="spellStart"/>
      <w:r>
        <w:rPr>
          <w:sz w:val="22"/>
        </w:rPr>
        <w:t>Tecnipac</w:t>
      </w:r>
      <w:proofErr w:type="spellEnd"/>
      <w:r>
        <w:rPr>
          <w:sz w:val="22"/>
        </w:rPr>
        <w:t xml:space="preserve"> DCS-1A technical catalogs. These authoritative sources confirm that 60 mm represents the industry-standard "tooling size" for dosing granular powders in the </w:t>
      </w:r>
      <w:r w:rsidR="009C7047">
        <w:rPr>
          <w:sz w:val="22"/>
        </w:rPr>
        <w:t>250</w:t>
      </w:r>
      <w:r w:rsidR="00EC24B6">
        <w:rPr>
          <w:sz w:val="22"/>
        </w:rPr>
        <w:t xml:space="preserve"> </w:t>
      </w:r>
      <w:r>
        <w:rPr>
          <w:sz w:val="22"/>
        </w:rPr>
        <w:t xml:space="preserve">g to </w:t>
      </w:r>
      <w:r w:rsidR="009C7047">
        <w:rPr>
          <w:sz w:val="22"/>
        </w:rPr>
        <w:t>1000</w:t>
      </w:r>
      <w:r w:rsidR="00EC24B6">
        <w:rPr>
          <w:sz w:val="22"/>
        </w:rPr>
        <w:t xml:space="preserve"> </w:t>
      </w:r>
      <w:r>
        <w:rPr>
          <w:sz w:val="22"/>
        </w:rPr>
        <w:t>g range. Furthermore, the 1:1 diameter-to-pitch ratio (Square Pitch) matches the configuration used in high-accuracy commercial units to minimize material compaction and ensure consistent volumetric displacement.</w:t>
      </w:r>
    </w:p>
    <w:p w:rsidR="00EC24B6" w:rsidRDefault="00EC24B6">
      <w:pPr>
        <w:spacing w:line="360" w:lineRule="auto"/>
        <w:jc w:val="both"/>
      </w:pPr>
      <w:r w:rsidRPr="00EC24B6">
        <w:t xml:space="preserve">Torque Multiplication </w:t>
      </w:r>
      <w:r>
        <w:t>Validation</w:t>
      </w:r>
      <w:r w:rsidRPr="00EC24B6">
        <w:t xml:space="preserve">: The use of a 400W servo motor paired with a 1:20 planetary gearbox is the industry standard, documented in machines like </w:t>
      </w:r>
      <w:proofErr w:type="spellStart"/>
      <w:r w:rsidRPr="00EC24B6">
        <w:t>Accufill</w:t>
      </w:r>
      <w:proofErr w:type="spellEnd"/>
      <w:r w:rsidRPr="00EC24B6">
        <w:t xml:space="preserve"> and </w:t>
      </w:r>
      <w:proofErr w:type="spellStart"/>
      <w:r w:rsidRPr="00EC24B6">
        <w:t>Tecnipac</w:t>
      </w:r>
      <w:proofErr w:type="spellEnd"/>
      <w:r w:rsidRPr="00EC24B6">
        <w:t>, to ensure high torque at low speeds (135 RPM). The planetary gearbox guarantees near-zero backlash, preventing dribble during sudden stops.</w:t>
      </w:r>
    </w:p>
    <w:p w:rsidR="005C7DD0" w:rsidRDefault="00EC24B6">
      <w:pPr>
        <w:pStyle w:val="Heading3"/>
      </w:pPr>
      <w:r>
        <w:t>5</w:t>
      </w:r>
      <w:r w:rsidR="00000000">
        <w:t>.2.2 Hopper Flow and Agitation Validation</w:t>
      </w:r>
    </w:p>
    <w:p w:rsidR="005C7DD0" w:rsidRDefault="00000000">
      <w:pPr>
        <w:spacing w:line="360" w:lineRule="auto"/>
        <w:jc w:val="both"/>
      </w:pPr>
      <w:r>
        <w:rPr>
          <w:sz w:val="22"/>
        </w:rPr>
        <w:t xml:space="preserve">The design of the 60° conical hopper was validated using the Egli Precision Engineering standards for mass flow hopper design. This steep angle is critical to ensure "Mass Flow" discharge pattern, preventing "Ratholing" phenomena which are common in NaCl packaging applications. The </w:t>
      </w:r>
      <w:proofErr w:type="spellStart"/>
      <w:r>
        <w:rPr>
          <w:sz w:val="22"/>
        </w:rPr>
        <w:t>Jenike</w:t>
      </w:r>
      <w:proofErr w:type="spellEnd"/>
      <w:r>
        <w:rPr>
          <w:sz w:val="22"/>
        </w:rPr>
        <w:t xml:space="preserve"> flow function analysis confirms that the selected wall angle exceeds the critical value required for reliable discharge of free-flowing to moderately cohesive powders.</w:t>
      </w:r>
    </w:p>
    <w:p w:rsidR="005C7DD0" w:rsidRDefault="00000000">
      <w:pPr>
        <w:spacing w:line="360" w:lineRule="auto"/>
        <w:jc w:val="both"/>
      </w:pPr>
      <w:r>
        <w:rPr>
          <w:sz w:val="22"/>
        </w:rPr>
        <w:t>Additionally, the integration of a decoupled, counter-rotating agitator was validated against the VTOPS-P2 Dual Blender Control logic. This feature is industrially mandated to maintain a consistent head of material and stable bulk density (ρᵇ) above the auger flights, directly contributing to dosing accuracy and operational reliability.</w:t>
      </w:r>
    </w:p>
    <w:p w:rsidR="005C7DD0" w:rsidRDefault="00EC24B6">
      <w:pPr>
        <w:pStyle w:val="Heading3"/>
      </w:pPr>
      <w:r>
        <w:lastRenderedPageBreak/>
        <w:t>5</w:t>
      </w:r>
      <w:r w:rsidR="00000000">
        <w:t>.2.4 Industrial Benchmarking Summary</w:t>
      </w:r>
    </w:p>
    <w:tbl>
      <w:tblPr>
        <w:tblW w:w="5000" w:type="pct"/>
        <w:tblInd w:w="10" w:type="dxa"/>
        <w:tblBorders>
          <w:top w:val="single" w:sz="12" w:space="0" w:color="1E3A5F"/>
          <w:bottom w:val="single" w:sz="12" w:space="0" w:color="1E3A5F"/>
          <w:insideH w:val="single" w:sz="4" w:space="0" w:color="B8C4D0"/>
        </w:tblBorders>
        <w:tblCellMar>
          <w:top w:w="80" w:type="dxa"/>
          <w:left w:w="10" w:type="dxa"/>
          <w:bottom w:w="80" w:type="dxa"/>
          <w:right w:w="10" w:type="dxa"/>
        </w:tblCellMar>
        <w:tblLook w:val="0000" w:firstRow="0" w:lastRow="0" w:firstColumn="0" w:lastColumn="0" w:noHBand="0" w:noVBand="0"/>
      </w:tblPr>
      <w:tblGrid>
        <w:gridCol w:w="2011"/>
        <w:gridCol w:w="2010"/>
        <w:gridCol w:w="2010"/>
        <w:gridCol w:w="2010"/>
        <w:gridCol w:w="1005"/>
      </w:tblGrid>
      <w:tr w:rsidR="005C7DD0">
        <w:tc>
          <w:tcPr>
            <w:tcW w:w="2000" w:type="dxa"/>
            <w:shd w:val="clear" w:color="auto" w:fill="E8EDF2"/>
          </w:tcPr>
          <w:p w:rsidR="005C7DD0" w:rsidRDefault="00000000">
            <w:pPr>
              <w:spacing w:before="60" w:after="60"/>
              <w:jc w:val="center"/>
            </w:pPr>
            <w:r>
              <w:rPr>
                <w:b/>
                <w:sz w:val="20"/>
              </w:rPr>
              <w:t>Parameter</w:t>
            </w:r>
          </w:p>
        </w:tc>
        <w:tc>
          <w:tcPr>
            <w:tcW w:w="2000" w:type="dxa"/>
            <w:shd w:val="clear" w:color="auto" w:fill="E8EDF2"/>
          </w:tcPr>
          <w:p w:rsidR="005C7DD0" w:rsidRDefault="00000000">
            <w:pPr>
              <w:spacing w:before="60" w:after="60"/>
              <w:jc w:val="center"/>
            </w:pPr>
            <w:r>
              <w:rPr>
                <w:b/>
                <w:sz w:val="20"/>
              </w:rPr>
              <w:t>Our Design</w:t>
            </w:r>
          </w:p>
        </w:tc>
        <w:tc>
          <w:tcPr>
            <w:tcW w:w="2000" w:type="dxa"/>
            <w:shd w:val="clear" w:color="auto" w:fill="E8EDF2"/>
          </w:tcPr>
          <w:p w:rsidR="005C7DD0" w:rsidRDefault="00000000">
            <w:pPr>
              <w:spacing w:before="60" w:after="60"/>
              <w:jc w:val="center"/>
            </w:pPr>
            <w:r>
              <w:rPr>
                <w:b/>
                <w:sz w:val="20"/>
              </w:rPr>
              <w:t>VTOPS-P2</w:t>
            </w:r>
          </w:p>
        </w:tc>
        <w:tc>
          <w:tcPr>
            <w:tcW w:w="2000" w:type="dxa"/>
            <w:shd w:val="clear" w:color="auto" w:fill="E8EDF2"/>
          </w:tcPr>
          <w:p w:rsidR="005C7DD0" w:rsidRDefault="00000000">
            <w:pPr>
              <w:spacing w:before="60" w:after="60"/>
              <w:jc w:val="center"/>
            </w:pPr>
            <w:proofErr w:type="spellStart"/>
            <w:r>
              <w:rPr>
                <w:b/>
                <w:sz w:val="20"/>
              </w:rPr>
              <w:t>Accufill</w:t>
            </w:r>
            <w:proofErr w:type="spellEnd"/>
            <w:r>
              <w:rPr>
                <w:b/>
                <w:sz w:val="20"/>
              </w:rPr>
              <w:t xml:space="preserve"> 50S</w:t>
            </w:r>
          </w:p>
        </w:tc>
        <w:tc>
          <w:tcPr>
            <w:tcW w:w="1000" w:type="dxa"/>
            <w:shd w:val="clear" w:color="auto" w:fill="E8EDF2"/>
          </w:tcPr>
          <w:p w:rsidR="005C7DD0" w:rsidRDefault="00000000">
            <w:pPr>
              <w:spacing w:before="60" w:after="60"/>
              <w:jc w:val="center"/>
            </w:pPr>
            <w:r>
              <w:rPr>
                <w:b/>
                <w:sz w:val="20"/>
              </w:rPr>
              <w:t>Status</w:t>
            </w:r>
          </w:p>
        </w:tc>
      </w:tr>
      <w:tr w:rsidR="005C7DD0">
        <w:tc>
          <w:tcPr>
            <w:tcW w:w="2000" w:type="dxa"/>
          </w:tcPr>
          <w:p w:rsidR="005C7DD0" w:rsidRDefault="00000000">
            <w:pPr>
              <w:spacing w:before="60" w:after="60"/>
              <w:jc w:val="center"/>
            </w:pPr>
            <w:r>
              <w:rPr>
                <w:sz w:val="20"/>
              </w:rPr>
              <w:t>Auger Diameter</w:t>
            </w:r>
          </w:p>
        </w:tc>
        <w:tc>
          <w:tcPr>
            <w:tcW w:w="2000" w:type="dxa"/>
          </w:tcPr>
          <w:p w:rsidR="005C7DD0" w:rsidRDefault="00000000">
            <w:pPr>
              <w:spacing w:before="60" w:after="60"/>
              <w:jc w:val="center"/>
            </w:pPr>
            <w:r>
              <w:rPr>
                <w:sz w:val="20"/>
              </w:rPr>
              <w:t>60 mm</w:t>
            </w:r>
          </w:p>
        </w:tc>
        <w:tc>
          <w:tcPr>
            <w:tcW w:w="2000" w:type="dxa"/>
          </w:tcPr>
          <w:p w:rsidR="005C7DD0" w:rsidRDefault="00000000">
            <w:pPr>
              <w:spacing w:before="60" w:after="60"/>
              <w:jc w:val="center"/>
            </w:pPr>
            <w:r>
              <w:rPr>
                <w:sz w:val="20"/>
              </w:rPr>
              <w:t>50-75 mm</w:t>
            </w:r>
          </w:p>
        </w:tc>
        <w:tc>
          <w:tcPr>
            <w:tcW w:w="2000" w:type="dxa"/>
          </w:tcPr>
          <w:p w:rsidR="005C7DD0" w:rsidRDefault="00000000">
            <w:pPr>
              <w:spacing w:before="60" w:after="60"/>
              <w:jc w:val="center"/>
            </w:pPr>
            <w:r>
              <w:rPr>
                <w:sz w:val="20"/>
              </w:rPr>
              <w:t>50-75 mm</w:t>
            </w:r>
          </w:p>
        </w:tc>
        <w:tc>
          <w:tcPr>
            <w:tcW w:w="1000" w:type="dxa"/>
          </w:tcPr>
          <w:p w:rsidR="005C7DD0" w:rsidRDefault="00000000">
            <w:pPr>
              <w:spacing w:before="60" w:after="60"/>
              <w:jc w:val="center"/>
            </w:pPr>
            <w:r>
              <w:rPr>
                <w:sz w:val="20"/>
              </w:rPr>
              <w:t>Compliant</w:t>
            </w:r>
          </w:p>
        </w:tc>
      </w:tr>
      <w:tr w:rsidR="005C7DD0">
        <w:tc>
          <w:tcPr>
            <w:tcW w:w="2000" w:type="dxa"/>
          </w:tcPr>
          <w:p w:rsidR="005C7DD0" w:rsidRDefault="00000000">
            <w:pPr>
              <w:spacing w:before="60" w:after="60"/>
              <w:jc w:val="center"/>
            </w:pPr>
            <w:r>
              <w:rPr>
                <w:sz w:val="20"/>
              </w:rPr>
              <w:t>Pitch Ratio</w:t>
            </w:r>
          </w:p>
        </w:tc>
        <w:tc>
          <w:tcPr>
            <w:tcW w:w="2000" w:type="dxa"/>
          </w:tcPr>
          <w:p w:rsidR="005C7DD0" w:rsidRDefault="00000000">
            <w:pPr>
              <w:spacing w:before="60" w:after="60"/>
              <w:jc w:val="center"/>
            </w:pPr>
            <w:r>
              <w:rPr>
                <w:sz w:val="20"/>
              </w:rPr>
              <w:t xml:space="preserve">1:1 </w:t>
            </w:r>
          </w:p>
        </w:tc>
        <w:tc>
          <w:tcPr>
            <w:tcW w:w="2000" w:type="dxa"/>
          </w:tcPr>
          <w:p w:rsidR="005C7DD0" w:rsidRDefault="00000000">
            <w:pPr>
              <w:spacing w:before="60" w:after="60"/>
              <w:jc w:val="center"/>
            </w:pPr>
            <w:r>
              <w:rPr>
                <w:sz w:val="20"/>
              </w:rPr>
              <w:t>1:1</w:t>
            </w:r>
          </w:p>
        </w:tc>
        <w:tc>
          <w:tcPr>
            <w:tcW w:w="2000" w:type="dxa"/>
          </w:tcPr>
          <w:p w:rsidR="005C7DD0" w:rsidRDefault="00000000">
            <w:pPr>
              <w:spacing w:before="60" w:after="60"/>
              <w:jc w:val="center"/>
            </w:pPr>
            <w:r>
              <w:rPr>
                <w:sz w:val="20"/>
              </w:rPr>
              <w:t>1:1</w:t>
            </w:r>
          </w:p>
        </w:tc>
        <w:tc>
          <w:tcPr>
            <w:tcW w:w="1000" w:type="dxa"/>
          </w:tcPr>
          <w:p w:rsidR="005C7DD0" w:rsidRDefault="00000000">
            <w:pPr>
              <w:spacing w:before="60" w:after="60"/>
              <w:jc w:val="center"/>
            </w:pPr>
            <w:r>
              <w:rPr>
                <w:sz w:val="20"/>
              </w:rPr>
              <w:t>Matched</w:t>
            </w:r>
          </w:p>
        </w:tc>
      </w:tr>
      <w:tr w:rsidR="005C7DD0">
        <w:tc>
          <w:tcPr>
            <w:tcW w:w="2000" w:type="dxa"/>
          </w:tcPr>
          <w:p w:rsidR="005C7DD0" w:rsidRDefault="00000000">
            <w:pPr>
              <w:spacing w:before="60" w:after="60"/>
              <w:jc w:val="center"/>
            </w:pPr>
            <w:r>
              <w:rPr>
                <w:sz w:val="20"/>
              </w:rPr>
              <w:t>Hopper Angle</w:t>
            </w:r>
          </w:p>
        </w:tc>
        <w:tc>
          <w:tcPr>
            <w:tcW w:w="2000" w:type="dxa"/>
          </w:tcPr>
          <w:p w:rsidR="005C7DD0" w:rsidRDefault="00000000">
            <w:pPr>
              <w:spacing w:before="60" w:after="60"/>
              <w:jc w:val="center"/>
            </w:pPr>
            <w:r>
              <w:rPr>
                <w:sz w:val="20"/>
              </w:rPr>
              <w:t>60°</w:t>
            </w:r>
          </w:p>
        </w:tc>
        <w:tc>
          <w:tcPr>
            <w:tcW w:w="2000" w:type="dxa"/>
          </w:tcPr>
          <w:p w:rsidR="005C7DD0" w:rsidRDefault="00000000">
            <w:pPr>
              <w:spacing w:before="60" w:after="60"/>
              <w:jc w:val="center"/>
            </w:pPr>
            <w:r>
              <w:rPr>
                <w:sz w:val="20"/>
              </w:rPr>
              <w:t>55-65°</w:t>
            </w:r>
          </w:p>
        </w:tc>
        <w:tc>
          <w:tcPr>
            <w:tcW w:w="2000" w:type="dxa"/>
          </w:tcPr>
          <w:p w:rsidR="005C7DD0" w:rsidRDefault="00000000">
            <w:pPr>
              <w:spacing w:before="60" w:after="60"/>
              <w:jc w:val="center"/>
            </w:pPr>
            <w:r>
              <w:rPr>
                <w:sz w:val="20"/>
              </w:rPr>
              <w:t>60°</w:t>
            </w:r>
          </w:p>
        </w:tc>
        <w:tc>
          <w:tcPr>
            <w:tcW w:w="1000" w:type="dxa"/>
          </w:tcPr>
          <w:p w:rsidR="005C7DD0" w:rsidRDefault="00000000">
            <w:pPr>
              <w:spacing w:before="60" w:after="60"/>
              <w:jc w:val="center"/>
            </w:pPr>
            <w:r>
              <w:rPr>
                <w:sz w:val="20"/>
              </w:rPr>
              <w:t>Matched</w:t>
            </w:r>
          </w:p>
        </w:tc>
      </w:tr>
      <w:tr w:rsidR="005C7DD0">
        <w:tc>
          <w:tcPr>
            <w:tcW w:w="2000" w:type="dxa"/>
          </w:tcPr>
          <w:p w:rsidR="005C7DD0" w:rsidRDefault="00000000">
            <w:pPr>
              <w:spacing w:before="60" w:after="60"/>
              <w:jc w:val="center"/>
            </w:pPr>
            <w:r>
              <w:rPr>
                <w:sz w:val="20"/>
              </w:rPr>
              <w:t>Agitator System</w:t>
            </w:r>
          </w:p>
        </w:tc>
        <w:tc>
          <w:tcPr>
            <w:tcW w:w="2000" w:type="dxa"/>
          </w:tcPr>
          <w:p w:rsidR="005C7DD0" w:rsidRDefault="00000000">
            <w:pPr>
              <w:spacing w:before="60" w:after="60"/>
              <w:jc w:val="center"/>
            </w:pPr>
            <w:r>
              <w:rPr>
                <w:sz w:val="20"/>
              </w:rPr>
              <w:t>Counter-rotating</w:t>
            </w:r>
          </w:p>
        </w:tc>
        <w:tc>
          <w:tcPr>
            <w:tcW w:w="2000" w:type="dxa"/>
          </w:tcPr>
          <w:p w:rsidR="005C7DD0" w:rsidRDefault="00000000">
            <w:pPr>
              <w:spacing w:before="60" w:after="60"/>
              <w:jc w:val="center"/>
            </w:pPr>
            <w:r>
              <w:rPr>
                <w:sz w:val="20"/>
              </w:rPr>
              <w:t>Dual Blender</w:t>
            </w:r>
          </w:p>
        </w:tc>
        <w:tc>
          <w:tcPr>
            <w:tcW w:w="2000" w:type="dxa"/>
          </w:tcPr>
          <w:p w:rsidR="005C7DD0" w:rsidRDefault="00000000">
            <w:pPr>
              <w:spacing w:before="60" w:after="60"/>
              <w:jc w:val="center"/>
            </w:pPr>
            <w:r>
              <w:rPr>
                <w:sz w:val="20"/>
              </w:rPr>
              <w:t>Optional</w:t>
            </w:r>
          </w:p>
        </w:tc>
        <w:tc>
          <w:tcPr>
            <w:tcW w:w="1000" w:type="dxa"/>
          </w:tcPr>
          <w:p w:rsidR="005C7DD0" w:rsidRDefault="00000000">
            <w:pPr>
              <w:spacing w:before="60" w:after="60"/>
              <w:jc w:val="center"/>
            </w:pPr>
            <w:r>
              <w:rPr>
                <w:sz w:val="20"/>
              </w:rPr>
              <w:t>Validated</w:t>
            </w:r>
          </w:p>
        </w:tc>
      </w:tr>
      <w:tr w:rsidR="005C7DD0">
        <w:tc>
          <w:tcPr>
            <w:tcW w:w="2000" w:type="dxa"/>
          </w:tcPr>
          <w:p w:rsidR="005C7DD0" w:rsidRDefault="00000000">
            <w:pPr>
              <w:spacing w:before="60" w:after="60"/>
              <w:jc w:val="center"/>
            </w:pPr>
            <w:r>
              <w:rPr>
                <w:sz w:val="20"/>
              </w:rPr>
              <w:t>Dosing Accuracy</w:t>
            </w:r>
          </w:p>
        </w:tc>
        <w:tc>
          <w:tcPr>
            <w:tcW w:w="2000" w:type="dxa"/>
          </w:tcPr>
          <w:p w:rsidR="005C7DD0" w:rsidRDefault="00000000">
            <w:pPr>
              <w:spacing w:before="60" w:after="60"/>
              <w:jc w:val="center"/>
            </w:pPr>
            <w:r>
              <w:rPr>
                <w:sz w:val="20"/>
              </w:rPr>
              <w:t>±1</w:t>
            </w:r>
            <w:r w:rsidR="00EC24B6">
              <w:rPr>
                <w:sz w:val="20"/>
              </w:rPr>
              <w:t>.5</w:t>
            </w:r>
            <w:r>
              <w:rPr>
                <w:sz w:val="20"/>
              </w:rPr>
              <w:t>%</w:t>
            </w:r>
          </w:p>
        </w:tc>
        <w:tc>
          <w:tcPr>
            <w:tcW w:w="2000" w:type="dxa"/>
          </w:tcPr>
          <w:p w:rsidR="005C7DD0" w:rsidRDefault="00000000">
            <w:pPr>
              <w:spacing w:before="60" w:after="60"/>
              <w:jc w:val="center"/>
            </w:pPr>
            <w:r>
              <w:rPr>
                <w:sz w:val="20"/>
              </w:rPr>
              <w:t>±1-2%</w:t>
            </w:r>
          </w:p>
        </w:tc>
        <w:tc>
          <w:tcPr>
            <w:tcW w:w="2000" w:type="dxa"/>
          </w:tcPr>
          <w:p w:rsidR="005C7DD0" w:rsidRDefault="00000000">
            <w:pPr>
              <w:spacing w:before="60" w:after="60"/>
              <w:jc w:val="center"/>
            </w:pPr>
            <w:r>
              <w:rPr>
                <w:sz w:val="20"/>
              </w:rPr>
              <w:t>±1%</w:t>
            </w:r>
          </w:p>
        </w:tc>
        <w:tc>
          <w:tcPr>
            <w:tcW w:w="1000" w:type="dxa"/>
          </w:tcPr>
          <w:p w:rsidR="005C7DD0" w:rsidRDefault="00000000">
            <w:pPr>
              <w:spacing w:before="60" w:after="60"/>
              <w:jc w:val="center"/>
            </w:pPr>
            <w:r>
              <w:rPr>
                <w:sz w:val="20"/>
              </w:rPr>
              <w:t>Compliant</w:t>
            </w:r>
          </w:p>
        </w:tc>
      </w:tr>
      <w:tr w:rsidR="005C7DD0">
        <w:tc>
          <w:tcPr>
            <w:tcW w:w="2000" w:type="dxa"/>
          </w:tcPr>
          <w:p w:rsidR="005C7DD0" w:rsidRDefault="00000000">
            <w:pPr>
              <w:spacing w:before="60" w:after="60"/>
              <w:jc w:val="center"/>
            </w:pPr>
            <w:r>
              <w:rPr>
                <w:sz w:val="20"/>
              </w:rPr>
              <w:t>Drive Type</w:t>
            </w:r>
          </w:p>
        </w:tc>
        <w:tc>
          <w:tcPr>
            <w:tcW w:w="2000" w:type="dxa"/>
          </w:tcPr>
          <w:p w:rsidR="005C7DD0" w:rsidRDefault="00000000">
            <w:pPr>
              <w:spacing w:before="60" w:after="60"/>
              <w:jc w:val="center"/>
            </w:pPr>
            <w:r>
              <w:rPr>
                <w:sz w:val="20"/>
              </w:rPr>
              <w:t>Servo + Gearbox</w:t>
            </w:r>
          </w:p>
        </w:tc>
        <w:tc>
          <w:tcPr>
            <w:tcW w:w="2000" w:type="dxa"/>
          </w:tcPr>
          <w:p w:rsidR="005C7DD0" w:rsidRDefault="00000000">
            <w:pPr>
              <w:spacing w:before="60" w:after="60"/>
              <w:jc w:val="center"/>
            </w:pPr>
            <w:r>
              <w:rPr>
                <w:sz w:val="20"/>
              </w:rPr>
              <w:t>Servo</w:t>
            </w:r>
            <w:r w:rsidR="00EC24B6">
              <w:rPr>
                <w:sz w:val="20"/>
              </w:rPr>
              <w:t>+ Gearbox</w:t>
            </w:r>
          </w:p>
        </w:tc>
        <w:tc>
          <w:tcPr>
            <w:tcW w:w="2000" w:type="dxa"/>
          </w:tcPr>
          <w:p w:rsidR="005C7DD0" w:rsidRDefault="00000000">
            <w:pPr>
              <w:spacing w:before="60" w:after="60"/>
              <w:jc w:val="center"/>
            </w:pPr>
            <w:r>
              <w:rPr>
                <w:sz w:val="20"/>
              </w:rPr>
              <w:t>Servo</w:t>
            </w:r>
            <w:r w:rsidR="00EC24B6">
              <w:rPr>
                <w:sz w:val="20"/>
              </w:rPr>
              <w:t>+ Gearbox</w:t>
            </w:r>
          </w:p>
        </w:tc>
        <w:tc>
          <w:tcPr>
            <w:tcW w:w="1000" w:type="dxa"/>
          </w:tcPr>
          <w:p w:rsidR="005C7DD0" w:rsidRDefault="00000000">
            <w:pPr>
              <w:spacing w:before="60" w:after="60"/>
              <w:jc w:val="center"/>
            </w:pPr>
            <w:r>
              <w:rPr>
                <w:sz w:val="20"/>
              </w:rPr>
              <w:t>Compliant</w:t>
            </w:r>
          </w:p>
        </w:tc>
      </w:tr>
    </w:tbl>
    <w:p w:rsidR="005C7DD0" w:rsidRDefault="00000000">
      <w:pPr>
        <w:pStyle w:val="Caption"/>
      </w:pPr>
      <w:r>
        <w:t>Table 8.2: Industrial Benchmarking Comparison</w:t>
      </w:r>
    </w:p>
    <w:p w:rsidR="005C7DD0" w:rsidRDefault="00EC24B6">
      <w:pPr>
        <w:pStyle w:val="Heading2"/>
      </w:pPr>
      <w:r>
        <w:t>5</w:t>
      </w:r>
      <w:r w:rsidR="00000000">
        <w:t>.3 Academic and Research Validation</w:t>
      </w:r>
    </w:p>
    <w:p w:rsidR="005C7DD0" w:rsidRDefault="00000000">
      <w:pPr>
        <w:spacing w:line="360" w:lineRule="auto"/>
        <w:jc w:val="both"/>
      </w:pPr>
      <w:r>
        <w:rPr>
          <w:sz w:val="22"/>
        </w:rPr>
        <w:t>To ensure academic rigor, the design parameters were benchmarked against established research in powder mechanics and packaging technology. The validation framework incorporates findings from peer-reviewed literature and doctoral research.</w:t>
      </w:r>
    </w:p>
    <w:p w:rsidR="005C7DD0" w:rsidRDefault="00EC24B6">
      <w:pPr>
        <w:pStyle w:val="Heading3"/>
      </w:pPr>
      <w:r>
        <w:t>5</w:t>
      </w:r>
      <w:r w:rsidR="00000000">
        <w:t>.3.1 Material Build-up Prevention</w:t>
      </w:r>
    </w:p>
    <w:p w:rsidR="005C7DD0" w:rsidRDefault="00000000">
      <w:pPr>
        <w:spacing w:line="360" w:lineRule="auto"/>
        <w:jc w:val="both"/>
      </w:pPr>
      <w:r>
        <w:rPr>
          <w:sz w:val="22"/>
        </w:rPr>
        <w:t>The doctoral research by Hewitt (2015) at the University of Birmingham on powder build-up in packing lines highlights that stagnant zones lead to "caking" and material degradation. Our design addresses this critical issue through the validated agitator-to-auger clearance (1.5 mm) and optimized speed ratio (4.5:1). The counter-rotating agitation mechanism continuously reconditions the powder bed, preventing the formation of stable cohesive structures that could interrupt flow.</w:t>
      </w:r>
    </w:p>
    <w:p w:rsidR="005C7DD0" w:rsidRDefault="00EC24B6">
      <w:pPr>
        <w:pStyle w:val="Heading3"/>
      </w:pPr>
      <w:r>
        <w:t>5</w:t>
      </w:r>
      <w:r w:rsidR="00000000">
        <w:t>.3.2 Flow Dynamics Validation</w:t>
      </w:r>
    </w:p>
    <w:p w:rsidR="005C7DD0" w:rsidRDefault="00000000">
      <w:pPr>
        <w:spacing w:line="360" w:lineRule="auto"/>
        <w:jc w:val="both"/>
      </w:pPr>
      <w:r>
        <w:rPr>
          <w:sz w:val="22"/>
        </w:rPr>
        <w:t xml:space="preserve">The correlation between DEM simulation results and Hewitt's experimental findings validates the predictive accuracy of our flow model, specifically regarding the pressure distribution at the auger discharge. The simulation-predicted torque requirements (18.5 </w:t>
      </w:r>
      <w:proofErr w:type="spellStart"/>
      <w:r>
        <w:rPr>
          <w:sz w:val="22"/>
        </w:rPr>
        <w:t>N·m</w:t>
      </w:r>
      <w:proofErr w:type="spellEnd"/>
      <w:r>
        <w:rPr>
          <w:sz w:val="22"/>
        </w:rPr>
        <w:t xml:space="preserve"> peak) align within 7.5% of the theoretical values derived from </w:t>
      </w:r>
      <w:proofErr w:type="spellStart"/>
      <w:r>
        <w:rPr>
          <w:sz w:val="22"/>
        </w:rPr>
        <w:t>Jenike's</w:t>
      </w:r>
      <w:proofErr w:type="spellEnd"/>
      <w:r>
        <w:rPr>
          <w:sz w:val="22"/>
        </w:rPr>
        <w:t xml:space="preserve"> shear cell theory, confirming the reliability of the modeling approach.</w:t>
      </w:r>
    </w:p>
    <w:p w:rsidR="005C7DD0" w:rsidRDefault="00EC24B6">
      <w:pPr>
        <w:pStyle w:val="Heading3"/>
      </w:pPr>
      <w:r>
        <w:t>5</w:t>
      </w:r>
      <w:r w:rsidR="00000000">
        <w:t>.3.3 DEM Simulation Validation</w:t>
      </w:r>
    </w:p>
    <w:p w:rsidR="005C7DD0" w:rsidRDefault="00000000">
      <w:pPr>
        <w:spacing w:line="360" w:lineRule="auto"/>
        <w:jc w:val="both"/>
      </w:pPr>
      <w:r>
        <w:rPr>
          <w:sz w:val="22"/>
        </w:rPr>
        <w:t xml:space="preserve">The Discrete Element Method (DEM) simulations conducted using EDEM software were validated against established correlations in granular mechanics literature. The Hertz-Mindlin contact model </w:t>
      </w:r>
      <w:r>
        <w:rPr>
          <w:sz w:val="22"/>
        </w:rPr>
        <w:lastRenderedPageBreak/>
        <w:t>parameters were calibrated using published data for sodium chloride particles, ensuring that the simulation accurately represents the physical behavior of the salt crystals during conveying and dosing operations.</w:t>
      </w:r>
    </w:p>
    <w:p w:rsidR="00A57129" w:rsidRPr="00F60787" w:rsidRDefault="00A57129" w:rsidP="00A57129">
      <w:r w:rsidRPr="00F0571C">
        <w:t>Achieving target accuracy</w:t>
      </w:r>
      <w:r w:rsidRPr="00F60787">
        <w:rPr>
          <w:b/>
          <w:bCs/>
        </w:rPr>
        <w:t>:</w:t>
      </w:r>
      <w:r w:rsidRPr="00F60787">
        <w:t xml:space="preserve"> The DEM simulation observed a powder mass delivered per cycle </w:t>
      </w:r>
      <w:r w:rsidRPr="00F0571C">
        <w:t xml:space="preserve">of </w:t>
      </w:r>
      <m:oMath>
        <m:r>
          <m:rPr>
            <m:sty m:val="bi"/>
          </m:rPr>
          <w:rPr>
            <w:rFonts w:ascii="Cambria Math" w:hAnsi="Cambria Math"/>
          </w:rPr>
          <m:t>504</m:t>
        </m:r>
        <m:r>
          <m:rPr>
            <m:sty m:val="bi"/>
          </m:rPr>
          <w:rPr>
            <w:rFonts w:ascii="Cambria Math" w:hAnsi="Cambria Math"/>
          </w:rPr>
          <m:t xml:space="preserve">  kg</m:t>
        </m:r>
      </m:oMath>
      <w:r w:rsidRPr="00F60787">
        <w:t xml:space="preserve"> mean value, representing only an </w:t>
      </w:r>
      <w:r w:rsidRPr="00F60787">
        <w:rPr>
          <w:b/>
          <w:bCs/>
        </w:rPr>
        <w:t>0.8\%</w:t>
      </w:r>
      <w:r w:rsidRPr="005B3D7C">
        <w:rPr>
          <w:rFonts w:hint="cs"/>
          <w:rtl/>
        </w:rPr>
        <w:t xml:space="preserve"> </w:t>
      </w:r>
      <w:r w:rsidRPr="00F60787">
        <w:t xml:space="preserve">deviation from the 500 g target—well within the  </w:t>
      </w:r>
      <m:oMath>
        <m:r>
          <m:rPr>
            <m:sty m:val="bi"/>
          </m:rPr>
          <w:rPr>
            <w:rFonts w:ascii="Cambria Math" w:hAnsi="Cambria Math"/>
          </w:rPr>
          <m:t>±1.5%</m:t>
        </m:r>
      </m:oMath>
      <w:r w:rsidRPr="00F60787">
        <w:t xml:space="preserve"> requirement.</w:t>
      </w:r>
    </w:p>
    <w:p w:rsidR="00A57129" w:rsidRDefault="00A57129" w:rsidP="00A57129">
      <w:pPr>
        <w:rPr>
          <w:rFonts w:asciiTheme="majorBidi" w:hAnsiTheme="majorBidi" w:cstheme="majorBidi"/>
          <w:b/>
          <w:bCs/>
        </w:rPr>
      </w:pPr>
    </w:p>
    <w:p w:rsidR="00A57129" w:rsidRPr="00F60787" w:rsidRDefault="00A57129" w:rsidP="00A57129">
      <w:pPr>
        <w:rPr>
          <w:rFonts w:asciiTheme="majorBidi" w:hAnsiTheme="majorBidi" w:cstheme="majorBidi"/>
        </w:rPr>
      </w:pPr>
      <w:r>
        <w:rPr>
          <w:rFonts w:asciiTheme="majorBidi" w:hAnsiTheme="majorBidi" w:cstheme="majorBidi"/>
          <w:noProof/>
        </w:rPr>
        <w:drawing>
          <wp:inline distT="0" distB="0" distL="0" distR="0" wp14:anchorId="498AE7B6" wp14:editId="70E81F56">
            <wp:extent cx="5486400" cy="29927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992755"/>
                    </a:xfrm>
                    <a:prstGeom prst="rect">
                      <a:avLst/>
                    </a:prstGeom>
                  </pic:spPr>
                </pic:pic>
              </a:graphicData>
            </a:graphic>
          </wp:inline>
        </w:drawing>
      </w:r>
    </w:p>
    <w:p w:rsidR="00A57129" w:rsidRPr="00F60787" w:rsidRDefault="00A57129" w:rsidP="00A57129">
      <w:pPr>
        <w:jc w:val="center"/>
        <w:rPr>
          <w:rFonts w:asciiTheme="majorBidi" w:hAnsiTheme="majorBidi" w:cstheme="majorBidi"/>
        </w:rPr>
      </w:pPr>
      <w:r w:rsidRPr="00F60787">
        <w:rPr>
          <w:rFonts w:asciiTheme="majorBidi" w:hAnsiTheme="majorBidi" w:cstheme="majorBidi"/>
          <w:b/>
          <w:bCs/>
        </w:rPr>
        <w:t xml:space="preserve">Figure </w:t>
      </w:r>
      <w:r w:rsidR="00EC24B6">
        <w:rPr>
          <w:rFonts w:asciiTheme="majorBidi" w:hAnsiTheme="majorBidi" w:cstheme="majorBidi"/>
          <w:b/>
          <w:bCs/>
        </w:rPr>
        <w:t>5</w:t>
      </w:r>
      <w:r w:rsidRPr="00F60787">
        <w:rPr>
          <w:rFonts w:asciiTheme="majorBidi" w:hAnsiTheme="majorBidi" w:cstheme="majorBidi"/>
          <w:b/>
          <w:bCs/>
        </w:rPr>
        <w:t>.</w:t>
      </w:r>
      <w:r w:rsidR="002D684A">
        <w:rPr>
          <w:rFonts w:asciiTheme="majorBidi" w:hAnsiTheme="majorBidi" w:cstheme="majorBidi"/>
          <w:b/>
          <w:bCs/>
        </w:rPr>
        <w:t>3</w:t>
      </w:r>
      <w:r w:rsidRPr="00F60787">
        <w:rPr>
          <w:rFonts w:asciiTheme="majorBidi" w:hAnsiTheme="majorBidi" w:cstheme="majorBidi"/>
          <w:b/>
          <w:bCs/>
        </w:rPr>
        <w:t>.</w:t>
      </w:r>
      <w:r w:rsidR="002D684A">
        <w:rPr>
          <w:rFonts w:asciiTheme="majorBidi" w:hAnsiTheme="majorBidi" w:cstheme="majorBidi"/>
          <w:b/>
          <w:bCs/>
        </w:rPr>
        <w:t>1</w:t>
      </w:r>
      <w:r w:rsidRPr="00F60787">
        <w:rPr>
          <w:rFonts w:asciiTheme="majorBidi" w:hAnsiTheme="majorBidi" w:cstheme="majorBidi"/>
          <w:b/>
          <w:bCs/>
        </w:rPr>
        <w:t>:</w:t>
      </w:r>
      <w:r w:rsidRPr="00F60787">
        <w:rPr>
          <w:rFonts w:asciiTheme="majorBidi" w:hAnsiTheme="majorBidi" w:cstheme="majorBidi"/>
        </w:rPr>
        <w:t xml:space="preserve"> Correlation plot of analytical vs. simulated dose mass across multiple cycles.</w:t>
      </w:r>
    </w:p>
    <w:p w:rsidR="00A57129" w:rsidRDefault="00A57129">
      <w:pPr>
        <w:spacing w:line="360" w:lineRule="auto"/>
        <w:jc w:val="both"/>
      </w:pPr>
    </w:p>
    <w:p w:rsidR="005C7DD0" w:rsidRDefault="00EC24B6">
      <w:pPr>
        <w:pStyle w:val="Heading3"/>
      </w:pPr>
      <w:r>
        <w:t>5</w:t>
      </w:r>
      <w:r w:rsidR="00000000">
        <w:t>.3.4 Academic Validation Summary</w:t>
      </w:r>
    </w:p>
    <w:tbl>
      <w:tblPr>
        <w:tblW w:w="5000" w:type="pct"/>
        <w:tblInd w:w="10" w:type="dxa"/>
        <w:tblBorders>
          <w:top w:val="single" w:sz="12" w:space="0" w:color="1E3A5F"/>
          <w:bottom w:val="single" w:sz="12" w:space="0" w:color="1E3A5F"/>
          <w:insideH w:val="single" w:sz="4" w:space="0" w:color="B8C4D0"/>
        </w:tblBorders>
        <w:tblCellMar>
          <w:top w:w="80" w:type="dxa"/>
          <w:left w:w="10" w:type="dxa"/>
          <w:bottom w:w="80" w:type="dxa"/>
          <w:right w:w="10" w:type="dxa"/>
        </w:tblCellMar>
        <w:tblLook w:val="0000" w:firstRow="0" w:lastRow="0" w:firstColumn="0" w:lastColumn="0" w:noHBand="0" w:noVBand="0"/>
      </w:tblPr>
      <w:tblGrid>
        <w:gridCol w:w="2629"/>
        <w:gridCol w:w="3682"/>
        <w:gridCol w:w="2735"/>
      </w:tblGrid>
      <w:tr w:rsidR="005C7DD0">
        <w:tc>
          <w:tcPr>
            <w:tcW w:w="2500" w:type="dxa"/>
            <w:shd w:val="clear" w:color="auto" w:fill="E8EDF2"/>
          </w:tcPr>
          <w:p w:rsidR="005C7DD0" w:rsidRDefault="00000000">
            <w:pPr>
              <w:spacing w:before="60" w:after="60"/>
              <w:jc w:val="center"/>
            </w:pPr>
            <w:r>
              <w:rPr>
                <w:b/>
                <w:sz w:val="20"/>
              </w:rPr>
              <w:t>Design Aspect</w:t>
            </w:r>
          </w:p>
        </w:tc>
        <w:tc>
          <w:tcPr>
            <w:tcW w:w="3500" w:type="dxa"/>
            <w:shd w:val="clear" w:color="auto" w:fill="E8EDF2"/>
          </w:tcPr>
          <w:p w:rsidR="005C7DD0" w:rsidRDefault="00000000">
            <w:pPr>
              <w:spacing w:before="60" w:after="60"/>
              <w:jc w:val="center"/>
            </w:pPr>
            <w:r>
              <w:rPr>
                <w:b/>
                <w:sz w:val="20"/>
              </w:rPr>
              <w:t>Academic Reference</w:t>
            </w:r>
          </w:p>
        </w:tc>
        <w:tc>
          <w:tcPr>
            <w:tcW w:w="2600" w:type="dxa"/>
            <w:shd w:val="clear" w:color="auto" w:fill="E8EDF2"/>
          </w:tcPr>
          <w:p w:rsidR="005C7DD0" w:rsidRDefault="00000000">
            <w:pPr>
              <w:spacing w:before="60" w:after="60"/>
              <w:jc w:val="center"/>
            </w:pPr>
            <w:r>
              <w:rPr>
                <w:b/>
                <w:sz w:val="20"/>
              </w:rPr>
              <w:t>Validation Status</w:t>
            </w:r>
          </w:p>
        </w:tc>
      </w:tr>
      <w:tr w:rsidR="005C7DD0">
        <w:tc>
          <w:tcPr>
            <w:tcW w:w="2500" w:type="dxa"/>
          </w:tcPr>
          <w:p w:rsidR="005C7DD0" w:rsidRDefault="00000000">
            <w:pPr>
              <w:spacing w:before="60" w:after="60"/>
              <w:jc w:val="center"/>
            </w:pPr>
            <w:r>
              <w:rPr>
                <w:sz w:val="20"/>
              </w:rPr>
              <w:t>Flow Function (FF)</w:t>
            </w:r>
          </w:p>
        </w:tc>
        <w:tc>
          <w:tcPr>
            <w:tcW w:w="3500" w:type="dxa"/>
          </w:tcPr>
          <w:p w:rsidR="005C7DD0" w:rsidRDefault="00000000">
            <w:pPr>
              <w:spacing w:before="60" w:after="60"/>
              <w:jc w:val="center"/>
            </w:pPr>
            <w:proofErr w:type="spellStart"/>
            <w:r>
              <w:rPr>
                <w:sz w:val="20"/>
              </w:rPr>
              <w:t>Jenike</w:t>
            </w:r>
            <w:proofErr w:type="spellEnd"/>
            <w:r>
              <w:rPr>
                <w:sz w:val="20"/>
              </w:rPr>
              <w:t xml:space="preserve"> (1964), FF &gt; 4 for easy flow</w:t>
            </w:r>
          </w:p>
        </w:tc>
        <w:tc>
          <w:tcPr>
            <w:tcW w:w="2600" w:type="dxa"/>
          </w:tcPr>
          <w:p w:rsidR="005C7DD0" w:rsidRDefault="00000000">
            <w:pPr>
              <w:spacing w:before="60" w:after="60"/>
              <w:jc w:val="center"/>
            </w:pPr>
            <w:r>
              <w:rPr>
                <w:sz w:val="20"/>
              </w:rPr>
              <w:t>Validated</w:t>
            </w:r>
          </w:p>
        </w:tc>
      </w:tr>
      <w:tr w:rsidR="005C7DD0">
        <w:tc>
          <w:tcPr>
            <w:tcW w:w="2500" w:type="dxa"/>
          </w:tcPr>
          <w:p w:rsidR="005C7DD0" w:rsidRDefault="00000000">
            <w:pPr>
              <w:spacing w:before="60" w:after="60"/>
              <w:jc w:val="center"/>
            </w:pPr>
            <w:r>
              <w:rPr>
                <w:sz w:val="20"/>
              </w:rPr>
              <w:t>Hopper Wall Angle</w:t>
            </w:r>
          </w:p>
        </w:tc>
        <w:tc>
          <w:tcPr>
            <w:tcW w:w="3500" w:type="dxa"/>
          </w:tcPr>
          <w:p w:rsidR="005C7DD0" w:rsidRDefault="00000000">
            <w:pPr>
              <w:spacing w:before="60" w:after="60"/>
              <w:jc w:val="center"/>
            </w:pPr>
            <w:r>
              <w:rPr>
                <w:sz w:val="20"/>
              </w:rPr>
              <w:t>Schulze (2008), Mass Flow Criteria</w:t>
            </w:r>
          </w:p>
        </w:tc>
        <w:tc>
          <w:tcPr>
            <w:tcW w:w="2600" w:type="dxa"/>
          </w:tcPr>
          <w:p w:rsidR="005C7DD0" w:rsidRDefault="00000000">
            <w:pPr>
              <w:spacing w:before="60" w:after="60"/>
              <w:jc w:val="center"/>
            </w:pPr>
            <w:r>
              <w:rPr>
                <w:sz w:val="20"/>
              </w:rPr>
              <w:t>Validated</w:t>
            </w:r>
          </w:p>
        </w:tc>
      </w:tr>
      <w:tr w:rsidR="005C7DD0">
        <w:tc>
          <w:tcPr>
            <w:tcW w:w="2500" w:type="dxa"/>
          </w:tcPr>
          <w:p w:rsidR="005C7DD0" w:rsidRDefault="00000000">
            <w:pPr>
              <w:spacing w:before="60" w:after="60"/>
              <w:jc w:val="center"/>
            </w:pPr>
            <w:r>
              <w:rPr>
                <w:sz w:val="20"/>
              </w:rPr>
              <w:t>DEM Parameters</w:t>
            </w:r>
          </w:p>
        </w:tc>
        <w:tc>
          <w:tcPr>
            <w:tcW w:w="3500" w:type="dxa"/>
          </w:tcPr>
          <w:p w:rsidR="005C7DD0" w:rsidRDefault="00000000">
            <w:pPr>
              <w:spacing w:before="60" w:after="60"/>
              <w:jc w:val="center"/>
            </w:pPr>
            <w:r>
              <w:rPr>
                <w:sz w:val="20"/>
              </w:rPr>
              <w:t>Cundall &amp; Strack (1979)</w:t>
            </w:r>
          </w:p>
        </w:tc>
        <w:tc>
          <w:tcPr>
            <w:tcW w:w="2600" w:type="dxa"/>
          </w:tcPr>
          <w:p w:rsidR="005C7DD0" w:rsidRDefault="00000000">
            <w:pPr>
              <w:spacing w:before="60" w:after="60"/>
              <w:jc w:val="center"/>
            </w:pPr>
            <w:r>
              <w:rPr>
                <w:sz w:val="20"/>
              </w:rPr>
              <w:t>Calibrated</w:t>
            </w:r>
          </w:p>
        </w:tc>
      </w:tr>
      <w:tr w:rsidR="005C7DD0">
        <w:tc>
          <w:tcPr>
            <w:tcW w:w="2500" w:type="dxa"/>
          </w:tcPr>
          <w:p w:rsidR="005C7DD0" w:rsidRDefault="00000000">
            <w:pPr>
              <w:spacing w:before="60" w:after="60"/>
              <w:jc w:val="center"/>
            </w:pPr>
            <w:r>
              <w:rPr>
                <w:sz w:val="20"/>
              </w:rPr>
              <w:t>Torque Model</w:t>
            </w:r>
          </w:p>
        </w:tc>
        <w:tc>
          <w:tcPr>
            <w:tcW w:w="3500" w:type="dxa"/>
          </w:tcPr>
          <w:p w:rsidR="005C7DD0" w:rsidRDefault="00000000">
            <w:pPr>
              <w:spacing w:before="60" w:after="60"/>
              <w:jc w:val="center"/>
            </w:pPr>
            <w:r>
              <w:rPr>
                <w:sz w:val="20"/>
              </w:rPr>
              <w:t>Roberts (1999), Screw Feeder Theory</w:t>
            </w:r>
          </w:p>
        </w:tc>
        <w:tc>
          <w:tcPr>
            <w:tcW w:w="2600" w:type="dxa"/>
          </w:tcPr>
          <w:p w:rsidR="005C7DD0" w:rsidRDefault="00000000">
            <w:pPr>
              <w:spacing w:before="60" w:after="60"/>
              <w:jc w:val="center"/>
            </w:pPr>
            <w:r>
              <w:rPr>
                <w:sz w:val="20"/>
              </w:rPr>
              <w:t>Correlated</w:t>
            </w:r>
          </w:p>
        </w:tc>
      </w:tr>
      <w:tr w:rsidR="005C7DD0">
        <w:tc>
          <w:tcPr>
            <w:tcW w:w="2500" w:type="dxa"/>
          </w:tcPr>
          <w:p w:rsidR="005C7DD0" w:rsidRDefault="00000000">
            <w:pPr>
              <w:spacing w:before="60" w:after="60"/>
              <w:jc w:val="center"/>
            </w:pPr>
            <w:r>
              <w:rPr>
                <w:sz w:val="20"/>
              </w:rPr>
              <w:t>Caking Prevention</w:t>
            </w:r>
          </w:p>
        </w:tc>
        <w:tc>
          <w:tcPr>
            <w:tcW w:w="3500" w:type="dxa"/>
          </w:tcPr>
          <w:p w:rsidR="005C7DD0" w:rsidRDefault="00000000">
            <w:pPr>
              <w:spacing w:before="60" w:after="60"/>
              <w:jc w:val="center"/>
            </w:pPr>
            <w:r>
              <w:rPr>
                <w:sz w:val="20"/>
              </w:rPr>
              <w:t>Hewitt (2015), Birmingham PhD</w:t>
            </w:r>
          </w:p>
        </w:tc>
        <w:tc>
          <w:tcPr>
            <w:tcW w:w="2600" w:type="dxa"/>
          </w:tcPr>
          <w:p w:rsidR="005C7DD0" w:rsidRDefault="00000000">
            <w:pPr>
              <w:spacing w:before="60" w:after="60"/>
              <w:jc w:val="center"/>
            </w:pPr>
            <w:r>
              <w:rPr>
                <w:sz w:val="20"/>
              </w:rPr>
              <w:t>Addressed</w:t>
            </w:r>
          </w:p>
        </w:tc>
      </w:tr>
      <w:tr w:rsidR="005C7DD0">
        <w:tc>
          <w:tcPr>
            <w:tcW w:w="2500" w:type="dxa"/>
          </w:tcPr>
          <w:p w:rsidR="005C7DD0" w:rsidRDefault="00000000">
            <w:pPr>
              <w:spacing w:before="60" w:after="60"/>
              <w:jc w:val="center"/>
            </w:pPr>
            <w:r>
              <w:rPr>
                <w:sz w:val="20"/>
              </w:rPr>
              <w:lastRenderedPageBreak/>
              <w:t>Volumetric Efficiency</w:t>
            </w:r>
          </w:p>
        </w:tc>
        <w:tc>
          <w:tcPr>
            <w:tcW w:w="3500" w:type="dxa"/>
          </w:tcPr>
          <w:p w:rsidR="005C7DD0" w:rsidRDefault="00000000">
            <w:pPr>
              <w:spacing w:before="60" w:after="60"/>
              <w:jc w:val="center"/>
            </w:pPr>
            <w:r>
              <w:rPr>
                <w:sz w:val="20"/>
              </w:rPr>
              <w:t>El Kassem (2021), RWTH Aachen</w:t>
            </w:r>
          </w:p>
        </w:tc>
        <w:tc>
          <w:tcPr>
            <w:tcW w:w="2600" w:type="dxa"/>
          </w:tcPr>
          <w:p w:rsidR="005C7DD0" w:rsidRDefault="00000000">
            <w:pPr>
              <w:spacing w:before="60" w:after="60"/>
              <w:jc w:val="center"/>
            </w:pPr>
            <w:r>
              <w:rPr>
                <w:sz w:val="20"/>
              </w:rPr>
              <w:t>Confirmed</w:t>
            </w:r>
          </w:p>
        </w:tc>
      </w:tr>
    </w:tbl>
    <w:p w:rsidR="005C7DD0" w:rsidRDefault="00000000">
      <w:pPr>
        <w:pStyle w:val="Caption"/>
      </w:pPr>
      <w:r>
        <w:t>Table 8.3: Academic and Research Validation References</w:t>
      </w:r>
    </w:p>
    <w:p w:rsidR="00856993" w:rsidRDefault="00856993" w:rsidP="00856993">
      <w:pPr>
        <w:rPr>
          <w:rFonts w:asciiTheme="majorBidi" w:hAnsiTheme="majorBidi" w:cstheme="majorBidi"/>
          <w:b/>
          <w:bCs/>
        </w:rPr>
      </w:pPr>
    </w:p>
    <w:p w:rsidR="00856993" w:rsidRPr="00F60787" w:rsidRDefault="00EC24B6" w:rsidP="00856993">
      <w:pPr>
        <w:pStyle w:val="Heading2"/>
      </w:pPr>
      <w:r>
        <w:t>5</w:t>
      </w:r>
      <w:r w:rsidR="00856993" w:rsidRPr="00F60787">
        <w:t>.</w:t>
      </w:r>
      <w:r w:rsidR="00856993">
        <w:t>4</w:t>
      </w:r>
      <w:r w:rsidR="00856993" w:rsidRPr="00F60787">
        <w:t xml:space="preserve"> Kinematic Rigidity and Displacement Validation</w:t>
      </w:r>
    </w:p>
    <w:p w:rsidR="00856993" w:rsidRPr="00F60787" w:rsidRDefault="00856993" w:rsidP="00856993">
      <w:pPr>
        <w:rPr>
          <w:rFonts w:asciiTheme="majorBidi" w:hAnsiTheme="majorBidi" w:cstheme="majorBidi"/>
        </w:rPr>
      </w:pPr>
      <w:r w:rsidRPr="00F60787">
        <w:rPr>
          <w:rFonts w:asciiTheme="majorBidi" w:hAnsiTheme="majorBidi" w:cstheme="majorBidi"/>
        </w:rPr>
        <w:t xml:space="preserve">In the analytical volumetric displacement </w:t>
      </w:r>
      <w:proofErr w:type="gramStart"/>
      <w:r w:rsidRPr="00F60787">
        <w:rPr>
          <w:rFonts w:asciiTheme="majorBidi" w:hAnsiTheme="majorBidi" w:cstheme="majorBidi"/>
        </w:rPr>
        <w:t>model ,</w:t>
      </w:r>
      <w:proofErr w:type="gramEnd"/>
      <w:r w:rsidRPr="00F60787">
        <w:rPr>
          <w:rFonts w:asciiTheme="majorBidi" w:hAnsiTheme="majorBidi" w:cstheme="majorBidi"/>
        </w:rPr>
        <w:t xml:space="preserve"> it was assumed that the auger undergoes "pure rigid-body rotation" with zero lateral deflection. This theoretical assumption is highly critical; any radial bending of the shaft under load would close the tight radial clearance </w:t>
      </w:r>
      <m:oMath>
        <m:r>
          <w:rPr>
            <w:rFonts w:ascii="Cambria Math" w:hAnsi="Cambria Math" w:cstheme="majorBidi"/>
          </w:rPr>
          <m:t>( δ= 1.5 mm</m:t>
        </m:r>
      </m:oMath>
      <w:r w:rsidRPr="00F60787">
        <w:rPr>
          <w:rFonts w:asciiTheme="majorBidi" w:hAnsiTheme="majorBidi" w:cstheme="majorBidi"/>
        </w:rPr>
        <w:t>), leading to catastrophic metal-to-metal rubbing (galling) against the stationary hopper tube.</w:t>
      </w:r>
    </w:p>
    <w:p w:rsidR="00856993" w:rsidRPr="00F60787" w:rsidRDefault="00856993" w:rsidP="00856993">
      <w:pPr>
        <w:rPr>
          <w:rFonts w:asciiTheme="majorBidi" w:hAnsiTheme="majorBidi" w:cstheme="majorBidi"/>
        </w:rPr>
      </w:pPr>
      <w:r w:rsidRPr="00F60787">
        <w:rPr>
          <w:rFonts w:asciiTheme="majorBidi" w:hAnsiTheme="majorBidi" w:cstheme="majorBidi"/>
        </w:rPr>
        <w:t>The simulation results exhibit profound correlation with this theoretical requirement:</w:t>
      </w:r>
    </w:p>
    <w:p w:rsidR="00856993" w:rsidRPr="00F60787" w:rsidRDefault="00856993" w:rsidP="00856993">
      <w:pPr>
        <w:numPr>
          <w:ilvl w:val="0"/>
          <w:numId w:val="2"/>
        </w:numPr>
        <w:spacing w:after="160" w:line="278" w:lineRule="auto"/>
        <w:rPr>
          <w:rFonts w:asciiTheme="majorBidi" w:hAnsiTheme="majorBidi" w:cstheme="majorBidi"/>
        </w:rPr>
      </w:pPr>
      <w:r w:rsidRPr="00F60787">
        <w:rPr>
          <w:rFonts w:asciiTheme="majorBidi" w:hAnsiTheme="majorBidi" w:cstheme="majorBidi"/>
          <w:b/>
          <w:bCs/>
        </w:rPr>
        <w:t xml:space="preserve">Without the </w:t>
      </w:r>
      <w:r>
        <w:rPr>
          <w:rFonts w:asciiTheme="majorBidi" w:hAnsiTheme="majorBidi" w:cstheme="majorBidi"/>
          <w:b/>
          <w:bCs/>
        </w:rPr>
        <w:t>1</w:t>
      </w:r>
      <w:r w:rsidRPr="00F60787">
        <w:rPr>
          <w:rFonts w:asciiTheme="majorBidi" w:hAnsiTheme="majorBidi" w:cstheme="majorBidi"/>
          <w:b/>
          <w:bCs/>
        </w:rPr>
        <w:t>6 mm central shaft:</w:t>
      </w:r>
      <w:r w:rsidRPr="00F60787">
        <w:rPr>
          <w:rFonts w:asciiTheme="majorBidi" w:hAnsiTheme="majorBidi" w:cstheme="majorBidi"/>
        </w:rPr>
        <w:t xml:space="preserve"> The isolated auger experienced a maximum deflection of </w:t>
      </w:r>
      <w:r>
        <w:rPr>
          <w:rFonts w:asciiTheme="majorBidi" w:hAnsiTheme="majorBidi" w:cstheme="majorBidi"/>
        </w:rPr>
        <w:t xml:space="preserve"> </w:t>
      </w:r>
      <m:oMath>
        <m:r>
          <w:rPr>
            <w:rFonts w:ascii="Cambria Math" w:hAnsi="Cambria Math" w:cstheme="majorBidi"/>
          </w:rPr>
          <m:t>0.7087 mm</m:t>
        </m:r>
      </m:oMath>
      <w:r w:rsidRPr="00F60787">
        <w:rPr>
          <w:rFonts w:asciiTheme="majorBidi" w:hAnsiTheme="majorBidi" w:cstheme="majorBidi"/>
        </w:rPr>
        <w:t>, which consumes nearly half of the allowable radial clearance and poses a high risk of friction.</w:t>
      </w:r>
    </w:p>
    <w:p w:rsidR="00856993" w:rsidRPr="00F60787" w:rsidRDefault="00856993" w:rsidP="00856993">
      <w:pPr>
        <w:numPr>
          <w:ilvl w:val="0"/>
          <w:numId w:val="2"/>
        </w:numPr>
        <w:spacing w:after="160" w:line="278" w:lineRule="auto"/>
        <w:rPr>
          <w:rFonts w:asciiTheme="majorBidi" w:hAnsiTheme="majorBidi" w:cstheme="majorBidi"/>
        </w:rPr>
      </w:pPr>
      <w:r w:rsidRPr="00F60787">
        <w:rPr>
          <w:rFonts w:asciiTheme="majorBidi" w:hAnsiTheme="majorBidi" w:cstheme="majorBidi"/>
          <w:b/>
          <w:bCs/>
        </w:rPr>
        <w:t xml:space="preserve">Upon analytically sizing and integrating the </w:t>
      </w:r>
      <m:oMath>
        <m:r>
          <m:rPr>
            <m:sty m:val="bi"/>
          </m:rPr>
          <w:rPr>
            <w:rFonts w:ascii="Cambria Math" w:hAnsi="Cambria Math" w:cstheme="majorBidi"/>
          </w:rPr>
          <m:t>16  mm</m:t>
        </m:r>
      </m:oMath>
      <w:r w:rsidRPr="00F60787">
        <w:rPr>
          <w:rFonts w:asciiTheme="majorBidi" w:hAnsiTheme="majorBidi" w:cstheme="majorBidi"/>
          <w:b/>
          <w:bCs/>
        </w:rPr>
        <w:t xml:space="preserve"> solid inner shaft:</w:t>
      </w:r>
      <w:r w:rsidRPr="00F60787">
        <w:rPr>
          <w:rFonts w:asciiTheme="majorBidi" w:hAnsiTheme="majorBidi" w:cstheme="majorBidi"/>
        </w:rPr>
        <w:t xml:space="preserve"> </w:t>
      </w:r>
      <w:proofErr w:type="spellStart"/>
      <w:r w:rsidRPr="00F60787">
        <w:rPr>
          <w:rFonts w:asciiTheme="majorBidi" w:hAnsiTheme="majorBidi" w:cstheme="majorBidi"/>
        </w:rPr>
        <w:t>The</w:t>
      </w:r>
      <w:proofErr w:type="spellEnd"/>
      <w:r w:rsidRPr="00F60787">
        <w:rPr>
          <w:rFonts w:asciiTheme="majorBidi" w:hAnsiTheme="majorBidi" w:cstheme="majorBidi"/>
        </w:rPr>
        <w:t xml:space="preserve"> simulated deflection plummeted exponentially to </w:t>
      </w:r>
      <w:proofErr w:type="gramStart"/>
      <w:r w:rsidRPr="00F60787">
        <w:rPr>
          <w:rFonts w:asciiTheme="majorBidi" w:hAnsiTheme="majorBidi" w:cstheme="majorBidi"/>
        </w:rPr>
        <w:t>0.0032  mm.</w:t>
      </w:r>
      <w:proofErr w:type="gramEnd"/>
    </w:p>
    <w:p w:rsidR="00856993" w:rsidRPr="00F60787" w:rsidRDefault="00856993" w:rsidP="00856993">
      <w:pPr>
        <w:numPr>
          <w:ilvl w:val="0"/>
          <w:numId w:val="2"/>
        </w:numPr>
        <w:spacing w:after="160" w:line="278" w:lineRule="auto"/>
        <w:rPr>
          <w:rFonts w:asciiTheme="majorBidi" w:hAnsiTheme="majorBidi" w:cstheme="majorBidi"/>
        </w:rPr>
      </w:pPr>
      <w:r w:rsidRPr="00F60787">
        <w:rPr>
          <w:rFonts w:asciiTheme="majorBidi" w:hAnsiTheme="majorBidi" w:cstheme="majorBidi"/>
          <w:b/>
          <w:bCs/>
        </w:rPr>
        <w:t>Addition of the spinner plate at the distal end:</w:t>
      </w:r>
      <w:r w:rsidRPr="00F60787">
        <w:rPr>
          <w:rFonts w:asciiTheme="majorBidi" w:hAnsiTheme="majorBidi" w:cstheme="majorBidi"/>
        </w:rPr>
        <w:t xml:space="preserve"> Acted as a structural dampener, further reducing maximum deflection to a microscopic </w:t>
      </w:r>
      <m:oMath>
        <m:r>
          <w:rPr>
            <w:rFonts w:ascii="Cambria Math" w:hAnsi="Cambria Math" w:cstheme="majorBidi"/>
          </w:rPr>
          <m:t>0.0021 mm</m:t>
        </m:r>
      </m:oMath>
      <w:r>
        <w:rPr>
          <w:rFonts w:asciiTheme="majorBidi" w:hAnsiTheme="majorBidi" w:cstheme="majorBidi"/>
        </w:rPr>
        <w:t>.</w:t>
      </w:r>
    </w:p>
    <w:p w:rsidR="00856993" w:rsidRDefault="00856993" w:rsidP="00856993">
      <w:pPr>
        <w:rPr>
          <w:rFonts w:asciiTheme="majorBidi" w:hAnsiTheme="majorBidi" w:cstheme="majorBidi"/>
        </w:rPr>
      </w:pPr>
      <w:r w:rsidRPr="00F60787">
        <w:rPr>
          <w:rFonts w:asciiTheme="majorBidi" w:hAnsiTheme="majorBidi" w:cstheme="majorBidi"/>
          <w:b/>
          <w:bCs/>
        </w:rPr>
        <w:t>Correlation Verdict:</w:t>
      </w:r>
      <w:r w:rsidRPr="00F60787">
        <w:rPr>
          <w:rFonts w:asciiTheme="majorBidi" w:hAnsiTheme="majorBidi" w:cstheme="majorBidi"/>
        </w:rPr>
        <w:t xml:space="preserve"> The simulation strictly validates the analytical decision to specify the inner shaft diameter at </w:t>
      </w:r>
      <m:oMath>
        <m:sSub>
          <m:sSubPr>
            <m:ctrlPr>
              <w:rPr>
                <w:rFonts w:ascii="Cambria Math" w:hAnsi="Cambria Math" w:cstheme="majorBidi"/>
                <w:i/>
              </w:rPr>
            </m:ctrlPr>
          </m:sSubPr>
          <m:e>
            <m:r>
              <w:rPr>
                <w:rFonts w:ascii="Cambria Math" w:hAnsi="Cambria Math" w:cstheme="majorBidi"/>
              </w:rPr>
              <m:t xml:space="preserve">D </m:t>
            </m:r>
          </m:e>
          <m:sub>
            <m:r>
              <w:rPr>
                <w:rFonts w:ascii="Cambria Math" w:hAnsi="Cambria Math" w:cstheme="majorBidi"/>
              </w:rPr>
              <m:t>S</m:t>
            </m:r>
          </m:sub>
        </m:sSub>
        <m:r>
          <w:rPr>
            <w:rFonts w:ascii="Cambria Math" w:hAnsi="Cambria Math" w:cstheme="majorBidi"/>
          </w:rPr>
          <m:t>= 16 \ mm</m:t>
        </m:r>
      </m:oMath>
      <w:r w:rsidRPr="00F60787">
        <w:rPr>
          <w:rFonts w:asciiTheme="majorBidi" w:hAnsiTheme="majorBidi" w:cstheme="majorBidi"/>
        </w:rPr>
        <w:t xml:space="preserve">. A deflection of </w:t>
      </w:r>
      <m:oMath>
        <m:r>
          <w:rPr>
            <w:rFonts w:ascii="Cambria Math" w:hAnsi="Cambria Math" w:cstheme="majorBidi"/>
          </w:rPr>
          <m:t>0.0021  mm</m:t>
        </m:r>
      </m:oMath>
      <w:r w:rsidRPr="00F60787">
        <w:rPr>
          <w:rFonts w:asciiTheme="majorBidi" w:hAnsiTheme="majorBidi" w:cstheme="majorBidi"/>
        </w:rPr>
        <w:t xml:space="preserve"> is geometrically negligible, confirming that the auger maintains perfect concentricity inside the casing during the high-torque acceleration phase, thereby preserving the exact volumetric efficiency (</w:t>
      </w:r>
      <m:oMath>
        <m:sSub>
          <m:sSubPr>
            <m:ctrlPr>
              <w:rPr>
                <w:rFonts w:ascii="Cambria Math" w:hAnsi="Cambria Math" w:cstheme="majorBidi"/>
                <w:b/>
                <w:bCs/>
                <w:i/>
              </w:rPr>
            </m:ctrlPr>
          </m:sSubPr>
          <m:e>
            <m:r>
              <m:rPr>
                <m:sty m:val="bi"/>
              </m:rPr>
              <w:rPr>
                <w:rFonts w:ascii="Cambria Math" w:hAnsi="Cambria Math" w:cstheme="majorBidi"/>
              </w:rPr>
              <m:t>η</m:t>
            </m:r>
          </m:e>
          <m:sub>
            <m:r>
              <m:rPr>
                <m:sty m:val="bi"/>
              </m:rPr>
              <w:rPr>
                <w:rFonts w:ascii="Cambria Math" w:hAnsi="Cambria Math" w:cstheme="majorBidi"/>
              </w:rPr>
              <m:t>v</m:t>
            </m:r>
          </m:sub>
        </m:sSub>
      </m:oMath>
      <w:r w:rsidRPr="00F60787">
        <w:rPr>
          <w:rFonts w:asciiTheme="majorBidi" w:hAnsiTheme="majorBidi" w:cstheme="majorBidi"/>
        </w:rPr>
        <w:t>) modeled in Chapter 5.</w:t>
      </w:r>
    </w:p>
    <w:p w:rsidR="00856993" w:rsidRPr="00F60787" w:rsidRDefault="00856993" w:rsidP="00856993">
      <w:pPr>
        <w:rPr>
          <w:rFonts w:asciiTheme="majorBidi" w:hAnsiTheme="majorBidi" w:cstheme="majorBidi"/>
        </w:rPr>
      </w:pPr>
      <w:r>
        <w:rPr>
          <w:rFonts w:asciiTheme="majorBidi" w:hAnsiTheme="majorBidi" w:cstheme="majorBidi"/>
          <w:noProof/>
        </w:rPr>
        <w:lastRenderedPageBreak/>
        <w:drawing>
          <wp:inline distT="0" distB="0" distL="0" distR="0" wp14:anchorId="6B19BF2E" wp14:editId="55C84B22">
            <wp:extent cx="5486400" cy="32912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291205"/>
                    </a:xfrm>
                    <a:prstGeom prst="rect">
                      <a:avLst/>
                    </a:prstGeom>
                  </pic:spPr>
                </pic:pic>
              </a:graphicData>
            </a:graphic>
          </wp:inline>
        </w:drawing>
      </w:r>
    </w:p>
    <w:p w:rsidR="00856993" w:rsidRDefault="00856993" w:rsidP="00856993">
      <w:pPr>
        <w:rPr>
          <w:rFonts w:asciiTheme="majorBidi" w:hAnsiTheme="majorBidi" w:cstheme="majorBidi"/>
        </w:rPr>
      </w:pPr>
      <w:r w:rsidRPr="00F60787">
        <w:rPr>
          <w:rFonts w:asciiTheme="majorBidi" w:hAnsiTheme="majorBidi" w:cstheme="majorBidi"/>
          <w:b/>
          <w:bCs/>
        </w:rPr>
        <w:t xml:space="preserve">Figure </w:t>
      </w:r>
      <w:r w:rsidR="00EC24B6">
        <w:rPr>
          <w:rFonts w:asciiTheme="majorBidi" w:hAnsiTheme="majorBidi" w:cstheme="majorBidi"/>
          <w:b/>
          <w:bCs/>
        </w:rPr>
        <w:t>5</w:t>
      </w:r>
      <w:r w:rsidRPr="00F60787">
        <w:rPr>
          <w:rFonts w:asciiTheme="majorBidi" w:hAnsiTheme="majorBidi" w:cstheme="majorBidi"/>
          <w:b/>
          <w:bCs/>
        </w:rPr>
        <w:t>.</w:t>
      </w:r>
      <w:r w:rsidR="002D684A">
        <w:rPr>
          <w:rFonts w:asciiTheme="majorBidi" w:hAnsiTheme="majorBidi" w:cstheme="majorBidi"/>
          <w:b/>
          <w:bCs/>
        </w:rPr>
        <w:t>4</w:t>
      </w:r>
      <w:r w:rsidRPr="00F60787">
        <w:rPr>
          <w:rFonts w:asciiTheme="majorBidi" w:hAnsiTheme="majorBidi" w:cstheme="majorBidi"/>
          <w:b/>
          <w:bCs/>
        </w:rPr>
        <w:t>.</w:t>
      </w:r>
      <w:r w:rsidR="002D684A">
        <w:rPr>
          <w:rFonts w:asciiTheme="majorBidi" w:hAnsiTheme="majorBidi" w:cstheme="majorBidi"/>
          <w:b/>
          <w:bCs/>
        </w:rPr>
        <w:t>1</w:t>
      </w:r>
      <w:r w:rsidRPr="00F60787">
        <w:rPr>
          <w:rFonts w:asciiTheme="majorBidi" w:hAnsiTheme="majorBidi" w:cstheme="majorBidi"/>
          <w:b/>
          <w:bCs/>
        </w:rPr>
        <w:t>:</w:t>
      </w:r>
      <w:r w:rsidRPr="00F60787">
        <w:rPr>
          <w:rFonts w:asciiTheme="majorBidi" w:hAnsiTheme="majorBidi" w:cstheme="majorBidi"/>
        </w:rPr>
        <w:t xml:space="preserve"> Comparative displacement visualization showing isolated auger deflection vs. full assembly rigidity.</w:t>
      </w:r>
    </w:p>
    <w:p w:rsidR="00856993" w:rsidRDefault="00856993">
      <w:pPr>
        <w:pStyle w:val="Heading2"/>
      </w:pPr>
    </w:p>
    <w:p w:rsidR="005C7DD0" w:rsidRDefault="00EC24B6">
      <w:pPr>
        <w:pStyle w:val="Heading2"/>
      </w:pPr>
      <w:r>
        <w:t>5</w:t>
      </w:r>
      <w:r w:rsidR="00000000">
        <w:t>.5 Validation Summary Table</w:t>
      </w:r>
    </w:p>
    <w:p w:rsidR="005C7DD0" w:rsidRDefault="00000000">
      <w:pPr>
        <w:spacing w:line="360" w:lineRule="auto"/>
        <w:jc w:val="both"/>
      </w:pPr>
      <w:r>
        <w:rPr>
          <w:sz w:val="22"/>
        </w:rPr>
        <w:t>The following comprehensive validation summary table consolidates all verification results, demonstrating that the designed Vertical Auger Filling system meets or exceeds all specified requirements across analytical, numerical, industrial, and academic validation domains.</w:t>
      </w:r>
    </w:p>
    <w:tbl>
      <w:tblPr>
        <w:tblW w:w="5000" w:type="pct"/>
        <w:tblInd w:w="10" w:type="dxa"/>
        <w:tblBorders>
          <w:top w:val="single" w:sz="12" w:space="0" w:color="1E3A5F"/>
          <w:bottom w:val="single" w:sz="12" w:space="0" w:color="1E3A5F"/>
          <w:insideH w:val="single" w:sz="4" w:space="0" w:color="B8C4D0"/>
          <w:insideV w:val="single" w:sz="4" w:space="0" w:color="B8C4D0"/>
        </w:tblBorders>
        <w:tblCellMar>
          <w:top w:w="80" w:type="dxa"/>
          <w:left w:w="10" w:type="dxa"/>
          <w:bottom w:w="80" w:type="dxa"/>
          <w:right w:w="10" w:type="dxa"/>
        </w:tblCellMar>
        <w:tblLook w:val="0000" w:firstRow="0" w:lastRow="0" w:firstColumn="0" w:lastColumn="0" w:noHBand="0" w:noVBand="0"/>
      </w:tblPr>
      <w:tblGrid>
        <w:gridCol w:w="2315"/>
        <w:gridCol w:w="2314"/>
        <w:gridCol w:w="2524"/>
        <w:gridCol w:w="1893"/>
      </w:tblGrid>
      <w:tr w:rsidR="005C7DD0" w:rsidTr="00DF1BCA">
        <w:tc>
          <w:tcPr>
            <w:tcW w:w="2315" w:type="dxa"/>
            <w:shd w:val="clear" w:color="auto" w:fill="E8EDF2"/>
          </w:tcPr>
          <w:p w:rsidR="005C7DD0" w:rsidRDefault="00000000">
            <w:pPr>
              <w:spacing w:before="60" w:after="60"/>
              <w:jc w:val="center"/>
            </w:pPr>
            <w:r>
              <w:rPr>
                <w:b/>
                <w:sz w:val="20"/>
              </w:rPr>
              <w:t>Parameter</w:t>
            </w:r>
          </w:p>
        </w:tc>
        <w:tc>
          <w:tcPr>
            <w:tcW w:w="2314" w:type="dxa"/>
            <w:shd w:val="clear" w:color="auto" w:fill="E8EDF2"/>
          </w:tcPr>
          <w:p w:rsidR="005C7DD0" w:rsidRDefault="00000000">
            <w:pPr>
              <w:spacing w:before="60" w:after="60"/>
              <w:jc w:val="center"/>
            </w:pPr>
            <w:r>
              <w:rPr>
                <w:b/>
                <w:sz w:val="20"/>
              </w:rPr>
              <w:t>Project Value</w:t>
            </w:r>
          </w:p>
        </w:tc>
        <w:tc>
          <w:tcPr>
            <w:tcW w:w="2524" w:type="dxa"/>
            <w:shd w:val="clear" w:color="auto" w:fill="E8EDF2"/>
          </w:tcPr>
          <w:p w:rsidR="005C7DD0" w:rsidRDefault="00000000">
            <w:pPr>
              <w:spacing w:before="60" w:after="60"/>
              <w:jc w:val="center"/>
            </w:pPr>
            <w:r>
              <w:rPr>
                <w:b/>
                <w:sz w:val="20"/>
              </w:rPr>
              <w:t>Standard/Reference</w:t>
            </w:r>
          </w:p>
        </w:tc>
        <w:tc>
          <w:tcPr>
            <w:tcW w:w="1893" w:type="dxa"/>
            <w:shd w:val="clear" w:color="auto" w:fill="E8EDF2"/>
          </w:tcPr>
          <w:p w:rsidR="005C7DD0" w:rsidRDefault="00000000">
            <w:pPr>
              <w:spacing w:before="60" w:after="60"/>
              <w:jc w:val="center"/>
            </w:pPr>
            <w:r>
              <w:rPr>
                <w:b/>
                <w:sz w:val="20"/>
              </w:rPr>
              <w:t>Validation</w:t>
            </w:r>
          </w:p>
        </w:tc>
      </w:tr>
      <w:tr w:rsidR="005C7DD0" w:rsidTr="00DF1BCA">
        <w:tc>
          <w:tcPr>
            <w:tcW w:w="2315" w:type="dxa"/>
          </w:tcPr>
          <w:p w:rsidR="005C7DD0" w:rsidRDefault="00000000">
            <w:pPr>
              <w:spacing w:before="60" w:after="60"/>
              <w:jc w:val="center"/>
            </w:pPr>
            <w:r>
              <w:rPr>
                <w:sz w:val="20"/>
              </w:rPr>
              <w:t>Auger Diameter</w:t>
            </w:r>
          </w:p>
        </w:tc>
        <w:tc>
          <w:tcPr>
            <w:tcW w:w="2314" w:type="dxa"/>
          </w:tcPr>
          <w:p w:rsidR="005C7DD0" w:rsidRDefault="00000000">
            <w:pPr>
              <w:spacing w:before="60" w:after="60"/>
              <w:jc w:val="center"/>
            </w:pPr>
            <w:r>
              <w:rPr>
                <w:sz w:val="20"/>
              </w:rPr>
              <w:t>60 mm</w:t>
            </w:r>
          </w:p>
        </w:tc>
        <w:tc>
          <w:tcPr>
            <w:tcW w:w="2524" w:type="dxa"/>
          </w:tcPr>
          <w:p w:rsidR="005C7DD0" w:rsidRDefault="00000000">
            <w:pPr>
              <w:spacing w:before="60" w:after="60"/>
              <w:jc w:val="center"/>
            </w:pPr>
            <w:proofErr w:type="spellStart"/>
            <w:r>
              <w:rPr>
                <w:sz w:val="20"/>
              </w:rPr>
              <w:t>Accufill</w:t>
            </w:r>
            <w:proofErr w:type="spellEnd"/>
            <w:r>
              <w:rPr>
                <w:sz w:val="20"/>
              </w:rPr>
              <w:t>/</w:t>
            </w:r>
            <w:proofErr w:type="spellStart"/>
            <w:r>
              <w:rPr>
                <w:sz w:val="20"/>
              </w:rPr>
              <w:t>Tecnipac</w:t>
            </w:r>
            <w:proofErr w:type="spellEnd"/>
            <w:r>
              <w:rPr>
                <w:sz w:val="20"/>
              </w:rPr>
              <w:t>: 50-75 mm</w:t>
            </w:r>
          </w:p>
        </w:tc>
        <w:tc>
          <w:tcPr>
            <w:tcW w:w="1893" w:type="dxa"/>
          </w:tcPr>
          <w:p w:rsidR="005C7DD0" w:rsidRDefault="00000000">
            <w:pPr>
              <w:spacing w:before="60" w:after="60"/>
              <w:jc w:val="center"/>
            </w:pPr>
            <w:r>
              <w:rPr>
                <w:sz w:val="20"/>
              </w:rPr>
              <w:t>Compliant</w:t>
            </w:r>
          </w:p>
        </w:tc>
      </w:tr>
      <w:tr w:rsidR="005C7DD0" w:rsidTr="00DF1BCA">
        <w:tc>
          <w:tcPr>
            <w:tcW w:w="2315" w:type="dxa"/>
          </w:tcPr>
          <w:p w:rsidR="005C7DD0" w:rsidRDefault="00000000">
            <w:pPr>
              <w:spacing w:before="60" w:after="60"/>
              <w:jc w:val="center"/>
            </w:pPr>
            <w:r>
              <w:rPr>
                <w:sz w:val="20"/>
              </w:rPr>
              <w:t>Pitch Ratio</w:t>
            </w:r>
          </w:p>
        </w:tc>
        <w:tc>
          <w:tcPr>
            <w:tcW w:w="2314" w:type="dxa"/>
          </w:tcPr>
          <w:p w:rsidR="005C7DD0" w:rsidRDefault="00000000">
            <w:pPr>
              <w:spacing w:before="60" w:after="60"/>
              <w:jc w:val="center"/>
            </w:pPr>
            <w:r>
              <w:rPr>
                <w:sz w:val="20"/>
              </w:rPr>
              <w:t>1:1 (Square)</w:t>
            </w:r>
          </w:p>
        </w:tc>
        <w:tc>
          <w:tcPr>
            <w:tcW w:w="2524" w:type="dxa"/>
          </w:tcPr>
          <w:p w:rsidR="005C7DD0" w:rsidRDefault="00000000">
            <w:pPr>
              <w:spacing w:before="60" w:after="60"/>
              <w:jc w:val="center"/>
            </w:pPr>
            <w:r>
              <w:rPr>
                <w:sz w:val="20"/>
              </w:rPr>
              <w:t>Uni. Birmingham: Optimal</w:t>
            </w:r>
          </w:p>
        </w:tc>
        <w:tc>
          <w:tcPr>
            <w:tcW w:w="1893" w:type="dxa"/>
          </w:tcPr>
          <w:p w:rsidR="005C7DD0" w:rsidRDefault="00000000">
            <w:pPr>
              <w:spacing w:before="60" w:after="60"/>
              <w:jc w:val="center"/>
            </w:pPr>
            <w:r>
              <w:rPr>
                <w:sz w:val="20"/>
              </w:rPr>
              <w:t>Validated</w:t>
            </w:r>
          </w:p>
        </w:tc>
      </w:tr>
      <w:tr w:rsidR="005C7DD0" w:rsidTr="00DF1BCA">
        <w:tc>
          <w:tcPr>
            <w:tcW w:w="2315" w:type="dxa"/>
          </w:tcPr>
          <w:p w:rsidR="005C7DD0" w:rsidRDefault="00000000">
            <w:pPr>
              <w:spacing w:before="60" w:after="60"/>
              <w:jc w:val="center"/>
            </w:pPr>
            <w:r>
              <w:rPr>
                <w:sz w:val="20"/>
              </w:rPr>
              <w:t>Hopper Angle</w:t>
            </w:r>
          </w:p>
        </w:tc>
        <w:tc>
          <w:tcPr>
            <w:tcW w:w="2314" w:type="dxa"/>
          </w:tcPr>
          <w:p w:rsidR="005C7DD0" w:rsidRDefault="00000000">
            <w:pPr>
              <w:spacing w:before="60" w:after="60"/>
              <w:jc w:val="center"/>
            </w:pPr>
            <w:r>
              <w:rPr>
                <w:sz w:val="20"/>
              </w:rPr>
              <w:t>60°</w:t>
            </w:r>
          </w:p>
        </w:tc>
        <w:tc>
          <w:tcPr>
            <w:tcW w:w="2524" w:type="dxa"/>
          </w:tcPr>
          <w:p w:rsidR="005C7DD0" w:rsidRDefault="00000000">
            <w:pPr>
              <w:spacing w:before="60" w:after="60"/>
              <w:jc w:val="center"/>
            </w:pPr>
            <w:r>
              <w:rPr>
                <w:sz w:val="20"/>
              </w:rPr>
              <w:t>Egli/</w:t>
            </w:r>
            <w:proofErr w:type="spellStart"/>
            <w:r>
              <w:rPr>
                <w:sz w:val="20"/>
              </w:rPr>
              <w:t>Accufill</w:t>
            </w:r>
            <w:proofErr w:type="spellEnd"/>
            <w:r>
              <w:rPr>
                <w:sz w:val="20"/>
              </w:rPr>
              <w:t>: Mass Flow</w:t>
            </w:r>
          </w:p>
        </w:tc>
        <w:tc>
          <w:tcPr>
            <w:tcW w:w="1893" w:type="dxa"/>
          </w:tcPr>
          <w:p w:rsidR="005C7DD0" w:rsidRDefault="00000000">
            <w:pPr>
              <w:spacing w:before="60" w:after="60"/>
              <w:jc w:val="center"/>
            </w:pPr>
            <w:r>
              <w:rPr>
                <w:sz w:val="20"/>
              </w:rPr>
              <w:t>Matched</w:t>
            </w:r>
          </w:p>
        </w:tc>
      </w:tr>
      <w:tr w:rsidR="005C7DD0" w:rsidTr="00DF1BCA">
        <w:tc>
          <w:tcPr>
            <w:tcW w:w="2315" w:type="dxa"/>
          </w:tcPr>
          <w:p w:rsidR="005C7DD0" w:rsidRDefault="00000000">
            <w:pPr>
              <w:spacing w:before="60" w:after="60"/>
              <w:jc w:val="center"/>
            </w:pPr>
            <w:r>
              <w:rPr>
                <w:sz w:val="20"/>
              </w:rPr>
              <w:t>Agitator Speed</w:t>
            </w:r>
          </w:p>
        </w:tc>
        <w:tc>
          <w:tcPr>
            <w:tcW w:w="2314" w:type="dxa"/>
          </w:tcPr>
          <w:p w:rsidR="005C7DD0" w:rsidRDefault="00000000">
            <w:pPr>
              <w:spacing w:before="60" w:after="60"/>
              <w:jc w:val="center"/>
            </w:pPr>
            <w:r>
              <w:rPr>
                <w:sz w:val="20"/>
              </w:rPr>
              <w:t>30 RPM</w:t>
            </w:r>
          </w:p>
        </w:tc>
        <w:tc>
          <w:tcPr>
            <w:tcW w:w="2524" w:type="dxa"/>
          </w:tcPr>
          <w:p w:rsidR="005C7DD0" w:rsidRDefault="00000000">
            <w:pPr>
              <w:spacing w:before="60" w:after="60"/>
              <w:jc w:val="center"/>
            </w:pPr>
            <w:r>
              <w:rPr>
                <w:sz w:val="20"/>
              </w:rPr>
              <w:t>VTOPS-P2: 20-40 RPM</w:t>
            </w:r>
          </w:p>
        </w:tc>
        <w:tc>
          <w:tcPr>
            <w:tcW w:w="1893" w:type="dxa"/>
          </w:tcPr>
          <w:p w:rsidR="005C7DD0" w:rsidRDefault="00000000">
            <w:pPr>
              <w:spacing w:before="60" w:after="60"/>
              <w:jc w:val="center"/>
            </w:pPr>
            <w:r>
              <w:rPr>
                <w:sz w:val="20"/>
              </w:rPr>
              <w:t>Compliant</w:t>
            </w:r>
          </w:p>
        </w:tc>
      </w:tr>
      <w:tr w:rsidR="005C7DD0" w:rsidTr="00DF1BCA">
        <w:tc>
          <w:tcPr>
            <w:tcW w:w="2315" w:type="dxa"/>
          </w:tcPr>
          <w:p w:rsidR="005C7DD0" w:rsidRDefault="00000000">
            <w:pPr>
              <w:spacing w:before="60" w:after="60"/>
              <w:jc w:val="center"/>
            </w:pPr>
            <w:r>
              <w:rPr>
                <w:sz w:val="20"/>
              </w:rPr>
              <w:t>Operating Torque</w:t>
            </w:r>
          </w:p>
        </w:tc>
        <w:tc>
          <w:tcPr>
            <w:tcW w:w="2314" w:type="dxa"/>
          </w:tcPr>
          <w:p w:rsidR="005C7DD0" w:rsidRDefault="00000000">
            <w:pPr>
              <w:spacing w:before="60" w:after="60"/>
              <w:jc w:val="center"/>
            </w:pPr>
            <w:r>
              <w:rPr>
                <w:sz w:val="20"/>
              </w:rPr>
              <w:t xml:space="preserve">18.5 </w:t>
            </w:r>
            <w:proofErr w:type="spellStart"/>
            <w:r>
              <w:rPr>
                <w:sz w:val="20"/>
              </w:rPr>
              <w:t>N·m</w:t>
            </w:r>
            <w:proofErr w:type="spellEnd"/>
            <w:r>
              <w:rPr>
                <w:sz w:val="20"/>
              </w:rPr>
              <w:t xml:space="preserve"> (peak)</w:t>
            </w:r>
          </w:p>
        </w:tc>
        <w:tc>
          <w:tcPr>
            <w:tcW w:w="2524" w:type="dxa"/>
          </w:tcPr>
          <w:p w:rsidR="005C7DD0" w:rsidRDefault="00000000">
            <w:pPr>
              <w:spacing w:before="60" w:after="60"/>
              <w:jc w:val="center"/>
            </w:pPr>
            <w:r>
              <w:rPr>
                <w:sz w:val="20"/>
              </w:rPr>
              <w:t xml:space="preserve">Motor-Gearbox: 20 </w:t>
            </w:r>
            <w:proofErr w:type="spellStart"/>
            <w:r>
              <w:rPr>
                <w:sz w:val="20"/>
              </w:rPr>
              <w:t>N·m</w:t>
            </w:r>
            <w:proofErr w:type="spellEnd"/>
          </w:p>
        </w:tc>
        <w:tc>
          <w:tcPr>
            <w:tcW w:w="1893" w:type="dxa"/>
          </w:tcPr>
          <w:p w:rsidR="005C7DD0" w:rsidRDefault="00000000">
            <w:pPr>
              <w:spacing w:before="60" w:after="60"/>
              <w:jc w:val="center"/>
            </w:pPr>
            <w:r>
              <w:rPr>
                <w:sz w:val="20"/>
              </w:rPr>
              <w:t>Safe</w:t>
            </w:r>
          </w:p>
        </w:tc>
      </w:tr>
      <w:tr w:rsidR="005C7DD0" w:rsidTr="00DF1BCA">
        <w:tc>
          <w:tcPr>
            <w:tcW w:w="2315" w:type="dxa"/>
          </w:tcPr>
          <w:p w:rsidR="005C7DD0" w:rsidRDefault="00000000">
            <w:pPr>
              <w:spacing w:before="60" w:after="60"/>
              <w:jc w:val="center"/>
            </w:pPr>
            <w:r>
              <w:rPr>
                <w:sz w:val="20"/>
              </w:rPr>
              <w:t>Dosing Accuracy</w:t>
            </w:r>
          </w:p>
        </w:tc>
        <w:tc>
          <w:tcPr>
            <w:tcW w:w="2314" w:type="dxa"/>
          </w:tcPr>
          <w:p w:rsidR="005C7DD0" w:rsidRDefault="00000000">
            <w:pPr>
              <w:spacing w:before="60" w:after="60"/>
              <w:jc w:val="center"/>
            </w:pPr>
            <w:r>
              <w:rPr>
                <w:sz w:val="20"/>
              </w:rPr>
              <w:t>±1</w:t>
            </w:r>
            <w:r w:rsidR="00CB0DF7">
              <w:rPr>
                <w:sz w:val="20"/>
              </w:rPr>
              <w:t>.5</w:t>
            </w:r>
            <w:r>
              <w:rPr>
                <w:sz w:val="20"/>
              </w:rPr>
              <w:t>%</w:t>
            </w:r>
          </w:p>
        </w:tc>
        <w:tc>
          <w:tcPr>
            <w:tcW w:w="2524" w:type="dxa"/>
          </w:tcPr>
          <w:p w:rsidR="005C7DD0" w:rsidRDefault="00000000">
            <w:pPr>
              <w:spacing w:before="60" w:after="60"/>
              <w:jc w:val="center"/>
            </w:pPr>
            <w:r>
              <w:rPr>
                <w:sz w:val="20"/>
              </w:rPr>
              <w:t>OIML R 87: ±1.5%</w:t>
            </w:r>
          </w:p>
        </w:tc>
        <w:tc>
          <w:tcPr>
            <w:tcW w:w="1893" w:type="dxa"/>
          </w:tcPr>
          <w:p w:rsidR="005C7DD0" w:rsidRDefault="00000000">
            <w:pPr>
              <w:spacing w:before="60" w:after="60"/>
              <w:jc w:val="center"/>
            </w:pPr>
            <w:r>
              <w:rPr>
                <w:sz w:val="20"/>
              </w:rPr>
              <w:t>Compliant</w:t>
            </w:r>
          </w:p>
        </w:tc>
      </w:tr>
      <w:tr w:rsidR="005C7DD0" w:rsidTr="00DF1BCA">
        <w:tc>
          <w:tcPr>
            <w:tcW w:w="2315" w:type="dxa"/>
          </w:tcPr>
          <w:p w:rsidR="005C7DD0" w:rsidRDefault="00000000">
            <w:pPr>
              <w:spacing w:before="60" w:after="60"/>
              <w:jc w:val="center"/>
            </w:pPr>
            <w:r>
              <w:rPr>
                <w:sz w:val="20"/>
              </w:rPr>
              <w:lastRenderedPageBreak/>
              <w:t>Safety Factor</w:t>
            </w:r>
          </w:p>
        </w:tc>
        <w:tc>
          <w:tcPr>
            <w:tcW w:w="2314" w:type="dxa"/>
          </w:tcPr>
          <w:p w:rsidR="005C7DD0" w:rsidRDefault="00000000">
            <w:pPr>
              <w:spacing w:before="60" w:after="60"/>
              <w:jc w:val="center"/>
            </w:pPr>
            <w:r>
              <w:rPr>
                <w:sz w:val="20"/>
              </w:rPr>
              <w:t>2.28</w:t>
            </w:r>
          </w:p>
        </w:tc>
        <w:tc>
          <w:tcPr>
            <w:tcW w:w="2524" w:type="dxa"/>
          </w:tcPr>
          <w:p w:rsidR="005C7DD0" w:rsidRDefault="00000000">
            <w:pPr>
              <w:spacing w:before="60" w:after="60"/>
              <w:jc w:val="center"/>
            </w:pPr>
            <w:r>
              <w:rPr>
                <w:sz w:val="20"/>
              </w:rPr>
              <w:t>Industrial: &gt; 1.5</w:t>
            </w:r>
          </w:p>
        </w:tc>
        <w:tc>
          <w:tcPr>
            <w:tcW w:w="1893" w:type="dxa"/>
          </w:tcPr>
          <w:p w:rsidR="005C7DD0" w:rsidRDefault="00000000">
            <w:pPr>
              <w:spacing w:before="60" w:after="60"/>
              <w:jc w:val="center"/>
            </w:pPr>
            <w:r>
              <w:rPr>
                <w:sz w:val="20"/>
              </w:rPr>
              <w:t>Validated</w:t>
            </w:r>
          </w:p>
        </w:tc>
      </w:tr>
      <w:tr w:rsidR="005C7DD0" w:rsidTr="00DF1BCA">
        <w:tc>
          <w:tcPr>
            <w:tcW w:w="2315" w:type="dxa"/>
          </w:tcPr>
          <w:p w:rsidR="005C7DD0" w:rsidRDefault="00000000">
            <w:pPr>
              <w:spacing w:before="60" w:after="60"/>
              <w:jc w:val="center"/>
            </w:pPr>
            <w:r>
              <w:rPr>
                <w:sz w:val="20"/>
              </w:rPr>
              <w:t>Surface Finish</w:t>
            </w:r>
          </w:p>
        </w:tc>
        <w:tc>
          <w:tcPr>
            <w:tcW w:w="2314" w:type="dxa"/>
          </w:tcPr>
          <w:p w:rsidR="005C7DD0" w:rsidRDefault="00000000">
            <w:pPr>
              <w:spacing w:before="60" w:after="60"/>
              <w:jc w:val="center"/>
            </w:pPr>
            <w:r>
              <w:rPr>
                <w:sz w:val="20"/>
              </w:rPr>
              <w:t xml:space="preserve">Ra ≤ 0.8 </w:t>
            </w:r>
            <w:proofErr w:type="spellStart"/>
            <w:r>
              <w:rPr>
                <w:sz w:val="20"/>
              </w:rPr>
              <w:t>μm</w:t>
            </w:r>
            <w:proofErr w:type="spellEnd"/>
          </w:p>
        </w:tc>
        <w:tc>
          <w:tcPr>
            <w:tcW w:w="2524" w:type="dxa"/>
          </w:tcPr>
          <w:p w:rsidR="005C7DD0" w:rsidRDefault="00000000">
            <w:pPr>
              <w:spacing w:before="60" w:after="60"/>
              <w:jc w:val="center"/>
            </w:pPr>
            <w:r>
              <w:rPr>
                <w:sz w:val="20"/>
              </w:rPr>
              <w:t>FDA 21 CFR 177</w:t>
            </w:r>
          </w:p>
        </w:tc>
        <w:tc>
          <w:tcPr>
            <w:tcW w:w="1893" w:type="dxa"/>
          </w:tcPr>
          <w:p w:rsidR="005C7DD0" w:rsidRDefault="00000000">
            <w:pPr>
              <w:spacing w:before="60" w:after="60"/>
              <w:jc w:val="center"/>
            </w:pPr>
            <w:r>
              <w:rPr>
                <w:sz w:val="20"/>
              </w:rPr>
              <w:t>Compliant</w:t>
            </w:r>
          </w:p>
        </w:tc>
      </w:tr>
    </w:tbl>
    <w:p w:rsidR="005C7DD0" w:rsidRDefault="00000000">
      <w:pPr>
        <w:pStyle w:val="Caption"/>
      </w:pPr>
      <w:r>
        <w:t>Table 8.4: Comprehensive Validation Summary</w:t>
      </w:r>
    </w:p>
    <w:p w:rsidR="005C7DD0" w:rsidRDefault="00EC24B6">
      <w:pPr>
        <w:pStyle w:val="Heading2"/>
      </w:pPr>
      <w:r>
        <w:t>5</w:t>
      </w:r>
      <w:r w:rsidR="00000000">
        <w:t>.6 Discussion</w:t>
      </w:r>
    </w:p>
    <w:p w:rsidR="005C7DD0" w:rsidRDefault="00000000">
      <w:pPr>
        <w:spacing w:line="360" w:lineRule="auto"/>
        <w:jc w:val="both"/>
      </w:pPr>
      <w:r>
        <w:rPr>
          <w:sz w:val="22"/>
        </w:rPr>
        <w:t>The multi-layered verification and validation process confirms that the designed Vertical Auger Filling system is not only mathematically sound but also aligns with the current best practices in the packaging industry. Several key insights emerge from the comprehensive validation framework:</w:t>
      </w:r>
    </w:p>
    <w:p w:rsidR="005C7DD0" w:rsidRDefault="00000000">
      <w:pPr>
        <w:spacing w:after="160" w:line="360" w:lineRule="auto"/>
        <w:ind w:left="720" w:hanging="360"/>
        <w:jc w:val="both"/>
      </w:pPr>
      <w:r>
        <w:rPr>
          <w:sz w:val="22"/>
        </w:rPr>
        <w:t>•  The analytical models demonstrate strong correlation with numerical simulation results, with deviations consistently below 10% across all critical parameters. This validates the theoretical foundation of the design approach.</w:t>
      </w:r>
    </w:p>
    <w:p w:rsidR="005C7DD0" w:rsidRDefault="00000000">
      <w:pPr>
        <w:spacing w:after="160" w:line="360" w:lineRule="auto"/>
        <w:ind w:left="720" w:hanging="360"/>
        <w:jc w:val="both"/>
      </w:pPr>
      <w:r>
        <w:rPr>
          <w:sz w:val="22"/>
        </w:rPr>
        <w:t>•  Industrial benchmarking confirms that the selected design parameters (60 mm auger, 60° hopper, independent agitation) are substantiated by commercial practice and represent proven solutions for salt packaging applications.</w:t>
      </w:r>
    </w:p>
    <w:p w:rsidR="005C7DD0" w:rsidRDefault="00000000">
      <w:pPr>
        <w:spacing w:after="160" w:line="360" w:lineRule="auto"/>
        <w:ind w:left="720" w:hanging="360"/>
        <w:jc w:val="both"/>
      </w:pPr>
      <w:r>
        <w:rPr>
          <w:sz w:val="22"/>
        </w:rPr>
        <w:t>•  Academic validation through comparison with peer-reviewed research provides confidence in the scientific rigor of the design decisions, particularly regarding powder flow mechanics and material handling principles.</w:t>
      </w:r>
    </w:p>
    <w:p w:rsidR="005C7DD0" w:rsidRDefault="00000000">
      <w:pPr>
        <w:spacing w:line="360" w:lineRule="auto"/>
        <w:jc w:val="both"/>
      </w:pPr>
      <w:r>
        <w:rPr>
          <w:sz w:val="22"/>
        </w:rPr>
        <w:t>The validation process identified several areas of particular strength in the design: the coaxial drive architecture provides effective kinematic decoupling between auger and agitator systems; the spinner plate mechanism achieves reliable zero-dribble performance; and the structural design maintains integrity under worst-case loading conditions with substantial safety margins.</w:t>
      </w:r>
    </w:p>
    <w:p w:rsidR="005C7DD0" w:rsidRDefault="00EC24B6">
      <w:pPr>
        <w:pStyle w:val="Heading2"/>
      </w:pPr>
      <w:r>
        <w:t>5</w:t>
      </w:r>
      <w:r w:rsidR="00000000">
        <w:t>.7 Conclusion</w:t>
      </w:r>
    </w:p>
    <w:p w:rsidR="005C7DD0" w:rsidRDefault="00000000">
      <w:pPr>
        <w:spacing w:line="360" w:lineRule="auto"/>
        <w:jc w:val="both"/>
      </w:pPr>
      <w:r>
        <w:rPr>
          <w:sz w:val="22"/>
        </w:rPr>
        <w:t>The comprehensive verification and validation presented in this chapter confirms that the Vertical Auger Filling system for NaCl packaging meets all specified performance criteria and aligns with industry standards. The design parameters have been substantiated through multiple validation pathways, ensuring high operational reliability for salt packaging applications. The system is validated for production implementation with confidence in its structural integrity, dosing accuracy, and long-term operational reliability.</w:t>
      </w:r>
    </w:p>
    <w:p w:rsidR="005C7DD0" w:rsidRDefault="005C7DD0">
      <w:pPr>
        <w:sectPr w:rsidR="005C7DD0">
          <w:headerReference w:type="default" r:id="rId10"/>
          <w:footerReference w:type="default" r:id="rId11"/>
          <w:pgSz w:w="11906" w:h="16838"/>
          <w:pgMar w:top="1440" w:right="1440" w:bottom="1440" w:left="1440" w:header="720" w:footer="720" w:gutter="0"/>
          <w:cols w:space="720"/>
        </w:sectPr>
      </w:pPr>
    </w:p>
    <w:p w:rsidR="005A1F56" w:rsidRDefault="005A1F56"/>
    <w:sectPr w:rsidR="005A1F5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A1F56" w:rsidRDefault="005A1F56">
      <w:pPr>
        <w:spacing w:after="0" w:line="240" w:lineRule="auto"/>
      </w:pPr>
      <w:r>
        <w:separator/>
      </w:r>
    </w:p>
  </w:endnote>
  <w:endnote w:type="continuationSeparator" w:id="0">
    <w:p w:rsidR="005A1F56" w:rsidRDefault="005A1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7DD0" w:rsidRDefault="00000000">
    <w:pPr>
      <w:jc w:val="center"/>
    </w:pPr>
    <w:r>
      <w:rPr>
        <w:color w:val="7A7A8A"/>
        <w:sz w:val="18"/>
      </w:rP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A1F56" w:rsidRDefault="005A1F56">
      <w:pPr>
        <w:spacing w:after="0" w:line="240" w:lineRule="auto"/>
      </w:pPr>
      <w:r>
        <w:separator/>
      </w:r>
    </w:p>
  </w:footnote>
  <w:footnote w:type="continuationSeparator" w:id="0">
    <w:p w:rsidR="005A1F56" w:rsidRDefault="005A1F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C7DD0" w:rsidRDefault="00000000">
    <w:pPr>
      <w:jc w:val="center"/>
    </w:pPr>
    <w:r>
      <w:rPr>
        <w:color w:val="7A7A8A"/>
        <w:sz w:val="18"/>
      </w:rPr>
      <w:t xml:space="preserve">Chapter </w:t>
    </w:r>
    <w:r w:rsidR="002D684A">
      <w:rPr>
        <w:color w:val="7A7A8A"/>
        <w:sz w:val="18"/>
      </w:rPr>
      <w:t>5</w:t>
    </w:r>
    <w:r>
      <w:rPr>
        <w:color w:val="7A7A8A"/>
        <w:sz w:val="18"/>
      </w:rPr>
      <w:t xml:space="preserve"> - Results, Discussion, and Validation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55109"/>
    <w:multiLevelType w:val="multilevel"/>
    <w:tmpl w:val="3A7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A5E6B"/>
    <w:multiLevelType w:val="multilevel"/>
    <w:tmpl w:val="00A6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8B0E68"/>
    <w:multiLevelType w:val="multilevel"/>
    <w:tmpl w:val="A0AA3338"/>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15591191">
    <w:abstractNumId w:val="2"/>
  </w:num>
  <w:num w:numId="2" w16cid:durableId="1894460158">
    <w:abstractNumId w:val="0"/>
  </w:num>
  <w:num w:numId="3" w16cid:durableId="1211529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7DD0"/>
    <w:rsid w:val="002D684A"/>
    <w:rsid w:val="005A1F56"/>
    <w:rsid w:val="005C7DD0"/>
    <w:rsid w:val="00856993"/>
    <w:rsid w:val="009C7047"/>
    <w:rsid w:val="00A57129"/>
    <w:rsid w:val="00CB0DF7"/>
    <w:rsid w:val="00DF1BCA"/>
    <w:rsid w:val="00E71C7D"/>
    <w:rsid w:val="00E76C76"/>
    <w:rsid w:val="00EC24B6"/>
    <w:rsid w:val="00F057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AF3EB"/>
  <w15:docId w15:val="{2078792B-856B-43CF-90E7-508A16989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pPr>
    <w:rPr>
      <w:rFonts w:ascii="Times New Roman" w:hAnsi="Times New Roman"/>
      <w:color w:val="1A1A2E"/>
      <w:sz w:val="24"/>
    </w:rPr>
  </w:style>
  <w:style w:type="paragraph" w:styleId="Heading1">
    <w:name w:val="heading 1"/>
    <w:basedOn w:val="Normal"/>
    <w:uiPriority w:val="9"/>
    <w:qFormat/>
    <w:pPr>
      <w:keepNext/>
      <w:keepLines/>
      <w:spacing w:before="400" w:after="300" w:line="240" w:lineRule="auto"/>
      <w:jc w:val="center"/>
      <w:outlineLvl w:val="0"/>
    </w:pPr>
    <w:rPr>
      <w:b/>
      <w:caps/>
      <w:color w:val="1E3A5F"/>
      <w:sz w:val="48"/>
    </w:rPr>
  </w:style>
  <w:style w:type="paragraph" w:styleId="Heading2">
    <w:name w:val="heading 2"/>
    <w:basedOn w:val="Normal"/>
    <w:uiPriority w:val="9"/>
    <w:unhideWhenUsed/>
    <w:qFormat/>
    <w:pPr>
      <w:keepNext/>
      <w:keepLines/>
      <w:spacing w:before="400"/>
      <w:outlineLvl w:val="1"/>
    </w:pPr>
    <w:rPr>
      <w:b/>
      <w:color w:val="1E3A5F"/>
      <w:sz w:val="28"/>
    </w:rPr>
  </w:style>
  <w:style w:type="paragraph" w:styleId="Heading3">
    <w:name w:val="heading 3"/>
    <w:basedOn w:val="Normal"/>
    <w:uiPriority w:val="9"/>
    <w:unhideWhenUsed/>
    <w:qFormat/>
    <w:pPr>
      <w:keepNext/>
      <w:keepLines/>
      <w:spacing w:before="280" w:after="120"/>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120" w:after="300"/>
      <w:jc w:val="center"/>
    </w:pPr>
    <w:rPr>
      <w:i/>
      <w:color w:val="4A4A5A"/>
      <w:sz w:val="20"/>
    </w:rPr>
  </w:style>
  <w:style w:type="paragraph" w:styleId="Header">
    <w:name w:val="header"/>
    <w:basedOn w:val="Normal"/>
    <w:link w:val="HeaderChar"/>
    <w:uiPriority w:val="99"/>
    <w:unhideWhenUsed/>
    <w:rsid w:val="002D684A"/>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684A"/>
    <w:rPr>
      <w:rFonts w:ascii="Times New Roman" w:hAnsi="Times New Roman"/>
      <w:color w:val="1A1A2E"/>
      <w:sz w:val="24"/>
    </w:rPr>
  </w:style>
  <w:style w:type="paragraph" w:styleId="Footer">
    <w:name w:val="footer"/>
    <w:basedOn w:val="Normal"/>
    <w:link w:val="FooterChar"/>
    <w:uiPriority w:val="99"/>
    <w:unhideWhenUsed/>
    <w:rsid w:val="002D684A"/>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684A"/>
    <w:rPr>
      <w:rFonts w:ascii="Times New Roman" w:hAnsi="Times New Roman"/>
      <w:color w:val="1A1A2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4421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9</Pages>
  <Words>1888</Words>
  <Characters>10767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ATC</cp:lastModifiedBy>
  <cp:revision>3</cp:revision>
  <dcterms:created xsi:type="dcterms:W3CDTF">2026-04-05T08:01:00Z</dcterms:created>
  <dcterms:modified xsi:type="dcterms:W3CDTF">2026-04-05T10:47:00Z</dcterms:modified>
</cp:coreProperties>
</file>