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مقدمة تفصيلية لآلة التعبئة والتغليف العمودية (VFFS) للمساحيق الدقيقة</w:t>
      </w:r>
    </w:p>
    <w:p>
      <w:pPr>
        <w:pStyle w:val="Heading2"/>
        <w:pStyle w:val="MdHeading2"/>
      </w:pPr>
      <w:r>
        <w:t xml:space="preserve">1. ماهية آلة التعبئة والتغليف العمودية (VFFS)</w:t>
      </w:r>
    </w:p>
    <w:p>
      <w:pPr>
        <w:pStyle w:val="MdParagraph"/>
      </w:pPr>
      <w:r>
        <w:t xml:space="preserve">تُعد آلة التعبئة والتغليف العمودية، المعروفة اختصارًا بـ VFFS (Vertical Form Fill Seal)، حجر الزاوية في صناعة التعبئة الحديثة، حيث توفر حلاً متكاملاً وفعالاً لتعبئة مجموعة واسعة من المنتجات، لا سيما المساحيق الدقيقة مثل الملح والسكر والقهوة. تعتمد هذه الآلة على مبدأ التشكيل والتعبئة والختم العمودي، مما يعني أنها تقوم بتشكيل الكيس من لفة فيلم مسطحة، ثم تعبئته بالمنتج، وأخيرًا تقوم بختمه وإغلاقه، كل ذلك في تسلسل آلي واحد. هذا التصميم المبتكر يقلل من الحاجة إلى أكياس جاهزة مسبقًا، مما يوفر في التكاليف ويزيد من مرونة الإنتاج.</w:t>
      </w:r>
    </w:p>
    <w:p>
      <w:pPr>
        <w:pStyle w:val="MdSpace"/>
        <w:spacing w:before="0" w:after="60"/>
      </w:pPr>
    </w:p>
    <w:p>
      <w:pPr>
        <w:pStyle w:val="MdParagraph"/>
      </w:pPr>
      <w:r>
        <w:t xml:space="preserve">في سياق مشروعنا الهندسي الشامل، نركز على تصميم وتحليل آلة VFFS مخصصة لتعبئة الملح الناعم، وهو منتج يتطلب دقة عالية في التعبئة ومعالجة خاصة نظرًا لخصائصه الفيزيائية. تهدف هذه الآلة إلى تعبئة أكياس بوزن 500 جرام بمعدل إنتاج يتراوح بين 15 إلى 30 كيسًا في الدقيقة، مع زمن تعبئة محدد بدقة يبلغ 2.0 ثانية لكل كيس. هذه المواصفات تضع متطلبات صارمة على جميع المكونات الميكانيكية والكهربائية ونظام التحكم لضمان الأداء الأمثل والموثوقية العالية.</w:t>
      </w:r>
    </w:p>
    <w:p>
      <w:pPr>
        <w:pStyle w:val="MdSpace"/>
        <w:spacing w:before="0" w:after="60"/>
      </w:pPr>
    </w:p>
    <w:p>
      <w:pPr>
        <w:pStyle w:val="MdParagraph"/>
      </w:pPr>
      <w:r>
        <w:t xml:space="preserve">تتميز آلات VFFS بقدرتها على التعامل مع أنواع مختلفة من مواد التعبئة، مثل الأفلام البلاستيكية المرنة، وتوفير خيارات متعددة للختم، مما يجعلها مناسبة لمجموعة واسعة من التطبيقات الصناعية. إن كفاءتها في استخدام المساحة، وسرعتها العالية، وقدرتها على الأتمتة الكاملة، تجعلها خيارًا مفضلاً للمصنعين الذين يسعون إلى تحسين خطوط إنتاجهم وتقليل التكاليف التشغيلية.</w:t>
      </w:r>
    </w:p>
    <w:p>
      <w:pPr>
        <w:pStyle w:val="MdSpace"/>
        <w:spacing w:before="0" w:after="60"/>
      </w:pPr>
    </w:p>
    <w:p>
      <w:pPr>
        <w:pStyle w:val="Heading2"/>
        <w:pStyle w:val="MdHeading2"/>
      </w:pPr>
      <w:r>
        <w:t xml:space="preserve">2. أهداف ومميزات الآلة</w:t>
      </w:r>
    </w:p>
    <w:p>
      <w:pPr>
        <w:pStyle w:val="MdParagraph"/>
      </w:pPr>
      <w:r>
        <w:t xml:space="preserve">يهدف تصميم آلة VFFS هذه إلى تحقيق مجموعة من الأهداف الاستراتيجية والتشغيلية، والتي تنعكس في مميزاتها الفنية والوظيفية:</w:t>
      </w:r>
    </w:p>
    <w:p>
      <w:pPr>
        <w:pStyle w:val="MdSpace"/>
        <w:spacing w:before="0" w:after="60"/>
      </w:pPr>
    </w:p>
    <w:p>
      <w:pPr>
        <w:pStyle w:val="Heading3"/>
        <w:pStyle w:val="MdHeading3"/>
      </w:pPr>
      <w:r>
        <w:t xml:space="preserve">2.1. الأهداف الرئيسية</w:t>
      </w:r>
    </w:p>
    <w:p>
      <w:pPr>
        <w:pStyle w:val="MdListItem"/>
        <w:numPr>
          <w:ilvl w:val="0"/>
          <w:numId w:val="2"/>
        </w:numPr>
      </w:pPr>
      <w:r>
        <w:rPr>
          <w:rStyle w:val="MdStrong"/>
          <w:b/>
          <w:bCs/>
        </w:rPr>
        <w:t xml:space="preserve">تحقيق دقة عالية في التعبئة:</w:t>
      </w:r>
      <w:r>
        <w:t xml:space="preserve"> ضمان أن كل كيس يحتوي على الكمية المحددة بدقة من الملح (500 جرام)، وهو أمر حيوي للامتثال للمعايير التنظيمية ورضا المستهلك. يتم تحقيق ذلك من خلال نظام التعبئة اللولبي (Auger Filler) الذي يوفر تحكمًا حجميًا دقيقًا.</w:t>
      </w:r>
    </w:p>
    <w:p>
      <w:pPr>
        <w:pStyle w:val="MdListItem"/>
        <w:numPr>
          <w:ilvl w:val="0"/>
          <w:numId w:val="2"/>
        </w:numPr>
      </w:pPr>
      <w:r>
        <w:rPr>
          <w:rStyle w:val="MdStrong"/>
          <w:b/>
          <w:bCs/>
        </w:rPr>
        <w:t xml:space="preserve">زيادة كفاءة الإنتاج:</w:t>
      </w:r>
      <w:r>
        <w:t xml:space="preserve"> الوصول إلى معدلات إنتاج تتراوح بين 15 إلى 30 كيسًا في الدقيقة، مما يساهم في تلبية الطلب المتزايد على المنتجات المعبأة وتقليل وقت التوقف.</w:t>
      </w:r>
    </w:p>
    <w:p>
      <w:pPr>
        <w:pStyle w:val="MdListItem"/>
        <w:numPr>
          <w:ilvl w:val="0"/>
          <w:numId w:val="2"/>
        </w:numPr>
      </w:pPr>
      <w:r>
        <w:rPr>
          <w:rStyle w:val="MdStrong"/>
          <w:b/>
          <w:bCs/>
        </w:rPr>
        <w:t xml:space="preserve">ضمان جودة المنتج وسلامته:</w:t>
      </w:r>
      <w:r>
        <w:t xml:space="preserve"> الحفاظ على جودة الملح ومنع تلوثه من خلال استخدام مواد عالية الجودة ومقاومة للتآكل مثل الفولاذ المقاوم للصدأ SS316L، وتصميم يسهل التنظيف والصيانة.</w:t>
      </w:r>
    </w:p>
    <w:p>
      <w:pPr>
        <w:pStyle w:val="MdListItem"/>
        <w:numPr>
          <w:ilvl w:val="0"/>
          <w:numId w:val="2"/>
        </w:numPr>
      </w:pPr>
      <w:r>
        <w:rPr>
          <w:rStyle w:val="MdStrong"/>
          <w:b/>
          <w:bCs/>
        </w:rPr>
        <w:t xml:space="preserve">تقليل الفاقد:</w:t>
      </w:r>
      <w:r>
        <w:t xml:space="preserve"> تصميم الآلة لتقليل هدر المنتج ومواد التعبئة، مما يعزز الاستدامة ويخفض التكاليف التشغيلية.</w:t>
      </w:r>
    </w:p>
    <w:p>
      <w:pPr>
        <w:pStyle w:val="MdListItem"/>
        <w:numPr>
          <w:ilvl w:val="0"/>
          <w:numId w:val="2"/>
        </w:numPr>
      </w:pPr>
      <w:r>
        <w:rPr>
          <w:rStyle w:val="MdStrong"/>
          <w:b/>
          <w:bCs/>
        </w:rPr>
        <w:t xml:space="preserve">الأتمتة والتحكم الدقيق:</w:t>
      </w:r>
      <w:r>
        <w:t xml:space="preserve"> توفير نظام تحكم آلي (باستخدام ESP) يتيح التشغيل السلس، والمراقبة المستمرة، والضبط الدقيق لجميع مراحل عملية التعبئة والتغليف.</w:t>
      </w:r>
    </w:p>
    <w:p>
      <w:pPr>
        <w:pStyle w:val="MdSpace"/>
        <w:spacing w:before="0" w:after="60"/>
      </w:pPr>
    </w:p>
    <w:p>
      <w:pPr>
        <w:pStyle w:val="Heading3"/>
        <w:pStyle w:val="MdHeading3"/>
      </w:pPr>
      <w:r>
        <w:t xml:space="preserve">2.2. المميزات الفنية والتشغيلية</w:t>
      </w:r>
    </w:p>
    <w:p>
      <w:pPr>
        <w:pStyle w:val="MdParagraph"/>
      </w:pPr>
      <w:r>
        <w:t xml:space="preserve">تتجسد الأهداف المذكورة أعلاه في مجموعة من المميزات التي تجعل هذه الآلة خيارًا مثاليًا لتعبئة المساحيق الدقيقة:</w:t>
      </w:r>
    </w:p>
    <w:p>
      <w:pPr>
        <w:pStyle w:val="MdSpace"/>
        <w:spacing w:before="0" w:after="60"/>
      </w:pPr>
    </w:p>
    <w:p>
      <w:pPr>
        <w:pStyle w:val="MdListItem"/>
        <w:numPr>
          <w:ilvl w:val="0"/>
          <w:numId w:val="2"/>
        </w:numPr>
      </w:pPr>
      <w:r>
        <w:rPr>
          <w:rStyle w:val="MdStrong"/>
          <w:b/>
          <w:bCs/>
        </w:rPr>
        <w:t xml:space="preserve">دقة التعبئة الفائقة:</w:t>
      </w:r>
      <w:r>
        <w:t xml:space="preserve"> بفضل نظام التعبئة اللولبي الذي يعتمد على التحكم الحجمي الدقيق، يمكن للآلة تحقيق تفاوتات ضئيلة جدًا في وزن المنتج المعبأ. هذا النظام، الذي تم تحليله بعمق في هذا المشروع، يضمن أن كل لفة من اللولب تقوم بتفريغ حجم ثابت من الملح، مما يترجم إلى وزن دقيق.</w:t>
      </w:r>
    </w:p>
    <w:p>
      <w:pPr>
        <w:pStyle w:val="MdListItem"/>
        <w:numPr>
          <w:ilvl w:val="0"/>
          <w:numId w:val="2"/>
        </w:numPr>
      </w:pPr>
      <w:r>
        <w:rPr>
          <w:rStyle w:val="MdStrong"/>
          <w:b/>
          <w:bCs/>
        </w:rPr>
        <w:t xml:space="preserve">كفاءة إنتاجية عالية:</w:t>
      </w:r>
      <w:r>
        <w:t xml:space="preserve"> القدرة على معالجة عدد كبير من الأكياس في الدقيقة الواحدة، مما يجعلها مناسبة لخطوط الإنتاج ذات الحجم الكبير. يتم دعم هذه الكفاءة من خلال التصميم الميكانيكي المحسن ونظام التحكم السريع الاستجابة.</w:t>
      </w:r>
    </w:p>
    <w:p>
      <w:pPr>
        <w:pStyle w:val="MdListItem"/>
        <w:numPr>
          <w:ilvl w:val="0"/>
          <w:numId w:val="2"/>
        </w:numPr>
      </w:pPr>
      <w:r>
        <w:rPr>
          <w:rStyle w:val="MdStrong"/>
          <w:b/>
          <w:bCs/>
        </w:rPr>
        <w:t xml:space="preserve">مرونة في التعامل مع المنتجات:</w:t>
      </w:r>
      <w:r>
        <w:t xml:space="preserve"> على الرغم من تخصيصها للملح الناعم، فإن تصميم الآلة يسمح ببعض المرونة في التعامل مع مساحيق دقيقة أخرى ذات خصائص تدفق مماثلة، مع إمكانية تعديل بعض المعلمات التشغيلية.</w:t>
      </w:r>
    </w:p>
    <w:p>
      <w:pPr>
        <w:pStyle w:val="MdListItem"/>
        <w:numPr>
          <w:ilvl w:val="0"/>
          <w:numId w:val="2"/>
        </w:numPr>
      </w:pPr>
      <w:r>
        <w:rPr>
          <w:rStyle w:val="MdStrong"/>
          <w:b/>
          <w:bCs/>
        </w:rPr>
        <w:t xml:space="preserve">تصميم صحي ومقاوم للتآكل:</w:t>
      </w:r>
      <w:r>
        <w:t xml:space="preserve"> استخدام الفولاذ المقاوم للصدأ من نوع SS316L في جميع الأجزاء الملامسة للمنتج يضمن مقاومة ممتازة للتآكل الناتج عن الملح، ويحافظ على المعايير الصحية العالية المطلوبة في صناعة الأغذية.</w:t>
      </w:r>
    </w:p>
    <w:p>
      <w:pPr>
        <w:pStyle w:val="MdListItem"/>
        <w:numPr>
          <w:ilvl w:val="0"/>
          <w:numId w:val="2"/>
        </w:numPr>
      </w:pPr>
      <w:r>
        <w:rPr>
          <w:rStyle w:val="MdStrong"/>
          <w:b/>
          <w:bCs/>
        </w:rPr>
        <w:t xml:space="preserve">أتمتة متقدمة:</w:t>
      </w:r>
      <w:r>
        <w:t xml:space="preserve"> يعتمد نظام التحكم على وحدة ESP (مثل ESP32) التي توفر قدرات أتمتة متقدمة، بما في ذلك التحكم في سرعة المحركات، ومراقبة الحساسات، وإدارة تسلسل العمليات. هذا يقلل من الحاجة إلى التدخل البشري ويزيد من موثوقية التشغيل.</w:t>
      </w:r>
    </w:p>
    <w:p>
      <w:pPr>
        <w:pStyle w:val="MdListItem"/>
        <w:numPr>
          <w:ilvl w:val="0"/>
          <w:numId w:val="2"/>
        </w:numPr>
      </w:pPr>
      <w:r>
        <w:rPr>
          <w:rStyle w:val="MdStrong"/>
          <w:b/>
          <w:bCs/>
        </w:rPr>
        <w:t xml:space="preserve">سهولة التشغيل والصيانة:</w:t>
      </w:r>
      <w:r>
        <w:t xml:space="preserve"> تصميم الآلة يأخذ في الاعتبار سهولة الوصول إلى المكونات الرئيسية للصيانة الدورية، بالإضافة إلى واجهة مستخدم (HMI) بسيطة لتسهيل عملية التشغيل وتغيير الإعدادات.</w:t>
      </w:r>
    </w:p>
    <w:p>
      <w:pPr>
        <w:pStyle w:val="MdListItem"/>
        <w:numPr>
          <w:ilvl w:val="0"/>
          <w:numId w:val="2"/>
        </w:numPr>
      </w:pPr>
      <w:r>
        <w:rPr>
          <w:rStyle w:val="MdStrong"/>
          <w:b/>
          <w:bCs/>
        </w:rPr>
        <w:t xml:space="preserve">تقليل وقت التوقف:</w:t>
      </w:r>
      <w:r>
        <w:t xml:space="preserve"> من خلال التصميم القوي والموثوقية العالية للمكونات، تهدف الآلة إلى تقليل فترات التوقف غير المخطط لها، مما يزيد من الإنتاجية الإجمالية.</w:t>
      </w:r>
    </w:p>
    <w:p>
      <w:pPr>
        <w:pStyle w:val="MdSpace"/>
        <w:spacing w:before="0" w:after="60"/>
      </w:pPr>
    </w:p>
    <w:p>
      <w:pPr>
        <w:pStyle w:val="Heading2"/>
        <w:pStyle w:val="MdHeading2"/>
      </w:pPr>
      <w:r>
        <w:t xml:space="preserve">3. مراحل العمل الرئيسية لآلة VFFS</w:t>
      </w:r>
    </w:p>
    <w:p>
      <w:pPr>
        <w:pStyle w:val="MdParagraph"/>
      </w:pPr>
      <w:r>
        <w:t xml:space="preserve">تتضمن عملية التعبئة والتغليف في آلة VFFS عدة مراحل متسلسلة ومتكاملة، تعمل جميعها بتنسيق دقيق لإنتاج الكيس النهائي. يمكن تقسيم هذه المراحل إلى ثلاثة أقسام رئيسية:</w:t>
      </w:r>
    </w:p>
    <w:p>
      <w:pPr>
        <w:pStyle w:val="MdSpace"/>
        <w:spacing w:before="0" w:after="60"/>
      </w:pPr>
    </w:p>
    <w:p>
      <w:pPr>
        <w:pStyle w:val="Heading3"/>
        <w:pStyle w:val="MdHeading3"/>
      </w:pPr>
      <w:r>
        <w:t xml:space="preserve">3.1. نظام تغذية المنتج والتعبئة (Product Feeding and Filling System)</w:t>
      </w:r>
    </w:p>
    <w:p>
      <w:pPr>
        <w:pStyle w:val="MdParagraph"/>
      </w:pPr>
      <w:r>
        <w:t xml:space="preserve">هذا هو قلب عملية التعبئة، حيث يتم نقل المنتج من القادوس إلى الكيس بدقة متناهية. يتكون هذا النظام بشكل أساسي من القادوس، الخلاط، واللولب.</w:t>
      </w:r>
    </w:p>
    <w:p>
      <w:pPr>
        <w:pStyle w:val="MdSpace"/>
        <w:spacing w:before="0" w:after="60"/>
      </w:pPr>
    </w:p>
    <w:p>
      <w:pPr>
        <w:pStyle w:val="Heading4"/>
        <w:pStyle w:val="MdHeading4"/>
      </w:pPr>
      <w:r>
        <w:t xml:space="preserve">3.1.1. القادوس (Hopper)</w:t>
      </w:r>
    </w:p>
    <w:p>
      <w:pPr>
        <w:pStyle w:val="MdListItem"/>
        <w:numPr>
          <w:ilvl w:val="0"/>
          <w:numId w:val="2"/>
        </w:numPr>
      </w:pPr>
      <w:r>
        <w:rPr>
          <w:rStyle w:val="MdStrong"/>
          <w:b/>
          <w:bCs/>
        </w:rPr>
        <w:t xml:space="preserve">الوظيفة:</w:t>
      </w:r>
      <w:r>
        <w:t xml:space="preserve"> يعمل القادوس كخزان للمنتج (الملح الناعم) قبل أن يتم تغذيته إلى نظام التعبئة اللولبي. تصميمه حاسم لضمان تدفق سلس ومستمر للمنتج دون حدوث تكتل أو تكوين جسور (Bridging).</w:t>
      </w:r>
    </w:p>
    <w:p>
      <w:pPr>
        <w:pStyle w:val="MdListItem"/>
        <w:numPr>
          <w:ilvl w:val="0"/>
          <w:numId w:val="2"/>
        </w:numPr>
      </w:pPr>
      <w:r>
        <w:rPr>
          <w:rStyle w:val="MdStrong"/>
          <w:b/>
          <w:bCs/>
        </w:rPr>
        <w:t xml:space="preserve">المواصفات الفنية:</w:t>
      </w:r>
    </w:p>
    <w:p>
      <w:pPr>
        <w:pStyle w:val="MdListItem"/>
        <w:numPr>
          <w:ilvl w:val="1"/>
          <w:numId w:val="2"/>
        </w:numPr>
      </w:pPr>
      <w:r>
        <w:rPr>
          <w:rStyle w:val="MdStrong"/>
          <w:b/>
          <w:bCs/>
        </w:rPr>
        <w:t xml:space="preserve">السعة:</w:t>
      </w:r>
      <w:r>
        <w:t xml:space="preserve"> 20 لترًا، وهو ما يعادل تقريبًا 26 كيلوجرامًا من الملح (بناءً على كثافة الملح الظاهرية 1300 كجم/م³).</w:t>
      </w:r>
    </w:p>
    <w:p>
      <w:pPr>
        <w:pStyle w:val="MdListItem"/>
        <w:numPr>
          <w:ilvl w:val="1"/>
          <w:numId w:val="2"/>
        </w:numPr>
      </w:pPr>
      <w:r>
        <w:rPr>
          <w:rStyle w:val="MdStrong"/>
          <w:b/>
          <w:bCs/>
        </w:rPr>
        <w:t xml:space="preserve">المادة:</w:t>
      </w:r>
      <w:r>
        <w:t xml:space="preserve"> الفولاذ المقاوم للصدأ SS316L، لضمان مقاومة التآكل والنظافة الصحية.</w:t>
      </w:r>
    </w:p>
    <w:p>
      <w:pPr>
        <w:pStyle w:val="MdListItem"/>
        <w:numPr>
          <w:ilvl w:val="1"/>
          <w:numId w:val="2"/>
        </w:numPr>
      </w:pPr>
      <w:r>
        <w:rPr>
          <w:rStyle w:val="MdStrong"/>
          <w:b/>
          <w:bCs/>
        </w:rPr>
        <w:t xml:space="preserve">زاوية الجدار:</w:t>
      </w:r>
      <w:r>
        <w:t xml:space="preserve"> 60 درجة. هذه الزاوية حاسمة لضمان </w:t>
      </w:r>
      <w:r>
        <w:rPr>
          <w:rStyle w:val="MdStrong"/>
          <w:b/>
          <w:bCs/>
        </w:rPr>
        <w:t xml:space="preserve">التدفق الكتلي (Mass Flow)</w:t>
      </w:r>
      <w:r>
        <w:t xml:space="preserve"> للملح، حيث تتحرك جميع طبقات الملح في القادوس معًا، مما يمنع تكوين مناطق راكدة ويضمن تدفقًا متجانسًا للمنتج إلى اللولب. هذا يختلف عن التدفق النفقي (Funnel Flow) الذي قد يؤدي إلى مشاكل في التعبئة.</w:t>
      </w:r>
    </w:p>
    <w:p>
      <w:pPr>
        <w:pStyle w:val="MdListItem"/>
        <w:numPr>
          <w:ilvl w:val="1"/>
          <w:numId w:val="2"/>
        </w:numPr>
      </w:pPr>
      <w:r>
        <w:rPr>
          <w:rStyle w:val="MdStrong"/>
          <w:b/>
          <w:bCs/>
        </w:rPr>
        <w:t xml:space="preserve">الأبعاد الهندسية:</w:t>
      </w:r>
      <w:r>
        <w:t xml:space="preserve"> قطر علوي 446 ملم، قطر سفلي (مخرج) 65 ملم، وارتفاع 330 ملم.</w:t>
      </w:r>
    </w:p>
    <w:p>
      <w:pPr>
        <w:pStyle w:val="MdSpace"/>
        <w:spacing w:before="0" w:after="60"/>
      </w:pPr>
    </w:p>
    <w:p>
      <w:pPr>
        <w:pStyle w:val="Heading4"/>
        <w:pStyle w:val="MdHeading4"/>
      </w:pPr>
      <w:r>
        <w:t xml:space="preserve">3.1.2. الخلاط الداخلي (Agitator / Rotary Plate)</w:t>
      </w:r>
    </w:p>
    <w:p>
      <w:pPr>
        <w:pStyle w:val="MdListItem"/>
        <w:numPr>
          <w:ilvl w:val="0"/>
          <w:numId w:val="2"/>
        </w:numPr>
      </w:pPr>
      <w:r>
        <w:rPr>
          <w:rStyle w:val="MdStrong"/>
          <w:b/>
          <w:bCs/>
        </w:rPr>
        <w:t xml:space="preserve">الوظيفة:</w:t>
      </w:r>
      <w:r>
        <w:t xml:space="preserve"> يدور الخلاط داخل القادوس، فوق اللولب مباشرة، لمنع الملح من التكتل أو تكوين جسور فوق فتحة اللولب. يضمن هذا التدفق المستمر للمنتج إلى اللولب، مما يحافظ على دقة التعبئة ويمنع توقف الآلة.</w:t>
      </w:r>
    </w:p>
    <w:p>
      <w:pPr>
        <w:pStyle w:val="MdListItem"/>
        <w:numPr>
          <w:ilvl w:val="0"/>
          <w:numId w:val="2"/>
        </w:numPr>
      </w:pPr>
      <w:r>
        <w:rPr>
          <w:rStyle w:val="MdStrong"/>
          <w:b/>
          <w:bCs/>
        </w:rPr>
        <w:t xml:space="preserve">المواصفات الفنية (الصحن الدوار):</w:t>
      </w:r>
    </w:p>
    <w:p>
      <w:pPr>
        <w:pStyle w:val="MdListItem"/>
        <w:numPr>
          <w:ilvl w:val="1"/>
          <w:numId w:val="2"/>
        </w:numPr>
      </w:pPr>
      <w:r>
        <w:rPr>
          <w:rStyle w:val="MdStrong"/>
          <w:b/>
          <w:bCs/>
        </w:rPr>
        <w:t xml:space="preserve">القطر الخارجي:</w:t>
      </w:r>
      <w:r>
        <w:t xml:space="preserve"> 80 ملم.</w:t>
      </w:r>
    </w:p>
    <w:p>
      <w:pPr>
        <w:pStyle w:val="MdListItem"/>
        <w:numPr>
          <w:ilvl w:val="1"/>
          <w:numId w:val="2"/>
        </w:numPr>
      </w:pPr>
      <w:r>
        <w:rPr>
          <w:rStyle w:val="MdStrong"/>
          <w:b/>
          <w:bCs/>
        </w:rPr>
        <w:t xml:space="preserve">قطر القطع (الداخلي):</w:t>
      </w:r>
      <w:r>
        <w:t xml:space="preserve"> 14 ملم.</w:t>
      </w:r>
    </w:p>
    <w:p>
      <w:pPr>
        <w:pStyle w:val="MdListItem"/>
        <w:numPr>
          <w:ilvl w:val="1"/>
          <w:numId w:val="2"/>
        </w:numPr>
      </w:pPr>
      <w:r>
        <w:rPr>
          <w:rStyle w:val="MdStrong"/>
          <w:b/>
          <w:bCs/>
        </w:rPr>
        <w:t xml:space="preserve">القطر عند الحافة المائلة (60°):</w:t>
      </w:r>
      <w:r>
        <w:t xml:space="preserve"> 120 ملم.</w:t>
      </w:r>
    </w:p>
    <w:p>
      <w:pPr>
        <w:pStyle w:val="MdListItem"/>
        <w:numPr>
          <w:ilvl w:val="1"/>
          <w:numId w:val="2"/>
        </w:numPr>
      </w:pPr>
      <w:r>
        <w:rPr>
          <w:rStyle w:val="MdStrong"/>
          <w:b/>
          <w:bCs/>
        </w:rPr>
        <w:t xml:space="preserve">الارتفاع:</w:t>
      </w:r>
      <w:r>
        <w:t xml:space="preserve"> 15 ملم.</w:t>
      </w:r>
    </w:p>
    <w:p>
      <w:pPr>
        <w:pStyle w:val="MdListItem"/>
        <w:numPr>
          <w:ilvl w:val="1"/>
          <w:numId w:val="2"/>
        </w:numPr>
      </w:pPr>
      <w:r>
        <w:rPr>
          <w:rStyle w:val="MdStrong"/>
          <w:b/>
          <w:bCs/>
        </w:rPr>
        <w:t xml:space="preserve">السماكة:</w:t>
      </w:r>
      <w:r>
        <w:t xml:space="preserve"> 3 ملم.</w:t>
      </w:r>
    </w:p>
    <w:p>
      <w:pPr>
        <w:pStyle w:val="MdListItem"/>
        <w:numPr>
          <w:ilvl w:val="1"/>
          <w:numId w:val="2"/>
        </w:numPr>
      </w:pPr>
      <w:r>
        <w:rPr>
          <w:rStyle w:val="MdStrong"/>
          <w:b/>
          <w:bCs/>
        </w:rPr>
        <w:t xml:space="preserve">مساحة الوجه الذي سيحتوي الملح:</w:t>
      </w:r>
      <w:r>
        <w:t xml:space="preserve"> 900.7 ملم².</w:t>
      </w:r>
    </w:p>
    <w:p>
      <w:pPr>
        <w:pStyle w:val="MdListItem"/>
        <w:numPr>
          <w:ilvl w:val="1"/>
          <w:numId w:val="2"/>
        </w:numPr>
      </w:pPr>
      <w:r>
        <w:rPr>
          <w:rStyle w:val="MdStrong"/>
          <w:b/>
          <w:bCs/>
        </w:rPr>
        <w:t xml:space="preserve">كتلة الملح فوق الصحن:</w:t>
      </w:r>
      <w:r>
        <w:t xml:space="preserve"> حوالي 0.0176 كيلوجرام (17.6 جرام).</w:t>
      </w:r>
    </w:p>
    <w:p>
      <w:pPr>
        <w:pStyle w:val="MdListItem"/>
        <w:numPr>
          <w:ilvl w:val="1"/>
          <w:numId w:val="2"/>
        </w:numPr>
      </w:pPr>
      <w:r>
        <w:rPr>
          <w:rStyle w:val="MdStrong"/>
          <w:b/>
          <w:bCs/>
        </w:rPr>
        <w:t xml:space="preserve">القوة الناتجة عن وزن الملح على الصحن:</w:t>
      </w:r>
      <w:r>
        <w:t xml:space="preserve"> 0.172 نيوتن.</w:t>
      </w:r>
    </w:p>
    <w:p>
      <w:pPr>
        <w:pStyle w:val="MdListItem"/>
        <w:numPr>
          <w:ilvl w:val="1"/>
          <w:numId w:val="2"/>
        </w:numPr>
      </w:pPr>
      <w:r>
        <w:rPr>
          <w:rStyle w:val="MdStrong"/>
          <w:b/>
          <w:bCs/>
        </w:rPr>
        <w:t xml:space="preserve">المحرك:</w:t>
      </w:r>
      <w:r>
        <w:t xml:space="preserve"> يتم تشغيله بواسطة محرك تيار متردد (AC Motor) صغير، عادة ما يكون منفصلاً عن محرك اللولب، ويعمل بسرعات دوران منخفضة (10-30 دورة في الدقيقة) لضمان الخلط اللطيف والفعال.</w:t>
      </w:r>
    </w:p>
    <w:p>
      <w:pPr>
        <w:pStyle w:val="MdSpace"/>
        <w:spacing w:before="0" w:after="60"/>
      </w:pPr>
    </w:p>
    <w:p>
      <w:pPr>
        <w:pStyle w:val="Heading4"/>
        <w:pStyle w:val="MdHeading4"/>
      </w:pPr>
      <w:r>
        <w:t xml:space="preserve">3.1.3. اللولب (Auger Screw)</w:t>
      </w:r>
    </w:p>
    <w:p>
      <w:pPr>
        <w:pStyle w:val="MdListItem"/>
        <w:numPr>
          <w:ilvl w:val="0"/>
          <w:numId w:val="2"/>
        </w:numPr>
      </w:pPr>
      <w:r>
        <w:rPr>
          <w:rStyle w:val="MdStrong"/>
          <w:b/>
          <w:bCs/>
        </w:rPr>
        <w:t xml:space="preserve">الوظيفة:</w:t>
      </w:r>
      <w:r>
        <w:t xml:space="preserve"> هو المكون الرئيسي المسؤول عن قياس وتفريغ الكمية الدقيقة من الملح في كل كيس. يدور اللولب عددًا محددًا من الدورات لتفريغ حجم معين من المنتج.</w:t>
      </w:r>
    </w:p>
    <w:p>
      <w:pPr>
        <w:pStyle w:val="MdListItem"/>
        <w:numPr>
          <w:ilvl w:val="0"/>
          <w:numId w:val="2"/>
        </w:numPr>
      </w:pPr>
      <w:r>
        <w:rPr>
          <w:rStyle w:val="MdStrong"/>
          <w:b/>
          <w:bCs/>
        </w:rPr>
        <w:t xml:space="preserve">المواصفات الفنية:</w:t>
      </w:r>
    </w:p>
    <w:p>
      <w:pPr>
        <w:pStyle w:val="MdListItem"/>
        <w:numPr>
          <w:ilvl w:val="1"/>
          <w:numId w:val="2"/>
        </w:numPr>
      </w:pPr>
      <w:r>
        <w:rPr>
          <w:rStyle w:val="MdStrong"/>
          <w:b/>
          <w:bCs/>
        </w:rPr>
        <w:t xml:space="preserve">المادة:</w:t>
      </w:r>
      <w:r>
        <w:t xml:space="preserve"> الفولاذ المقاوم للصدأ SS316L.</w:t>
      </w:r>
    </w:p>
    <w:p>
      <w:pPr>
        <w:pStyle w:val="MdListItem"/>
        <w:numPr>
          <w:ilvl w:val="1"/>
          <w:numId w:val="2"/>
        </w:numPr>
      </w:pPr>
      <w:r>
        <w:rPr>
          <w:rStyle w:val="MdStrong"/>
          <w:b/>
          <w:bCs/>
        </w:rPr>
        <w:t xml:space="preserve">القطر الخارجي (D):</w:t>
      </w:r>
      <w:r>
        <w:t xml:space="preserve"> 60 ملم.</w:t>
      </w:r>
    </w:p>
    <w:p>
      <w:pPr>
        <w:pStyle w:val="MdListItem"/>
        <w:numPr>
          <w:ilvl w:val="1"/>
          <w:numId w:val="2"/>
        </w:numPr>
      </w:pPr>
      <w:r>
        <w:rPr>
          <w:rStyle w:val="MdStrong"/>
          <w:b/>
          <w:bCs/>
        </w:rPr>
        <w:t xml:space="preserve">قطر العمود (d):</w:t>
      </w:r>
      <w:r>
        <w:t xml:space="preserve"> 16 ملم.</w:t>
      </w:r>
    </w:p>
    <w:p>
      <w:pPr>
        <w:pStyle w:val="MdListItem"/>
        <w:numPr>
          <w:ilvl w:val="1"/>
          <w:numId w:val="2"/>
        </w:numPr>
      </w:pPr>
      <w:r>
        <w:rPr>
          <w:rStyle w:val="MdStrong"/>
          <w:b/>
          <w:bCs/>
        </w:rPr>
        <w:t xml:space="preserve">خطوة اللولب (P):</w:t>
      </w:r>
      <w:r>
        <w:t xml:space="preserve"> 60 ملم (المسافة المحورية بين لفتين متتاليتين).</w:t>
      </w:r>
    </w:p>
    <w:p>
      <w:pPr>
        <w:pStyle w:val="MdListItem"/>
        <w:numPr>
          <w:ilvl w:val="1"/>
          <w:numId w:val="2"/>
        </w:numPr>
      </w:pPr>
      <w:r>
        <w:rPr>
          <w:rStyle w:val="MdStrong"/>
          <w:b/>
          <w:bCs/>
        </w:rPr>
        <w:t xml:space="preserve">زاوية الحلزون (Helix Angle):</w:t>
      </w:r>
      <w:r>
        <w:t xml:space="preserve"> 26.68 درجة. هذه الزاوية تؤثر بشكل مباشر على كفاءة نقل المنتج.</w:t>
      </w:r>
    </w:p>
    <w:p>
      <w:pPr>
        <w:pStyle w:val="MdListItem"/>
        <w:numPr>
          <w:ilvl w:val="1"/>
          <w:numId w:val="2"/>
        </w:numPr>
      </w:pPr>
      <w:r>
        <w:rPr>
          <w:rStyle w:val="MdStrong"/>
          <w:b/>
          <w:bCs/>
        </w:rPr>
        <w:t xml:space="preserve">الحجم النظري لكل لفة:</w:t>
      </w:r>
      <w:r>
        <w:t xml:space="preserve"> 0.0001576 متر مكعب. هذا هو الحجم الأقصى للملح الذي يمكن نقله في دورة واحدة للولب.</w:t>
      </w:r>
    </w:p>
    <w:p>
      <w:pPr>
        <w:pStyle w:val="MdListItem"/>
        <w:numPr>
          <w:ilvl w:val="1"/>
          <w:numId w:val="2"/>
        </w:numPr>
      </w:pPr>
      <w:r>
        <w:rPr>
          <w:rStyle w:val="MdStrong"/>
          <w:b/>
          <w:bCs/>
        </w:rPr>
        <w:t xml:space="preserve">الكتلة النظرية لكل لفة:</w:t>
      </w:r>
      <w:r>
        <w:t xml:space="preserve"> 204.9 جرام (بناءً على كثافة الملح 1300 كجم/م³). هذا يعني أن اللولب يحتاج إلى الدوران حوالي 2.44 لفة لتعبئة كيس بوزن 500 جرام.</w:t>
      </w:r>
    </w:p>
    <w:p>
      <w:pPr>
        <w:pStyle w:val="MdListItem"/>
        <w:numPr>
          <w:ilvl w:val="1"/>
          <w:numId w:val="2"/>
        </w:numPr>
      </w:pPr>
      <w:r>
        <w:rPr>
          <w:rStyle w:val="MdStrong"/>
          <w:b/>
          <w:bCs/>
        </w:rPr>
        <w:t xml:space="preserve">الخلوص الشعاعي (Radial Clearance):</w:t>
      </w:r>
      <w:r>
        <w:t xml:space="preserve"> 1.5 ملم. هذا الخلوص بين اللولب وجدار أنبوب التعبئة ضروري لمنع الاحتكاك الزائد وتلف المنتج، مع الحفاظ على دقة التعبئة.</w:t>
      </w:r>
    </w:p>
    <w:p>
      <w:pPr>
        <w:pStyle w:val="MdListItem"/>
        <w:numPr>
          <w:ilvl w:val="1"/>
          <w:numId w:val="2"/>
        </w:numPr>
      </w:pPr>
      <w:r>
        <w:rPr>
          <w:rStyle w:val="MdStrong"/>
          <w:b/>
          <w:bCs/>
        </w:rPr>
        <w:t xml:space="preserve">آلية الاتصال:</w:t>
      </w:r>
      <w:r>
        <w:t xml:space="preserve"> J-slot. هذه الآلية تستخدم لتوصيل اللولب بعمود الدوران، وتسمح بنقل عزم الدوران بكفاءة مع سهولة الفك والتركيب للتنظيف والصيانة.</w:t>
      </w:r>
    </w:p>
    <w:p>
      <w:pPr>
        <w:pStyle w:val="MdSpace"/>
        <w:spacing w:before="0" w:after="60"/>
      </w:pPr>
    </w:p>
    <w:p>
      <w:pPr>
        <w:pStyle w:val="Heading3"/>
        <w:pStyle w:val="MdHeading3"/>
      </w:pPr>
      <w:r>
        <w:t xml:space="preserve">3.2. نظام تشكيل الكيس والختم (Bag Forming and Sealing System)</w:t>
      </w:r>
    </w:p>
    <w:p>
      <w:pPr>
        <w:pStyle w:val="MdParagraph"/>
      </w:pPr>
      <w:r>
        <w:t xml:space="preserve">بعد تعبئة المنتج، يتم تشكيل الكيس وختمه لإنشاء العبوة النهائية.</w:t>
      </w:r>
    </w:p>
    <w:p>
      <w:pPr>
        <w:pStyle w:val="MdSpace"/>
        <w:spacing w:before="0" w:after="60"/>
      </w:pPr>
    </w:p>
    <w:p>
      <w:pPr>
        <w:pStyle w:val="MdListItem"/>
        <w:numPr>
          <w:ilvl w:val="0"/>
          <w:numId w:val="2"/>
        </w:numPr>
      </w:pPr>
      <w:r>
        <w:rPr>
          <w:rStyle w:val="MdStrong"/>
          <w:b/>
          <w:bCs/>
        </w:rPr>
        <w:t xml:space="preserve">سحب الفيلم (Film Pulling):</w:t>
      </w:r>
      <w:r>
        <w:t xml:space="preserve"> يتم سحب لفة الفيلم من بكرة التغذية بواسطة بكرات سحب تعمل بمحرك سيرفو أو متدرج لضمان طول الكيس الصحيح. يتم استخدام حساس علامة العين (Eye Mark Sensor) لمزامنة سحب الفيلم مع العلامات المطبوعة لضمان قطع الكيس في المكان الصحيح.</w:t>
      </w:r>
    </w:p>
    <w:p>
      <w:pPr>
        <w:pStyle w:val="MdListItem"/>
        <w:numPr>
          <w:ilvl w:val="0"/>
          <w:numId w:val="2"/>
        </w:numPr>
      </w:pPr>
      <w:r>
        <w:rPr>
          <w:rStyle w:val="MdStrong"/>
          <w:b/>
          <w:bCs/>
        </w:rPr>
        <w:t xml:space="preserve">تشكيل الكيس (Bag Forming):</w:t>
      </w:r>
      <w:r>
        <w:t xml:space="preserve"> يمر الفيلم فوق أنبوب التشكيل (Forming Tube) الذي يقوم بتحويل الفيلم المسطح إلى شكل أنبوبي.</w:t>
      </w:r>
    </w:p>
    <w:p>
      <w:pPr>
        <w:pStyle w:val="MdListItem"/>
        <w:numPr>
          <w:ilvl w:val="0"/>
          <w:numId w:val="2"/>
        </w:numPr>
      </w:pPr>
      <w:r>
        <w:rPr>
          <w:rStyle w:val="MdStrong"/>
          <w:b/>
          <w:bCs/>
        </w:rPr>
        <w:t xml:space="preserve">الختم الطولي (Vertical Sealing):</w:t>
      </w:r>
      <w:r>
        <w:t xml:space="preserve"> يتم ختم حافتي الفيلم الطوليتين معًا بواسطة سخان طولي لإنشاء الأنبوب.</w:t>
      </w:r>
    </w:p>
    <w:p>
      <w:pPr>
        <w:pStyle w:val="MdListItem"/>
        <w:numPr>
          <w:ilvl w:val="0"/>
          <w:numId w:val="2"/>
        </w:numPr>
      </w:pPr>
      <w:r>
        <w:rPr>
          <w:rStyle w:val="MdStrong"/>
          <w:b/>
          <w:bCs/>
        </w:rPr>
        <w:t xml:space="preserve">الختم العرضي والقطع (Horizontal Sealing and Cutting):</w:t>
      </w:r>
      <w:r>
        <w:t xml:space="preserve"> بعد تعبئة المنتج في الأنبوب، تقوم فكوك الختم العرضية (Horizontal Sealing Jaws) بختم الجزء العلوي من الكيس المعبأ والجزء السفلي من الكيس التالي في نفس الوقت. بعد الختم، يتم قطع الكيس المعبأ بواسطة سكين.</w:t>
      </w:r>
    </w:p>
    <w:p>
      <w:pPr>
        <w:pStyle w:val="MdSpace"/>
        <w:spacing w:before="0" w:after="60"/>
      </w:pPr>
    </w:p>
    <w:p>
      <w:pPr>
        <w:pStyle w:val="Heading3"/>
        <w:pStyle w:val="MdHeading3"/>
      </w:pPr>
      <w:r>
        <w:t xml:space="preserve">3.3. نظام التحكم والأتمتة (Control and Automation System)</w:t>
      </w:r>
    </w:p>
    <w:p>
      <w:pPr>
        <w:pStyle w:val="MdParagraph"/>
      </w:pPr>
      <w:r>
        <w:t xml:space="preserve">يدير هذا النظام جميع العمليات المذكورة أعلاه، ويضمن التنسيق الدقيق بينها.</w:t>
      </w:r>
    </w:p>
    <w:p>
      <w:pPr>
        <w:pStyle w:val="MdSpace"/>
        <w:spacing w:before="0" w:after="60"/>
      </w:pPr>
    </w:p>
    <w:p>
      <w:pPr>
        <w:pStyle w:val="MdListItem"/>
        <w:numPr>
          <w:ilvl w:val="0"/>
          <w:numId w:val="2"/>
        </w:numPr>
      </w:pPr>
      <w:r>
        <w:rPr>
          <w:rStyle w:val="MdStrong"/>
          <w:b/>
          <w:bCs/>
        </w:rPr>
        <w:t xml:space="preserve">وحدة التحكم:</w:t>
      </w:r>
      <w:r>
        <w:t xml:space="preserve"> في تصميمنا، نعتمد على وحدة </w:t>
      </w:r>
      <w:r>
        <w:rPr>
          <w:rStyle w:val="MdStrong"/>
          <w:b/>
          <w:bCs/>
        </w:rPr>
        <w:t xml:space="preserve">ESP (مثل ESP32)</w:t>
      </w:r>
      <w:r>
        <w:t xml:space="preserve"> كعقل مدبر للآلة. تقوم الـ ESP بمعالجة الإشارات من الحساسات وإرسال الأوامر إلى المحركات والمشغلات، مما يتيح التشغيل الآلي الكامل للآلة.</w:t>
      </w:r>
    </w:p>
    <w:p>
      <w:pPr>
        <w:pStyle w:val="MdListItem"/>
        <w:numPr>
          <w:ilvl w:val="0"/>
          <w:numId w:val="2"/>
        </w:numPr>
      </w:pPr>
      <w:r>
        <w:rPr>
          <w:rStyle w:val="MdStrong"/>
          <w:b/>
          <w:bCs/>
        </w:rPr>
        <w:t xml:space="preserve">المحركات:</w:t>
      </w:r>
      <w:r>
        <w:t xml:space="preserve"> محركات سيرفو أو متدرجة للتحكم الدقيق في اللولب وسحب الفيلم، ومحركات تيار متردد للخلاط.</w:t>
      </w:r>
    </w:p>
    <w:p>
      <w:pPr>
        <w:pStyle w:val="MdListItem"/>
        <w:numPr>
          <w:ilvl w:val="0"/>
          <w:numId w:val="2"/>
        </w:numPr>
      </w:pPr>
      <w:r>
        <w:rPr>
          <w:rStyle w:val="MdStrong"/>
          <w:b/>
          <w:bCs/>
        </w:rPr>
        <w:t xml:space="preserve">الحساسات:</w:t>
      </w:r>
      <w:r>
        <w:t xml:space="preserve"> مجموعة واسعة من الحساسات لمراقبة مستوى المنتج، درجة الحرارة، المواقع، وعلامات الفيلم، بالإضافة إلى حساسات الأمان.</w:t>
      </w:r>
    </w:p>
    <w:p>
      <w:pPr>
        <w:pStyle w:val="MdListItem"/>
        <w:numPr>
          <w:ilvl w:val="0"/>
          <w:numId w:val="2"/>
        </w:numPr>
      </w:pPr>
      <w:r>
        <w:rPr>
          <w:rStyle w:val="MdStrong"/>
          <w:b/>
          <w:bCs/>
        </w:rPr>
        <w:t xml:space="preserve">واجهة المستخدم (HMI):</w:t>
      </w:r>
      <w:r>
        <w:t xml:space="preserve"> شاشة عرض أو واجهة ويب/تطبيق تسمح للمشغل بمراقبة الآلة وتغيير الإعدادات.</w:t>
      </w:r>
    </w:p>
    <w:p>
      <w:pPr>
        <w:pStyle w:val="MdSpace"/>
        <w:spacing w:before="0" w:after="60"/>
      </w:pPr>
    </w:p>
    <w:p>
      <w:pPr>
        <w:pStyle w:val="Heading2"/>
        <w:pStyle w:val="MdHeading2"/>
      </w:pPr>
      <w:r>
        <w:t xml:space="preserve">4. الحاجة الواقعية لآلة VFFS في العالم والجمهورية اليمنية</w:t>
      </w:r>
    </w:p>
    <w:p>
      <w:pPr>
        <w:pStyle w:val="MdParagraph"/>
      </w:pPr>
      <w:r>
        <w:t xml:space="preserve">تتزايد أهمية آلات التعبئة والتغليف العمودية (VFFS) بشكل مطرد على الصعيدين العالمي والمحلي، مدفوعة بالعديد من العوامل الاقتصادية والاجتماعية والتقنية.</w:t>
      </w:r>
    </w:p>
    <w:p>
      <w:pPr>
        <w:pStyle w:val="MdSpace"/>
        <w:spacing w:before="0" w:after="60"/>
      </w:pPr>
    </w:p>
    <w:p>
      <w:pPr>
        <w:pStyle w:val="Heading3"/>
        <w:pStyle w:val="MdHeading3"/>
      </w:pPr>
      <w:r>
        <w:t xml:space="preserve">4.1. الحاجة العالمية</w:t>
      </w:r>
    </w:p>
    <w:p>
      <w:pPr>
        <w:pStyle w:val="MdListItem"/>
        <w:numPr>
          <w:ilvl w:val="0"/>
          <w:numId w:val="2"/>
        </w:numPr>
      </w:pPr>
      <w:r>
        <w:rPr>
          <w:rStyle w:val="MdStrong"/>
          <w:b/>
          <w:bCs/>
        </w:rPr>
        <w:t xml:space="preserve">النمو السكاني وتغير أنماط الاستهلاك:</w:t>
      </w:r>
      <w:r>
        <w:t xml:space="preserve"> مع تزايد عدد سكان العالم وتغير أنماط الحياة نحو السرعة والراحة، يزداد الطلب على المنتجات المعبأة مسبقًا، مما يتطلب حلول تعبئة فعالة وسريعة مثل VFFS.</w:t>
      </w:r>
    </w:p>
    <w:p>
      <w:pPr>
        <w:pStyle w:val="MdListItem"/>
        <w:numPr>
          <w:ilvl w:val="0"/>
          <w:numId w:val="2"/>
        </w:numPr>
      </w:pPr>
      <w:r>
        <w:rPr>
          <w:rStyle w:val="MdStrong"/>
          <w:b/>
          <w:bCs/>
        </w:rPr>
        <w:t xml:space="preserve">معايير الجودة والسلامة الغذائية:</w:t>
      </w:r>
      <w:r>
        <w:t xml:space="preserve"> تفرض التشريعات العالمية معايير صارمة على جودة وسلامة المنتجات الغذائية. تساهم آلات VFFS في تلبية هذه المعايير من خلال توفير بيئة تعبئة صحية ومحكمة، وتقليل التلامس البشري مع المنتج.</w:t>
      </w:r>
    </w:p>
    <w:p>
      <w:pPr>
        <w:pStyle w:val="MdListItem"/>
        <w:numPr>
          <w:ilvl w:val="0"/>
          <w:numId w:val="2"/>
        </w:numPr>
      </w:pPr>
      <w:r>
        <w:rPr>
          <w:rStyle w:val="MdStrong"/>
          <w:b/>
          <w:bCs/>
        </w:rPr>
        <w:t xml:space="preserve">الأتمتة وتقليل التكاليف:</w:t>
      </w:r>
      <w:r>
        <w:t xml:space="preserve"> تسعى الشركات العالمية إلى أتمتة عملياتها لتقليل تكاليف العمالة، وزيادة الإنتاجية، وتحسين جودة المنتج. توفر آلات VFFS حلاً فعالاً لتحقيق هذه الأهداف.</w:t>
      </w:r>
    </w:p>
    <w:p>
      <w:pPr>
        <w:pStyle w:val="MdListItem"/>
        <w:numPr>
          <w:ilvl w:val="0"/>
          <w:numId w:val="2"/>
        </w:numPr>
      </w:pPr>
      <w:r>
        <w:rPr>
          <w:rStyle w:val="MdStrong"/>
          <w:b/>
          <w:bCs/>
        </w:rPr>
        <w:t xml:space="preserve">الاستدامة:</w:t>
      </w:r>
      <w:r>
        <w:t xml:space="preserve"> مع تزايد الوعي البيئي، يتم تطوير آلات VFFS لتكون أكثر كفاءة في استخدام الطاقة والمواد، وتقليل الفاقد، مما يساهم في تحقيق أهداف الاستدامة.</w:t>
      </w:r>
    </w:p>
    <w:p>
      <w:pPr>
        <w:pStyle w:val="MdListItem"/>
        <w:numPr>
          <w:ilvl w:val="0"/>
          <w:numId w:val="2"/>
        </w:numPr>
      </w:pPr>
      <w:r>
        <w:rPr>
          <w:rStyle w:val="MdStrong"/>
          <w:b/>
          <w:bCs/>
        </w:rPr>
        <w:t xml:space="preserve">مرونة الإنتاج:</w:t>
      </w:r>
      <w:r>
        <w:t xml:space="preserve"> القدرة على التكيف مع أحجام وأنواع مختلفة من المنتجات والتعبئة تجعلها ضرورية للمصنعين الذين يحتاجون إلى التنوع في خطوط إنتاجهم.</w:t>
      </w:r>
    </w:p>
    <w:p>
      <w:pPr>
        <w:pStyle w:val="MdSpace"/>
        <w:spacing w:before="0" w:after="60"/>
      </w:pPr>
    </w:p>
    <w:p>
      <w:pPr>
        <w:pStyle w:val="Heading3"/>
        <w:pStyle w:val="MdHeading3"/>
      </w:pPr>
      <w:r>
        <w:t xml:space="preserve">4.2. الحاجة في الجمهورية اليمنية</w:t>
      </w:r>
    </w:p>
    <w:p>
      <w:pPr>
        <w:pStyle w:val="MdParagraph"/>
      </w:pPr>
      <w:r>
        <w:t xml:space="preserve">تكتسب آلات VFFS أهمية خاصة في سياق الجمهورية اليمنية، حيث تواجه البلاد تحديات وفرصًا فريدة:</w:t>
      </w:r>
    </w:p>
    <w:p>
      <w:pPr>
        <w:pStyle w:val="MdSpace"/>
        <w:spacing w:before="0" w:after="60"/>
      </w:pPr>
    </w:p>
    <w:p>
      <w:pPr>
        <w:pStyle w:val="MdListItem"/>
        <w:numPr>
          <w:ilvl w:val="0"/>
          <w:numId w:val="2"/>
        </w:numPr>
      </w:pPr>
      <w:r>
        <w:rPr>
          <w:rStyle w:val="MdStrong"/>
          <w:b/>
          <w:bCs/>
        </w:rPr>
        <w:t xml:space="preserve">دعم الصناعات المحلية:</w:t>
      </w:r>
      <w:r>
        <w:t xml:space="preserve"> يمكن أن تساهم هذه الآلات في تطوير وتعزيز الصناعات الغذائية والزراعية المحلية، مثل تعبئة الملح، البقوليات، التوابل، وغيرها. هذا يقلل من الاعتماد على المنتجات المستوردة ويدعم الاقتصاد الوطني.</w:t>
      </w:r>
    </w:p>
    <w:p>
      <w:pPr>
        <w:pStyle w:val="MdListItem"/>
        <w:numPr>
          <w:ilvl w:val="0"/>
          <w:numId w:val="2"/>
        </w:numPr>
      </w:pPr>
      <w:r>
        <w:rPr>
          <w:rStyle w:val="MdStrong"/>
          <w:b/>
          <w:bCs/>
        </w:rPr>
        <w:t xml:space="preserve">توفير فرص العمل:</w:t>
      </w:r>
      <w:r>
        <w:t xml:space="preserve"> إنشاء وتشغيل وصيانة هذه الآلات يتطلب عمالة ماهرة في مجالات الهندسة الميكانيكية والكهربائية والبرمجيات، مما يساهم في توفير فرص عمل للشباب اليمني.</w:t>
      </w:r>
    </w:p>
    <w:p>
      <w:pPr>
        <w:pStyle w:val="MdListItem"/>
        <w:numPr>
          <w:ilvl w:val="0"/>
          <w:numId w:val="2"/>
        </w:numPr>
      </w:pPr>
      <w:r>
        <w:rPr>
          <w:rStyle w:val="MdStrong"/>
          <w:b/>
          <w:bCs/>
        </w:rPr>
        <w:t xml:space="preserve">تحسين جودة المنتجات المحلية:</w:t>
      </w:r>
      <w:r>
        <w:t xml:space="preserve"> استخدام تقنيات تعبئة حديثة يرفع من جودة المنتجات المحلية، ويجعلها أكثر قدرة على المنافسة في الأسواق المحلية والإقليمية.</w:t>
      </w:r>
    </w:p>
    <w:p>
      <w:pPr>
        <w:pStyle w:val="MdListItem"/>
        <w:numPr>
          <w:ilvl w:val="0"/>
          <w:numId w:val="2"/>
        </w:numPr>
      </w:pPr>
      <w:r>
        <w:rPr>
          <w:rStyle w:val="MdStrong"/>
          <w:b/>
          <w:bCs/>
        </w:rPr>
        <w:t xml:space="preserve">تلبية احتياجات السوق المحلي:</w:t>
      </w:r>
      <w:r>
        <w:t xml:space="preserve"> مع تزايد الوعي بأهمية التعبئة الصحية والآمنة، تزداد حاجة السوق اليمني للمنتجات المعبأة بشكل احترافي.</w:t>
      </w:r>
    </w:p>
    <w:p>
      <w:pPr>
        <w:pStyle w:val="MdListItem"/>
        <w:numPr>
          <w:ilvl w:val="0"/>
          <w:numId w:val="2"/>
        </w:numPr>
      </w:pPr>
      <w:r>
        <w:rPr>
          <w:rStyle w:val="MdStrong"/>
          <w:b/>
          <w:bCs/>
        </w:rPr>
        <w:t xml:space="preserve">التحديات والفرص الهندسية:</w:t>
      </w:r>
      <w:r>
        <w:t xml:space="preserve"> تطوير وتصنيع هذه الآلات محليًا يمثل تحديًا هندسيًا كبيرًا، ولكنه في نفس الوقت فرصة لبناء القدرات الهندسية والفنية المحلية، وتطوير حلول مبتكرة تتناسب مع الظروف المحلية (مثل توفر قطع الغيار، تكاليف الطاقة).</w:t>
      </w:r>
    </w:p>
    <w:p>
      <w:pPr>
        <w:pStyle w:val="MdListItem"/>
        <w:numPr>
          <w:ilvl w:val="0"/>
          <w:numId w:val="2"/>
        </w:numPr>
      </w:pPr>
      <w:r>
        <w:rPr>
          <w:rStyle w:val="MdStrong"/>
          <w:b/>
          <w:bCs/>
        </w:rPr>
        <w:t xml:space="preserve">الاستقلالية الصناعية:</w:t>
      </w:r>
      <w:r>
        <w:t xml:space="preserve"> في ظل الظروف الراهنة، يصبح الاعتماد على الذات في الصناعة أمرًا حيويًا. تصميم وتصنيع آلات مثل VFFS محليًا يساهم في تحقيق قدر أكبر من الاستقلالية الصناعية.</w:t>
      </w:r>
    </w:p>
    <w:p>
      <w:pPr>
        <w:pStyle w:val="MdSpace"/>
        <w:spacing w:before="0" w:after="60"/>
      </w:pPr>
    </w:p>
    <w:p>
      <w:pPr>
        <w:pStyle w:val="Heading2"/>
        <w:pStyle w:val="MdHeading2"/>
      </w:pPr>
      <w:r>
        <w:t xml:space="preserve">5. التفاصيل الفنية والحسابات الهندسية (ملخص من المناقشات)</w:t>
      </w:r>
    </w:p>
    <w:p>
      <w:pPr>
        <w:pStyle w:val="MdParagraph"/>
      </w:pPr>
      <w:r>
        <w:t xml:space="preserve">لقد تم خلال هذه المحادثة إجراء تحليل معمق للعديد من الجوانب الهندسية لآلة VFFS، لا سيما نظام التعبئة اللولبي. هذه التفاصيل ضرورية لضمان الأداء الأمثل للآلة.</w:t>
      </w:r>
    </w:p>
    <w:p>
      <w:pPr>
        <w:pStyle w:val="MdSpace"/>
        <w:spacing w:before="0" w:after="60"/>
      </w:pPr>
    </w:p>
    <w:p>
      <w:pPr>
        <w:pStyle w:val="Heading3"/>
        <w:pStyle w:val="MdHeading3"/>
      </w:pPr>
      <w:r>
        <w:t xml:space="preserve">5.1. الحسابات الحجمية والهندسية للولب</w:t>
      </w:r>
    </w:p>
    <w:p>
      <w:pPr>
        <w:pStyle w:val="MdParagraph"/>
      </w:pPr>
      <w:r>
        <w:t xml:space="preserve">تم تحديد الأبعاد الهندسية للولب وحساب السعات الحجمية والوزنية بدقة:</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المعلمة</w:t>
            </w:r>
          </w:p>
        </w:tc>
        <w:tc>
          <w:tcPr>
            <w:tcMar>
              <w:top w:type="dxa" w:w="100"/>
              <w:left w:type="dxa" w:w="120"/>
              <w:bottom w:type="dxa" w:w="100"/>
              <w:right w:type="dxa" w:w="120"/>
            </w:tcMar>
            <w:vAlign w:val="center"/>
          </w:tcPr>
          <w:p>
            <w:pPr>
              <w:pStyle w:val="MdTableHeader"/>
              <w:jc w:val="left"/>
            </w:pPr>
            <w:r>
              <w:t xml:space="preserve">الرمز</w:t>
            </w:r>
          </w:p>
        </w:tc>
        <w:tc>
          <w:tcPr>
            <w:tcMar>
              <w:top w:type="dxa" w:w="100"/>
              <w:left w:type="dxa" w:w="120"/>
              <w:bottom w:type="dxa" w:w="100"/>
              <w:right w:type="dxa" w:w="120"/>
            </w:tcMar>
            <w:vAlign w:val="center"/>
          </w:tcPr>
          <w:p>
            <w:pPr>
              <w:pStyle w:val="MdTableHeader"/>
              <w:jc w:val="left"/>
            </w:pPr>
            <w:r>
              <w:t xml:space="preserve">القيمة</w:t>
            </w:r>
          </w:p>
        </w:tc>
        <w:tc>
          <w:tcPr>
            <w:tcMar>
              <w:top w:type="dxa" w:w="100"/>
              <w:left w:type="dxa" w:w="120"/>
              <w:bottom w:type="dxa" w:w="100"/>
              <w:right w:type="dxa" w:w="120"/>
            </w:tcMar>
            <w:vAlign w:val="center"/>
          </w:tcPr>
          <w:p>
            <w:pPr>
              <w:pStyle w:val="MdTableHeader"/>
              <w:jc w:val="left"/>
            </w:pPr>
            <w:r>
              <w:t xml:space="preserve">الوحدة</w:t>
            </w:r>
          </w:p>
        </w:tc>
        <w:tc>
          <w:tcPr>
            <w:tcBorders>
              <w:right w:val="none"/>
            </w:tcBorders>
            <w:tcMar>
              <w:top w:type="dxa" w:w="100"/>
              <w:left w:type="dxa" w:w="120"/>
              <w:bottom w:type="dxa" w:w="100"/>
              <w:right w:type="dxa" w:w="120"/>
            </w:tcMar>
            <w:vAlign w:val="center"/>
          </w:tcPr>
          <w:p>
            <w:pPr>
              <w:pStyle w:val="MdTableHeader"/>
              <w:jc w:val="left"/>
            </w:pPr>
            <w:r>
              <w:t xml:space="preserve">ملاحظات</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القطر الخارجي للريشة</w:t>
            </w:r>
          </w:p>
        </w:tc>
        <w:tc>
          <w:tcPr>
            <w:tcMar>
              <w:top w:type="dxa" w:w="80"/>
              <w:left w:type="dxa" w:w="120"/>
              <w:bottom w:type="dxa" w:w="80"/>
              <w:right w:type="dxa" w:w="120"/>
            </w:tcMar>
            <w:vAlign w:val="center"/>
          </w:tcPr>
          <w:p>
            <w:pPr>
              <w:pStyle w:val="MdTableCell"/>
              <w:jc w:val="left"/>
            </w:pPr>
            <w:r>
              <w:t xml:space="preserve">$D_{outer}$</w:t>
            </w:r>
          </w:p>
        </w:tc>
        <w:tc>
          <w:tcPr>
            <w:tcMar>
              <w:top w:type="dxa" w:w="80"/>
              <w:left w:type="dxa" w:w="120"/>
              <w:bottom w:type="dxa" w:w="80"/>
              <w:right w:type="dxa" w:w="120"/>
            </w:tcMar>
            <w:vAlign w:val="center"/>
          </w:tcPr>
          <w:p>
            <w:pPr>
              <w:pStyle w:val="MdTableCell"/>
              <w:jc w:val="left"/>
            </w:pPr>
            <w:r>
              <w:t xml:space="preserve">60</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قطر العمود الداخلي</w:t>
            </w:r>
          </w:p>
        </w:tc>
        <w:tc>
          <w:tcPr>
            <w:tcMar>
              <w:top w:type="dxa" w:w="80"/>
              <w:left w:type="dxa" w:w="120"/>
              <w:bottom w:type="dxa" w:w="80"/>
              <w:right w:type="dxa" w:w="120"/>
            </w:tcMar>
            <w:vAlign w:val="center"/>
          </w:tcPr>
          <w:p>
            <w:pPr>
              <w:pStyle w:val="MdTableCell"/>
              <w:jc w:val="left"/>
            </w:pPr>
            <w:r>
              <w:t xml:space="preserve">$D_{shaft}$</w:t>
            </w:r>
          </w:p>
        </w:tc>
        <w:tc>
          <w:tcPr>
            <w:tcMar>
              <w:top w:type="dxa" w:w="80"/>
              <w:left w:type="dxa" w:w="120"/>
              <w:bottom w:type="dxa" w:w="80"/>
              <w:right w:type="dxa" w:w="120"/>
            </w:tcMar>
            <w:vAlign w:val="center"/>
          </w:tcPr>
          <w:p>
            <w:pPr>
              <w:pStyle w:val="MdTableCell"/>
              <w:jc w:val="left"/>
            </w:pPr>
            <w:r>
              <w:t xml:space="preserve">16</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خطوة اللولب</w:t>
            </w:r>
          </w:p>
        </w:tc>
        <w:tc>
          <w:tcPr>
            <w:tcMar>
              <w:top w:type="dxa" w:w="80"/>
              <w:left w:type="dxa" w:w="120"/>
              <w:bottom w:type="dxa" w:w="80"/>
              <w:right w:type="dxa" w:w="120"/>
            </w:tcMar>
            <w:vAlign w:val="center"/>
          </w:tcPr>
          <w:p>
            <w:pPr>
              <w:pStyle w:val="MdTableCell"/>
              <w:jc w:val="left"/>
            </w:pPr>
            <w:r>
              <w:t xml:space="preserve">$P$</w:t>
            </w:r>
          </w:p>
        </w:tc>
        <w:tc>
          <w:tcPr>
            <w:tcMar>
              <w:top w:type="dxa" w:w="80"/>
              <w:left w:type="dxa" w:w="120"/>
              <w:bottom w:type="dxa" w:w="80"/>
              <w:right w:type="dxa" w:w="120"/>
            </w:tcMar>
            <w:vAlign w:val="center"/>
          </w:tcPr>
          <w:p>
            <w:pPr>
              <w:pStyle w:val="MdTableCell"/>
              <w:jc w:val="left"/>
            </w:pPr>
            <w:r>
              <w:t xml:space="preserve">60</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المساحة المقطعية الفعالة</w:t>
            </w:r>
          </w:p>
        </w:tc>
        <w:tc>
          <w:tcPr>
            <w:tcMar>
              <w:top w:type="dxa" w:w="80"/>
              <w:left w:type="dxa" w:w="120"/>
              <w:bottom w:type="dxa" w:w="80"/>
              <w:right w:type="dxa" w:w="120"/>
            </w:tcMar>
            <w:vAlign w:val="center"/>
          </w:tcPr>
          <w:p>
            <w:pPr>
              <w:pStyle w:val="MdTableCell"/>
              <w:jc w:val="left"/>
            </w:pPr>
            <w:r>
              <w:t xml:space="preserve">$A_{eff}$</w:t>
            </w:r>
          </w:p>
        </w:tc>
        <w:tc>
          <w:tcPr>
            <w:tcMar>
              <w:top w:type="dxa" w:w="80"/>
              <w:left w:type="dxa" w:w="120"/>
              <w:bottom w:type="dxa" w:w="80"/>
              <w:right w:type="dxa" w:w="120"/>
            </w:tcMar>
            <w:vAlign w:val="center"/>
          </w:tcPr>
          <w:p>
            <w:pPr>
              <w:pStyle w:val="MdTableCell"/>
              <w:jc w:val="left"/>
            </w:pPr>
            <w:r>
              <w:t xml:space="preserve">0.0026</w:t>
            </w:r>
          </w:p>
        </w:tc>
        <w:tc>
          <w:tcPr>
            <w:tcMar>
              <w:top w:type="dxa" w:w="80"/>
              <w:left w:type="dxa" w:w="120"/>
              <w:bottom w:type="dxa" w:w="80"/>
              <w:right w:type="dxa" w:w="120"/>
            </w:tcMar>
            <w:vAlign w:val="center"/>
          </w:tcPr>
          <w:p>
            <w:pPr>
              <w:pStyle w:val="MdTableCell"/>
              <w:jc w:val="left"/>
            </w:pPr>
            <w:r>
              <w:t xml:space="preserve">م²</w:t>
            </w:r>
          </w:p>
        </w:tc>
        <w:tc>
          <w:tcPr>
            <w:tcBorders>
              <w:right w:val="none"/>
            </w:tcBorders>
            <w:tcMar>
              <w:top w:type="dxa" w:w="80"/>
              <w:left w:type="dxa" w:w="120"/>
              <w:bottom w:type="dxa" w:w="80"/>
              <w:right w:type="dxa" w:w="120"/>
            </w:tcMar>
            <w:vAlign w:val="center"/>
          </w:tcPr>
          <w:p>
            <w:pPr>
              <w:pStyle w:val="MdTableCell"/>
              <w:jc w:val="left"/>
            </w:pPr>
            <w:r>
              <w:t xml:space="preserve">المساحة التي يشغلها الملح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الحجم النظري لكل لفة</w:t>
            </w:r>
          </w:p>
        </w:tc>
        <w:tc>
          <w:tcPr>
            <w:tcMar>
              <w:top w:type="dxa" w:w="80"/>
              <w:left w:type="dxa" w:w="120"/>
              <w:bottom w:type="dxa" w:w="80"/>
              <w:right w:type="dxa" w:w="120"/>
            </w:tcMar>
            <w:vAlign w:val="center"/>
          </w:tcPr>
          <w:p>
            <w:pPr>
              <w:pStyle w:val="MdTableCell"/>
              <w:jc w:val="left"/>
            </w:pPr>
            <w:r>
              <w:t xml:space="preserve">$V_{theo_{rev}}$</w:t>
            </w:r>
          </w:p>
        </w:tc>
        <w:tc>
          <w:tcPr>
            <w:tcMar>
              <w:top w:type="dxa" w:w="80"/>
              <w:left w:type="dxa" w:w="120"/>
              <w:bottom w:type="dxa" w:w="80"/>
              <w:right w:type="dxa" w:w="120"/>
            </w:tcMar>
            <w:vAlign w:val="center"/>
          </w:tcPr>
          <w:p>
            <w:pPr>
              <w:pStyle w:val="MdTableCell"/>
              <w:jc w:val="left"/>
            </w:pPr>
            <w:r>
              <w:t xml:space="preserve">0.0001576</w:t>
            </w:r>
          </w:p>
        </w:tc>
        <w:tc>
          <w:tcPr>
            <w:tcMar>
              <w:top w:type="dxa" w:w="80"/>
              <w:left w:type="dxa" w:w="120"/>
              <w:bottom w:type="dxa" w:w="80"/>
              <w:right w:type="dxa" w:w="120"/>
            </w:tcMar>
            <w:vAlign w:val="center"/>
          </w:tcPr>
          <w:p>
            <w:pPr>
              <w:pStyle w:val="MdTableCell"/>
              <w:jc w:val="left"/>
            </w:pPr>
            <w:r>
              <w:t xml:space="preserve">م³</w:t>
            </w:r>
          </w:p>
        </w:tc>
        <w:tc>
          <w:tcPr>
            <w:tcBorders>
              <w:right w:val="none"/>
            </w:tcBorders>
            <w:tcMar>
              <w:top w:type="dxa" w:w="80"/>
              <w:left w:type="dxa" w:w="120"/>
              <w:bottom w:type="dxa" w:w="80"/>
              <w:right w:type="dxa" w:w="120"/>
            </w:tcMar>
            <w:vAlign w:val="center"/>
          </w:tcPr>
          <w:p>
            <w:pPr>
              <w:pStyle w:val="MdTableCell"/>
              <w:jc w:val="left"/>
            </w:pPr>
            <w:r>
              <w:t xml:space="preserve">أقصى حجم يمكن نقله في لفة واحدة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القطر المتوسط للريشة</w:t>
            </w:r>
          </w:p>
        </w:tc>
        <w:tc>
          <w:tcPr>
            <w:tcMar>
              <w:top w:type="dxa" w:w="80"/>
              <w:left w:type="dxa" w:w="120"/>
              <w:bottom w:type="dxa" w:w="80"/>
              <w:right w:type="dxa" w:w="120"/>
            </w:tcMar>
            <w:vAlign w:val="center"/>
          </w:tcPr>
          <w:p>
            <w:pPr>
              <w:pStyle w:val="MdTableCell"/>
              <w:jc w:val="left"/>
            </w:pPr>
            <w:r>
              <w:t xml:space="preserve">$D_{avg}$</w:t>
            </w:r>
          </w:p>
        </w:tc>
        <w:tc>
          <w:tcPr>
            <w:tcMar>
              <w:top w:type="dxa" w:w="80"/>
              <w:left w:type="dxa" w:w="120"/>
              <w:bottom w:type="dxa" w:w="80"/>
              <w:right w:type="dxa" w:w="120"/>
            </w:tcMar>
            <w:vAlign w:val="center"/>
          </w:tcPr>
          <w:p>
            <w:pPr>
              <w:pStyle w:val="MdTableCell"/>
              <w:jc w:val="left"/>
            </w:pPr>
            <w:r>
              <w:t xml:space="preserve">38</w:t>
            </w:r>
          </w:p>
        </w:tc>
        <w:tc>
          <w:tcPr>
            <w:tcMar>
              <w:top w:type="dxa" w:w="80"/>
              <w:left w:type="dxa" w:w="120"/>
              <w:bottom w:type="dxa" w:w="80"/>
              <w:right w:type="dxa" w:w="120"/>
            </w:tcMar>
            <w:vAlign w:val="center"/>
          </w:tcPr>
          <w:p>
            <w:pPr>
              <w:pStyle w:val="MdTableCell"/>
              <w:jc w:val="left"/>
            </w:pPr>
            <w:r>
              <w:t xml:space="preserve">ملم</w:t>
            </w:r>
          </w:p>
        </w:tc>
        <w:tc>
          <w:tcPr>
            <w:tcBorders>
              <w:right w:val="none"/>
            </w:tcBorders>
            <w:tcMar>
              <w:top w:type="dxa" w:w="80"/>
              <w:left w:type="dxa" w:w="120"/>
              <w:bottom w:type="dxa" w:w="80"/>
              <w:right w:type="dxa" w:w="120"/>
            </w:tcMar>
            <w:vAlign w:val="center"/>
          </w:tcPr>
          <w:p>
            <w:pPr>
              <w:pStyle w:val="MdTableCell"/>
              <w:jc w:val="left"/>
            </w:pPr>
            <w:r>
              <w:t xml:space="preserve">يستخدم لحساب زاوية الحلزون</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زاوية الحلزون</w:t>
            </w:r>
          </w:p>
        </w:tc>
        <w:tc>
          <w:tcPr>
            <w:tcMar>
              <w:top w:type="dxa" w:w="80"/>
              <w:left w:type="dxa" w:w="120"/>
              <w:bottom w:type="dxa" w:w="80"/>
              <w:right w:type="dxa" w:w="120"/>
            </w:tcMar>
            <w:vAlign w:val="center"/>
          </w:tcPr>
          <w:p>
            <w:pPr>
              <w:pStyle w:val="MdTableCell"/>
              <w:jc w:val="left"/>
            </w:pPr>
            <w:r>
              <w:t xml:space="preserve">$\alpha_{helix}$</w:t>
            </w:r>
          </w:p>
        </w:tc>
        <w:tc>
          <w:tcPr>
            <w:tcMar>
              <w:top w:type="dxa" w:w="80"/>
              <w:left w:type="dxa" w:w="120"/>
              <w:bottom w:type="dxa" w:w="80"/>
              <w:right w:type="dxa" w:w="120"/>
            </w:tcMar>
            <w:vAlign w:val="center"/>
          </w:tcPr>
          <w:p>
            <w:pPr>
              <w:pStyle w:val="MdTableCell"/>
              <w:jc w:val="left"/>
            </w:pPr>
            <w:r>
              <w:t xml:space="preserve">26.68</w:t>
            </w:r>
          </w:p>
        </w:tc>
        <w:tc>
          <w:tcPr>
            <w:tcMar>
              <w:top w:type="dxa" w:w="80"/>
              <w:left w:type="dxa" w:w="120"/>
              <w:bottom w:type="dxa" w:w="80"/>
              <w:right w:type="dxa" w:w="120"/>
            </w:tcMar>
            <w:vAlign w:val="center"/>
          </w:tcPr>
          <w:p>
            <w:pPr>
              <w:pStyle w:val="MdTableCell"/>
              <w:jc w:val="left"/>
            </w:pPr>
            <w:r>
              <w:t xml:space="preserve">درجة</w:t>
            </w:r>
          </w:p>
        </w:tc>
        <w:tc>
          <w:tcPr>
            <w:tcBorders>
              <w:right w:val="none"/>
            </w:tcBorders>
            <w:tcMar>
              <w:top w:type="dxa" w:w="80"/>
              <w:left w:type="dxa" w:w="120"/>
              <w:bottom w:type="dxa" w:w="80"/>
              <w:right w:type="dxa" w:w="120"/>
            </w:tcMar>
            <w:vAlign w:val="center"/>
          </w:tcPr>
          <w:p>
            <w:pPr>
              <w:pStyle w:val="MdTableCell"/>
              <w:jc w:val="left"/>
            </w:pPr>
            <w:r>
              <w:t xml:space="preserve">تحدد كفاءة النقل</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السعة الحجمية النظرية</w:t>
            </w:r>
          </w:p>
        </w:tc>
        <w:tc>
          <w:tcPr>
            <w:tcMar>
              <w:top w:type="dxa" w:w="80"/>
              <w:left w:type="dxa" w:w="120"/>
              <w:bottom w:type="dxa" w:w="80"/>
              <w:right w:type="dxa" w:w="120"/>
            </w:tcMar>
            <w:vAlign w:val="center"/>
          </w:tcPr>
          <w:p>
            <w:pPr>
              <w:pStyle w:val="MdTableCell"/>
              <w:jc w:val="left"/>
            </w:pPr>
            <w:r>
              <w:t xml:space="preserve">$Q_{theo}$</w:t>
            </w:r>
          </w:p>
        </w:tc>
        <w:tc>
          <w:tcPr>
            <w:tcMar>
              <w:top w:type="dxa" w:w="80"/>
              <w:left w:type="dxa" w:w="120"/>
              <w:bottom w:type="dxa" w:w="80"/>
              <w:right w:type="dxa" w:w="120"/>
            </w:tcMar>
            <w:vAlign w:val="center"/>
          </w:tcPr>
          <w:p>
            <w:pPr>
              <w:pStyle w:val="MdTableCell"/>
              <w:jc w:val="left"/>
            </w:pPr>
            <w:r>
              <w:t xml:space="preserve">0.000328</w:t>
            </w:r>
          </w:p>
        </w:tc>
        <w:tc>
          <w:tcPr>
            <w:tcMar>
              <w:top w:type="dxa" w:w="80"/>
              <w:left w:type="dxa" w:w="120"/>
              <w:bottom w:type="dxa" w:w="80"/>
              <w:right w:type="dxa" w:w="120"/>
            </w:tcMar>
            <w:vAlign w:val="center"/>
          </w:tcPr>
          <w:p>
            <w:pPr>
              <w:pStyle w:val="MdTableCell"/>
              <w:jc w:val="left"/>
            </w:pPr>
            <w:r>
              <w:t xml:space="preserve">م³/ثانية</w:t>
            </w:r>
          </w:p>
        </w:tc>
        <w:tc>
          <w:tcPr>
            <w:tcBorders>
              <w:right w:val="none"/>
            </w:tcBorders>
            <w:tcMar>
              <w:top w:type="dxa" w:w="80"/>
              <w:left w:type="dxa" w:w="120"/>
              <w:bottom w:type="dxa" w:w="80"/>
              <w:right w:type="dxa" w:w="120"/>
            </w:tcMar>
            <w:vAlign w:val="center"/>
          </w:tcPr>
          <w:p>
            <w:pPr>
              <w:pStyle w:val="MdTableCell"/>
              <w:jc w:val="left"/>
            </w:pPr>
            <w:r>
              <w:t xml:space="preserve">معدل النقل بدون احتكاك (عند 125 دورة/دقيقة)</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السعة الحجمية الفعلية</w:t>
            </w:r>
          </w:p>
        </w:tc>
        <w:tc>
          <w:tcPr>
            <w:tcMar>
              <w:top w:type="dxa" w:w="80"/>
              <w:left w:type="dxa" w:w="120"/>
              <w:bottom w:type="dxa" w:w="80"/>
              <w:right w:type="dxa" w:w="120"/>
            </w:tcMar>
            <w:vAlign w:val="center"/>
          </w:tcPr>
          <w:p>
            <w:pPr>
              <w:pStyle w:val="MdTableCell"/>
              <w:jc w:val="left"/>
            </w:pPr>
            <w:r>
              <w:t xml:space="preserve">$Q_{actual}$</w:t>
            </w:r>
          </w:p>
        </w:tc>
        <w:tc>
          <w:tcPr>
            <w:tcMar>
              <w:top w:type="dxa" w:w="80"/>
              <w:left w:type="dxa" w:w="120"/>
              <w:bottom w:type="dxa" w:w="80"/>
              <w:right w:type="dxa" w:w="120"/>
            </w:tcMar>
            <w:vAlign w:val="center"/>
          </w:tcPr>
          <w:p>
            <w:pPr>
              <w:pStyle w:val="MdTableCell"/>
              <w:jc w:val="left"/>
            </w:pPr>
            <w:r>
              <w:t xml:space="preserve">0.000279</w:t>
            </w:r>
          </w:p>
        </w:tc>
        <w:tc>
          <w:tcPr>
            <w:tcMar>
              <w:top w:type="dxa" w:w="80"/>
              <w:left w:type="dxa" w:w="120"/>
              <w:bottom w:type="dxa" w:w="80"/>
              <w:right w:type="dxa" w:w="120"/>
            </w:tcMar>
            <w:vAlign w:val="center"/>
          </w:tcPr>
          <w:p>
            <w:pPr>
              <w:pStyle w:val="MdTableCell"/>
              <w:jc w:val="left"/>
            </w:pPr>
            <w:r>
              <w:t xml:space="preserve">م³/ثانية</w:t>
            </w:r>
          </w:p>
        </w:tc>
        <w:tc>
          <w:tcPr>
            <w:tcBorders>
              <w:right w:val="none"/>
            </w:tcBorders>
            <w:tcMar>
              <w:top w:type="dxa" w:w="80"/>
              <w:left w:type="dxa" w:w="120"/>
              <w:bottom w:type="dxa" w:w="80"/>
              <w:right w:type="dxa" w:w="120"/>
            </w:tcMar>
            <w:vAlign w:val="center"/>
          </w:tcPr>
          <w:p>
            <w:pPr>
              <w:pStyle w:val="MdTableCell"/>
              <w:jc w:val="left"/>
            </w:pPr>
            <w:r>
              <w:t xml:space="preserve">معدل النقل الفعلي (مع كفاءة 85%)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معدل التعبئة الوزني الفعلي</w:t>
            </w:r>
          </w:p>
        </w:tc>
        <w:tc>
          <w:tcPr>
            <w:tcBorders>
              <w:bottom w:val="single" w:color="E1E4E8" w:sz="4"/>
            </w:tcBorders>
            <w:tcMar>
              <w:top w:type="dxa" w:w="80"/>
              <w:left w:type="dxa" w:w="120"/>
              <w:bottom w:type="dxa" w:w="80"/>
              <w:right w:type="dxa" w:w="120"/>
            </w:tcMar>
            <w:vAlign w:val="center"/>
          </w:tcPr>
          <w:p>
            <w:pPr>
              <w:pStyle w:val="MdTableCell"/>
              <w:jc w:val="left"/>
            </w:pPr>
            <w:r>
              <w:t xml:space="preserve">$Mass Flow Rate$</w:t>
            </w:r>
          </w:p>
        </w:tc>
        <w:tc>
          <w:tcPr>
            <w:tcBorders>
              <w:bottom w:val="single" w:color="E1E4E8" w:sz="4"/>
            </w:tcBorders>
            <w:tcMar>
              <w:top w:type="dxa" w:w="80"/>
              <w:left w:type="dxa" w:w="120"/>
              <w:bottom w:type="dxa" w:w="80"/>
              <w:right w:type="dxa" w:w="120"/>
            </w:tcMar>
            <w:vAlign w:val="center"/>
          </w:tcPr>
          <w:p>
            <w:pPr>
              <w:pStyle w:val="MdTableCell"/>
              <w:jc w:val="left"/>
            </w:pPr>
            <w:r>
              <w:t xml:space="preserve">0.3627</w:t>
            </w:r>
          </w:p>
        </w:tc>
        <w:tc>
          <w:tcPr>
            <w:tcBorders>
              <w:bottom w:val="single" w:color="E1E4E8" w:sz="4"/>
            </w:tcBorders>
            <w:tcMar>
              <w:top w:type="dxa" w:w="80"/>
              <w:left w:type="dxa" w:w="120"/>
              <w:bottom w:type="dxa" w:w="80"/>
              <w:right w:type="dxa" w:w="120"/>
            </w:tcMar>
            <w:vAlign w:val="center"/>
          </w:tcPr>
          <w:p>
            <w:pPr>
              <w:pStyle w:val="MdTableCell"/>
              <w:jc w:val="left"/>
            </w:pPr>
            <w:r>
              <w:t xml:space="preserve">كجم/ثانية</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معدل التعبئة الفعلي للآلة</w:t>
            </w:r>
          </w:p>
        </w:tc>
      </w:tr>
    </w:tbl>
    <w:p>
      <w:pPr>
        <w:pStyle w:val="Heading3"/>
        <w:pStyle w:val="MdHeading3"/>
      </w:pPr>
      <w:r>
        <w:t xml:space="preserve">5.2. حسابات العزوم والقوى (الأحمال)</w:t>
      </w:r>
    </w:p>
    <w:p>
      <w:pPr>
        <w:pStyle w:val="MdParagraph"/>
      </w:pPr>
      <w:r>
        <w:t xml:space="preserve">تم تحديد العزوم والقوى المؤثرة على اللولب والخلاط، وهي حاسمة لاختيار المحركات والجيربوكسات وإجراء التحليل الإجهادي:</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المعلمة</w:t>
            </w:r>
          </w:p>
        </w:tc>
        <w:tc>
          <w:tcPr>
            <w:tcMar>
              <w:top w:type="dxa" w:w="100"/>
              <w:left w:type="dxa" w:w="120"/>
              <w:bottom w:type="dxa" w:w="100"/>
              <w:right w:type="dxa" w:w="120"/>
            </w:tcMar>
            <w:vAlign w:val="center"/>
          </w:tcPr>
          <w:p>
            <w:pPr>
              <w:pStyle w:val="MdTableHeader"/>
              <w:jc w:val="left"/>
            </w:pPr>
            <w:r>
              <w:t xml:space="preserve">الرمز</w:t>
            </w:r>
          </w:p>
        </w:tc>
        <w:tc>
          <w:tcPr>
            <w:tcMar>
              <w:top w:type="dxa" w:w="100"/>
              <w:left w:type="dxa" w:w="120"/>
              <w:bottom w:type="dxa" w:w="100"/>
              <w:right w:type="dxa" w:w="120"/>
            </w:tcMar>
            <w:vAlign w:val="center"/>
          </w:tcPr>
          <w:p>
            <w:pPr>
              <w:pStyle w:val="MdTableHeader"/>
              <w:jc w:val="left"/>
            </w:pPr>
            <w:r>
              <w:t xml:space="preserve">القيمة</w:t>
            </w:r>
          </w:p>
        </w:tc>
        <w:tc>
          <w:tcPr>
            <w:tcMar>
              <w:top w:type="dxa" w:w="100"/>
              <w:left w:type="dxa" w:w="120"/>
              <w:bottom w:type="dxa" w:w="100"/>
              <w:right w:type="dxa" w:w="120"/>
            </w:tcMar>
            <w:vAlign w:val="center"/>
          </w:tcPr>
          <w:p>
            <w:pPr>
              <w:pStyle w:val="MdTableHeader"/>
              <w:jc w:val="left"/>
            </w:pPr>
            <w:r>
              <w:t xml:space="preserve">الوحدة</w:t>
            </w:r>
          </w:p>
        </w:tc>
        <w:tc>
          <w:tcPr>
            <w:tcBorders>
              <w:right w:val="none"/>
            </w:tcBorders>
            <w:tcMar>
              <w:top w:type="dxa" w:w="100"/>
              <w:left w:type="dxa" w:w="120"/>
              <w:bottom w:type="dxa" w:w="100"/>
              <w:right w:type="dxa" w:w="120"/>
            </w:tcMar>
            <w:vAlign w:val="center"/>
          </w:tcPr>
          <w:p>
            <w:pPr>
              <w:pStyle w:val="MdTableHeader"/>
              <w:jc w:val="left"/>
            </w:pPr>
            <w:r>
              <w:t xml:space="preserve">المصدر/الاستخدام</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الاحتكاك المقاوم (عند اللولب)</w:t>
            </w:r>
          </w:p>
        </w:tc>
        <w:tc>
          <w:tcPr>
            <w:tcMar>
              <w:top w:type="dxa" w:w="80"/>
              <w:left w:type="dxa" w:w="120"/>
              <w:bottom w:type="dxa" w:w="80"/>
              <w:right w:type="dxa" w:w="120"/>
            </w:tcMar>
            <w:vAlign w:val="center"/>
          </w:tcPr>
          <w:p>
            <w:pPr>
              <w:pStyle w:val="MdTableCell"/>
              <w:jc w:val="left"/>
            </w:pPr>
            <w:r>
              <w:t xml:space="preserve">$T_{f}$</w:t>
            </w:r>
          </w:p>
        </w:tc>
        <w:tc>
          <w:tcPr>
            <w:tcMar>
              <w:top w:type="dxa" w:w="80"/>
              <w:left w:type="dxa" w:w="120"/>
              <w:bottom w:type="dxa" w:w="80"/>
              <w:right w:type="dxa" w:w="120"/>
            </w:tcMar>
            <w:vAlign w:val="center"/>
          </w:tcPr>
          <w:p>
            <w:pPr>
              <w:pStyle w:val="MdTableCell"/>
              <w:jc w:val="left"/>
            </w:pPr>
            <w:r>
              <w:t xml:space="preserve">3.9</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الحمل الرئيسي المطبق على اللولب في SolidWorks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الخرج المطلوب من الجيربوكس</w:t>
            </w:r>
          </w:p>
        </w:tc>
        <w:tc>
          <w:tcPr>
            <w:tcMar>
              <w:top w:type="dxa" w:w="80"/>
              <w:left w:type="dxa" w:w="120"/>
              <w:bottom w:type="dxa" w:w="80"/>
              <w:right w:type="dxa" w:w="120"/>
            </w:tcMar>
            <w:vAlign w:val="center"/>
          </w:tcPr>
          <w:p>
            <w:pPr>
              <w:pStyle w:val="MdTableCell"/>
              <w:jc w:val="left"/>
            </w:pPr>
            <w:r>
              <w:t xml:space="preserve">$T_{G_{out}}$</w:t>
            </w:r>
          </w:p>
        </w:tc>
        <w:tc>
          <w:tcPr>
            <w:tcMar>
              <w:top w:type="dxa" w:w="80"/>
              <w:left w:type="dxa" w:w="120"/>
              <w:bottom w:type="dxa" w:w="80"/>
              <w:right w:type="dxa" w:w="120"/>
            </w:tcMar>
            <w:vAlign w:val="center"/>
          </w:tcPr>
          <w:p>
            <w:pPr>
              <w:pStyle w:val="MdTableCell"/>
              <w:jc w:val="left"/>
            </w:pPr>
            <w:r>
              <w:t xml:space="preserve">5.85</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لتحديد مواصفات الجيربوكس (مع $FS_{mech}=1.5$)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الدخل المطلوب للجيربوكس</w:t>
            </w:r>
          </w:p>
        </w:tc>
        <w:tc>
          <w:tcPr>
            <w:tcMar>
              <w:top w:type="dxa" w:w="80"/>
              <w:left w:type="dxa" w:w="120"/>
              <w:bottom w:type="dxa" w:w="80"/>
              <w:right w:type="dxa" w:w="120"/>
            </w:tcMar>
            <w:vAlign w:val="center"/>
          </w:tcPr>
          <w:p>
            <w:pPr>
              <w:pStyle w:val="MdTableCell"/>
              <w:jc w:val="left"/>
            </w:pPr>
            <w:r>
              <w:t xml:space="preserve">$T_{G_{in}}$</w:t>
            </w:r>
          </w:p>
        </w:tc>
        <w:tc>
          <w:tcPr>
            <w:tcMar>
              <w:top w:type="dxa" w:w="80"/>
              <w:left w:type="dxa" w:w="120"/>
              <w:bottom w:type="dxa" w:w="80"/>
              <w:right w:type="dxa" w:w="120"/>
            </w:tcMar>
            <w:vAlign w:val="center"/>
          </w:tcPr>
          <w:p>
            <w:pPr>
              <w:pStyle w:val="MdTableCell"/>
              <w:jc w:val="left"/>
            </w:pPr>
            <w:r>
              <w:t xml:space="preserve">0.308</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العزم الذي يجب أن يوفره المحرك (مع نسبة تخفيض 1:20 وكفاءة 0.95)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عزم المحرك المطلوب (مع عامل أمان)</w:t>
            </w:r>
          </w:p>
        </w:tc>
        <w:tc>
          <w:tcPr>
            <w:tcMar>
              <w:top w:type="dxa" w:w="80"/>
              <w:left w:type="dxa" w:w="120"/>
              <w:bottom w:type="dxa" w:w="80"/>
              <w:right w:type="dxa" w:w="120"/>
            </w:tcMar>
            <w:vAlign w:val="center"/>
          </w:tcPr>
          <w:p>
            <w:pPr>
              <w:pStyle w:val="MdTableCell"/>
              <w:jc w:val="left"/>
            </w:pPr>
            <w:r>
              <w:t xml:space="preserve">$T_{M_{req}}$</w:t>
            </w:r>
          </w:p>
        </w:tc>
        <w:tc>
          <w:tcPr>
            <w:tcMar>
              <w:top w:type="dxa" w:w="80"/>
              <w:left w:type="dxa" w:w="120"/>
              <w:bottom w:type="dxa" w:w="80"/>
              <w:right w:type="dxa" w:w="120"/>
            </w:tcMar>
            <w:vAlign w:val="center"/>
          </w:tcPr>
          <w:p>
            <w:pPr>
              <w:pStyle w:val="MdTableCell"/>
              <w:jc w:val="left"/>
            </w:pPr>
            <w:r>
              <w:t xml:space="preserve">0.385</w:t>
            </w:r>
          </w:p>
        </w:tc>
        <w:tc>
          <w:tcPr>
            <w:tcMar>
              <w:top w:type="dxa" w:w="80"/>
              <w:left w:type="dxa" w:w="120"/>
              <w:bottom w:type="dxa" w:w="80"/>
              <w:right w:type="dxa" w:w="120"/>
            </w:tcMar>
            <w:vAlign w:val="center"/>
          </w:tcPr>
          <w:p>
            <w:pPr>
              <w:pStyle w:val="MdTableCell"/>
              <w:jc w:val="left"/>
            </w:pPr>
            <w:r>
              <w:t xml:space="preserve">نيوتن.متر</w:t>
            </w:r>
          </w:p>
        </w:tc>
        <w:tc>
          <w:tcPr>
            <w:tcBorders>
              <w:right w:val="none"/>
            </w:tcBorders>
            <w:tcMar>
              <w:top w:type="dxa" w:w="80"/>
              <w:left w:type="dxa" w:w="120"/>
              <w:bottom w:type="dxa" w:w="80"/>
              <w:right w:type="dxa" w:w="120"/>
            </w:tcMar>
            <w:vAlign w:val="center"/>
          </w:tcPr>
          <w:p>
            <w:pPr>
              <w:pStyle w:val="MdTableCell"/>
              <w:jc w:val="left"/>
            </w:pPr>
            <w:r>
              <w:t xml:space="preserve">القيمة النهائية لتحديد المحرك (مع $FS_{motor}=1.25$)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الضغط الهيدروستاتيكي للمادة</w:t>
            </w:r>
          </w:p>
        </w:tc>
        <w:tc>
          <w:tcPr>
            <w:tcMar>
              <w:top w:type="dxa" w:w="80"/>
              <w:left w:type="dxa" w:w="120"/>
              <w:bottom w:type="dxa" w:w="80"/>
              <w:right w:type="dxa" w:w="120"/>
            </w:tcMar>
            <w:vAlign w:val="center"/>
          </w:tcPr>
          <w:p>
            <w:pPr>
              <w:pStyle w:val="MdTableCell"/>
              <w:jc w:val="left"/>
            </w:pPr>
            <w:r>
              <w:t xml:space="preserve">$P_{hydro}$</w:t>
            </w:r>
          </w:p>
        </w:tc>
        <w:tc>
          <w:tcPr>
            <w:tcMar>
              <w:top w:type="dxa" w:w="80"/>
              <w:left w:type="dxa" w:w="120"/>
              <w:bottom w:type="dxa" w:w="80"/>
              <w:right w:type="dxa" w:w="120"/>
            </w:tcMar>
            <w:vAlign w:val="center"/>
          </w:tcPr>
          <w:p>
            <w:pPr>
              <w:pStyle w:val="MdTableCell"/>
              <w:jc w:val="left"/>
            </w:pPr>
            <w:r>
              <w:t xml:space="preserve">4208</w:t>
            </w:r>
          </w:p>
        </w:tc>
        <w:tc>
          <w:tcPr>
            <w:tcMar>
              <w:top w:type="dxa" w:w="80"/>
              <w:left w:type="dxa" w:w="120"/>
              <w:bottom w:type="dxa" w:w="80"/>
              <w:right w:type="dxa" w:w="120"/>
            </w:tcMar>
            <w:vAlign w:val="center"/>
          </w:tcPr>
          <w:p>
            <w:pPr>
              <w:pStyle w:val="MdTableCell"/>
              <w:jc w:val="left"/>
            </w:pPr>
            <w:r>
              <w:t xml:space="preserve">باسكال</w:t>
            </w:r>
          </w:p>
        </w:tc>
        <w:tc>
          <w:tcPr>
            <w:tcBorders>
              <w:right w:val="none"/>
            </w:tcBorders>
            <w:tcMar>
              <w:top w:type="dxa" w:w="80"/>
              <w:left w:type="dxa" w:w="120"/>
              <w:bottom w:type="dxa" w:w="80"/>
              <w:right w:type="dxa" w:w="120"/>
            </w:tcMar>
            <w:vAlign w:val="center"/>
          </w:tcPr>
          <w:p>
            <w:pPr>
              <w:pStyle w:val="MdTableCell"/>
              <w:jc w:val="left"/>
            </w:pPr>
            <w:r>
              <w:t xml:space="preserve">الحمل الثانوي المطبق على ريش اللولب في SolidWorks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القوة المحورية لتحريك المادة (تقديري)</w:t>
            </w:r>
          </w:p>
        </w:tc>
        <w:tc>
          <w:tcPr>
            <w:tcMar>
              <w:top w:type="dxa" w:w="80"/>
              <w:left w:type="dxa" w:w="120"/>
              <w:bottom w:type="dxa" w:w="80"/>
              <w:right w:type="dxa" w:w="120"/>
            </w:tcMar>
            <w:vAlign w:val="center"/>
          </w:tcPr>
          <w:p>
            <w:pPr>
              <w:pStyle w:val="MdTableCell"/>
              <w:jc w:val="left"/>
            </w:pPr>
            <w:r>
              <w:t xml:space="preserve">$F_{m}$</w:t>
            </w:r>
          </w:p>
        </w:tc>
        <w:tc>
          <w:tcPr>
            <w:tcMar>
              <w:top w:type="dxa" w:w="80"/>
              <w:left w:type="dxa" w:w="120"/>
              <w:bottom w:type="dxa" w:w="80"/>
              <w:right w:type="dxa" w:w="120"/>
            </w:tcMar>
            <w:vAlign w:val="center"/>
          </w:tcPr>
          <w:p>
            <w:pPr>
              <w:pStyle w:val="MdTableCell"/>
              <w:jc w:val="left"/>
            </w:pPr>
            <w:r>
              <w:t xml:space="preserve">10.94</w:t>
            </w:r>
          </w:p>
        </w:tc>
        <w:tc>
          <w:tcPr>
            <w:tcMar>
              <w:top w:type="dxa" w:w="80"/>
              <w:left w:type="dxa" w:w="120"/>
              <w:bottom w:type="dxa" w:w="80"/>
              <w:right w:type="dxa" w:w="120"/>
            </w:tcMar>
            <w:vAlign w:val="center"/>
          </w:tcPr>
          <w:p>
            <w:pPr>
              <w:pStyle w:val="MdTableCell"/>
              <w:jc w:val="left"/>
            </w:pPr>
            <w:r>
              <w:t xml:space="preserve">نيوتن</w:t>
            </w:r>
          </w:p>
        </w:tc>
        <w:tc>
          <w:tcPr>
            <w:tcBorders>
              <w:right w:val="none"/>
            </w:tcBorders>
            <w:tcMar>
              <w:top w:type="dxa" w:w="80"/>
              <w:left w:type="dxa" w:w="120"/>
              <w:bottom w:type="dxa" w:w="80"/>
              <w:right w:type="dxa" w:w="120"/>
            </w:tcMar>
            <w:vAlign w:val="center"/>
          </w:tcPr>
          <w:p>
            <w:pPr>
              <w:pStyle w:val="MdTableCell"/>
              <w:jc w:val="left"/>
            </w:pPr>
            <w:r>
              <w:t xml:space="preserve">يستخدم للتحقق من متطلبات المحمل الدفعي</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كتلة الملح فوق الصحن الدوار</w:t>
            </w:r>
          </w:p>
        </w:tc>
        <w:tc>
          <w:tcPr>
            <w:tcMar>
              <w:top w:type="dxa" w:w="80"/>
              <w:left w:type="dxa" w:w="120"/>
              <w:bottom w:type="dxa" w:w="80"/>
              <w:right w:type="dxa" w:w="120"/>
            </w:tcMar>
            <w:vAlign w:val="center"/>
          </w:tcPr>
          <w:p>
            <w:pPr>
              <w:pStyle w:val="MdTableCell"/>
              <w:jc w:val="left"/>
            </w:pPr>
            <w:r>
              <w:t xml:space="preserve">$M_{salt}$</w:t>
            </w:r>
          </w:p>
        </w:tc>
        <w:tc>
          <w:tcPr>
            <w:tcMar>
              <w:top w:type="dxa" w:w="80"/>
              <w:left w:type="dxa" w:w="120"/>
              <w:bottom w:type="dxa" w:w="80"/>
              <w:right w:type="dxa" w:w="120"/>
            </w:tcMar>
            <w:vAlign w:val="center"/>
          </w:tcPr>
          <w:p>
            <w:pPr>
              <w:pStyle w:val="MdTableCell"/>
              <w:jc w:val="left"/>
            </w:pPr>
            <w:r>
              <w:t xml:space="preserve">0.0176</w:t>
            </w:r>
          </w:p>
        </w:tc>
        <w:tc>
          <w:tcPr>
            <w:tcMar>
              <w:top w:type="dxa" w:w="80"/>
              <w:left w:type="dxa" w:w="120"/>
              <w:bottom w:type="dxa" w:w="80"/>
              <w:right w:type="dxa" w:w="120"/>
            </w:tcMar>
            <w:vAlign w:val="center"/>
          </w:tcPr>
          <w:p>
            <w:pPr>
              <w:pStyle w:val="MdTableCell"/>
              <w:jc w:val="left"/>
            </w:pPr>
            <w:r>
              <w:t xml:space="preserve">كجم</w:t>
            </w:r>
          </w:p>
        </w:tc>
        <w:tc>
          <w:tcPr>
            <w:tcBorders>
              <w:right w:val="none"/>
            </w:tcBorders>
            <w:tcMar>
              <w:top w:type="dxa" w:w="80"/>
              <w:left w:type="dxa" w:w="120"/>
              <w:bottom w:type="dxa" w:w="80"/>
              <w:right w:type="dxa" w:w="120"/>
            </w:tcMar>
            <w:vAlign w:val="center"/>
          </w:tcPr>
          <w:p>
            <w:pPr>
              <w:pStyle w:val="MdTableCell"/>
              <w:jc w:val="left"/>
            </w:pP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القوة الناتجة عن وزن الملح على الصحن</w:t>
            </w:r>
          </w:p>
        </w:tc>
        <w:tc>
          <w:tcPr>
            <w:tcBorders>
              <w:bottom w:val="single" w:color="E1E4E8" w:sz="4"/>
            </w:tcBorders>
            <w:tcMar>
              <w:top w:type="dxa" w:w="80"/>
              <w:left w:type="dxa" w:w="120"/>
              <w:bottom w:type="dxa" w:w="80"/>
              <w:right w:type="dxa" w:w="120"/>
            </w:tcMar>
            <w:vAlign w:val="center"/>
          </w:tcPr>
          <w:p>
            <w:pPr>
              <w:pStyle w:val="MdTableCell"/>
              <w:jc w:val="left"/>
            </w:pPr>
            <w:r>
              <w:t xml:space="preserve">$F_{plate}$</w:t>
            </w:r>
          </w:p>
        </w:tc>
        <w:tc>
          <w:tcPr>
            <w:tcBorders>
              <w:bottom w:val="single" w:color="E1E4E8" w:sz="4"/>
            </w:tcBorders>
            <w:tcMar>
              <w:top w:type="dxa" w:w="80"/>
              <w:left w:type="dxa" w:w="120"/>
              <w:bottom w:type="dxa" w:w="80"/>
              <w:right w:type="dxa" w:w="120"/>
            </w:tcMar>
            <w:vAlign w:val="center"/>
          </w:tcPr>
          <w:p>
            <w:pPr>
              <w:pStyle w:val="MdTableCell"/>
              <w:jc w:val="left"/>
            </w:pPr>
            <w:r>
              <w:t xml:space="preserve">0.172</w:t>
            </w:r>
          </w:p>
        </w:tc>
        <w:tc>
          <w:tcPr>
            <w:tcBorders>
              <w:bottom w:val="single" w:color="E1E4E8" w:sz="4"/>
            </w:tcBorders>
            <w:tcMar>
              <w:top w:type="dxa" w:w="80"/>
              <w:left w:type="dxa" w:w="120"/>
              <w:bottom w:type="dxa" w:w="80"/>
              <w:right w:type="dxa" w:w="120"/>
            </w:tcMar>
            <w:vAlign w:val="center"/>
          </w:tcPr>
          <w:p>
            <w:pPr>
              <w:pStyle w:val="MdTableCell"/>
              <w:jc w:val="left"/>
            </w:pPr>
            <w:r>
              <w:t xml:space="preserve">نيوتن</w:t>
            </w:r>
          </w:p>
        </w:tc>
        <w:tc>
          <w:tcPr>
            <w:tcBorders>
              <w:bottom w:val="single" w:color="E1E4E8" w:sz="4"/>
              <w:right w:val="none"/>
            </w:tcBorders>
            <w:tcMar>
              <w:top w:type="dxa" w:w="80"/>
              <w:left w:type="dxa" w:w="120"/>
              <w:bottom w:type="dxa" w:w="80"/>
              <w:right w:type="dxa" w:w="120"/>
            </w:tcMar>
            <w:vAlign w:val="center"/>
          </w:tcPr>
          <w:p>
            <w:pPr>
              <w:pStyle w:val="MdTableCell"/>
              <w:jc w:val="left"/>
            </w:pPr>
          </w:p>
        </w:tc>
      </w:tr>
    </w:tbl>
    <w:p>
      <w:pPr>
        <w:pStyle w:val="Heading3"/>
        <w:pStyle w:val="MdHeading3"/>
      </w:pPr>
      <w:r>
        <w:t xml:space="preserve">5.3. تحليل SolidWorks Simulation</w:t>
      </w:r>
    </w:p>
    <w:p>
      <w:pPr>
        <w:pStyle w:val="MdParagraph"/>
      </w:pPr>
      <w:r>
        <w:t xml:space="preserve">تم تحديد منهجية تحليل SolidWorks Simulation لتقييم سلامة التصميم:</w:t>
      </w:r>
    </w:p>
    <w:p>
      <w:pPr>
        <w:pStyle w:val="MdSpace"/>
        <w:spacing w:before="0" w:after="60"/>
      </w:pPr>
    </w:p>
    <w:p>
      <w:pPr>
        <w:pStyle w:val="MdListItem"/>
        <w:numPr>
          <w:ilvl w:val="0"/>
          <w:numId w:val="2"/>
        </w:numPr>
      </w:pPr>
      <w:r>
        <w:rPr>
          <w:rStyle w:val="MdStrong"/>
          <w:b/>
          <w:bCs/>
        </w:rPr>
        <w:t xml:space="preserve">المادة:</w:t>
      </w:r>
      <w:r>
        <w:t xml:space="preserve"> AISI 316L (للولب).</w:t>
      </w:r>
    </w:p>
    <w:p>
      <w:pPr>
        <w:pStyle w:val="MdListItem"/>
        <w:numPr>
          <w:ilvl w:val="0"/>
          <w:numId w:val="2"/>
        </w:numPr>
      </w:pPr>
      <w:r>
        <w:rPr>
          <w:rStyle w:val="MdStrong"/>
          <w:b/>
          <w:bCs/>
        </w:rPr>
        <w:t xml:space="preserve">التثبيتات (Fixtures):</w:t>
      </w:r>
      <w:r>
        <w:t xml:space="preserve"> </w:t>
      </w:r>
      <w:r>
        <w:rPr>
          <w:rStyle w:val="MdCode"/>
          <w:u w:val="single"/>
        </w:rPr>
        <w:t xml:space="preserve">Bearing Fixture</w:t>
      </w:r>
      <w:r>
        <w:t xml:space="preserve"> عند الطرف السفلي لعمود اللولب.</w:t>
      </w:r>
    </w:p>
    <w:p>
      <w:pPr>
        <w:pStyle w:val="MdListItem"/>
        <w:numPr>
          <w:ilvl w:val="0"/>
          <w:numId w:val="2"/>
        </w:numPr>
      </w:pPr>
      <w:r>
        <w:rPr>
          <w:rStyle w:val="MdStrong"/>
          <w:b/>
          <w:bCs/>
        </w:rPr>
        <w:t xml:space="preserve">الأحمال (Loads):</w:t>
      </w:r>
      <w:r>
        <w:t xml:space="preserve"> عزم دوران 3.9 نيوتن.متر (عبر </w:t>
      </w:r>
      <w:r>
        <w:rPr>
          <w:rStyle w:val="MdCode"/>
          <w:u w:val="single"/>
        </w:rPr>
        <w:t xml:space="preserve">Remote Load</w:t>
      </w:r>
      <w:r>
        <w:t xml:space="preserve"> عند J-slot)، ضغط 4208 باسكال على أسطح الريش، وجاذبية 9.81 م/ث².</w:t>
      </w:r>
    </w:p>
    <w:p>
      <w:pPr>
        <w:pStyle w:val="MdListItem"/>
        <w:numPr>
          <w:ilvl w:val="0"/>
          <w:numId w:val="2"/>
        </w:numPr>
      </w:pPr>
      <w:r>
        <w:rPr>
          <w:rStyle w:val="MdStrong"/>
          <w:b/>
          <w:bCs/>
        </w:rPr>
        <w:t xml:space="preserve">أنواع التحليل:</w:t>
      </w:r>
      <w:r>
        <w:t xml:space="preserve"> التحليل الإجهادي الثابت (Static Structural Analysis) لتحديد الإجهادات والانفعالات، والتحليل الديناميكي/الحركة (Motion Analysis) لمحاكاة الدوران وتحديد القوى الديناميكية.</w:t>
      </w:r>
    </w:p>
    <w:p>
      <w:pPr>
        <w:pStyle w:val="MdSpace"/>
        <w:spacing w:before="0" w:after="60"/>
      </w:pPr>
    </w:p>
    <w:p>
      <w:pPr>
        <w:pStyle w:val="Heading2"/>
        <w:pStyle w:val="MdHeading2"/>
      </w:pPr>
      <w:r>
        <w:t xml:space="preserve">6. نظام التحكم الكهربائي (ESP) واعتباراته</w:t>
      </w:r>
    </w:p>
    <w:p>
      <w:pPr>
        <w:pStyle w:val="MdParagraph"/>
      </w:pPr>
      <w:r>
        <w:t xml:space="preserve">يعتمد نظام التحكم في هذه الآلة على وحدة ESP (مثل ESP32) بدلاً من PLC، مما يتطلب اعتبارات تصميمية خاصة:</w:t>
      </w:r>
    </w:p>
    <w:p>
      <w:pPr>
        <w:pStyle w:val="MdSpace"/>
        <w:spacing w:before="0" w:after="60"/>
      </w:pPr>
    </w:p>
    <w:p>
      <w:pPr>
        <w:pStyle w:val="MdListItem"/>
        <w:numPr>
          <w:ilvl w:val="0"/>
          <w:numId w:val="2"/>
        </w:numPr>
      </w:pPr>
      <w:r>
        <w:rPr>
          <w:rStyle w:val="MdStrong"/>
          <w:b/>
          <w:bCs/>
        </w:rPr>
        <w:t xml:space="preserve">وحدة التحكم:</w:t>
      </w:r>
      <w:r>
        <w:t xml:space="preserve"> ESP32، تتطلب برمجة مخصصة (C++/Arduino أو MicroPython).</w:t>
      </w:r>
    </w:p>
    <w:p>
      <w:pPr>
        <w:pStyle w:val="MdListItem"/>
        <w:numPr>
          <w:ilvl w:val="0"/>
          <w:numId w:val="2"/>
        </w:numPr>
      </w:pPr>
      <w:r>
        <w:rPr>
          <w:rStyle w:val="MdStrong"/>
          <w:b/>
          <w:bCs/>
        </w:rPr>
        <w:t xml:space="preserve">واجهة المستخدم:</w:t>
      </w:r>
      <w:r>
        <w:t xml:space="preserve"> شاشة LCD/TFT أو تطبيق ويب/هاتف ذكي.</w:t>
      </w:r>
    </w:p>
    <w:p>
      <w:pPr>
        <w:pStyle w:val="MdListItem"/>
        <w:numPr>
          <w:ilvl w:val="0"/>
          <w:numId w:val="2"/>
        </w:numPr>
      </w:pPr>
      <w:r>
        <w:rPr>
          <w:rStyle w:val="MdStrong"/>
          <w:b/>
          <w:bCs/>
        </w:rPr>
        <w:t xml:space="preserve">الحماية والعزل:</w:t>
      </w:r>
      <w:r>
        <w:t xml:space="preserve"> ضرورة استخدام العزل البصري (Opto-isolation) وتكييف الإشارة (Signal Conditioning) لحماية الـ ESP من الضوضاء الصناعية والجهود العالية.</w:t>
      </w:r>
    </w:p>
    <w:p>
      <w:pPr>
        <w:pStyle w:val="MdListItem"/>
        <w:numPr>
          <w:ilvl w:val="0"/>
          <w:numId w:val="2"/>
        </w:numPr>
      </w:pPr>
      <w:r>
        <w:rPr>
          <w:rStyle w:val="MdStrong"/>
          <w:b/>
          <w:bCs/>
        </w:rPr>
        <w:t xml:space="preserve">المشغلات:</w:t>
      </w:r>
      <w:r>
        <w:t xml:space="preserve"> استخدام مشغلات محركات (Motor Drivers) قوية، ومرحلات (Relays) أو SSRs للسخانات والصمامات، حيث لا يمكن للـ ESP قيادة هذه المكونات مباشرة.</w:t>
      </w:r>
    </w:p>
    <w:p>
      <w:pPr>
        <w:pStyle w:val="MdListItem"/>
        <w:numPr>
          <w:ilvl w:val="0"/>
          <w:numId w:val="2"/>
        </w:numPr>
      </w:pPr>
      <w:r>
        <w:rPr>
          <w:rStyle w:val="MdStrong"/>
          <w:b/>
          <w:bCs/>
        </w:rPr>
        <w:t xml:space="preserve">الموثوقية:</w:t>
      </w:r>
      <w:r>
        <w:t xml:space="preserve"> تصميم دقيق للدوائر لضمان الاستقرار والموثوقية في البيئة الصناعية.</w:t>
      </w:r>
    </w:p>
    <w:p>
      <w:pPr>
        <w:pStyle w:val="MdSpace"/>
        <w:spacing w:before="0" w:after="60"/>
      </w:pPr>
    </w:p>
    <w:p>
      <w:pPr>
        <w:pStyle w:val="Heading2"/>
        <w:pStyle w:val="MdHeading2"/>
      </w:pPr>
      <w:r>
        <w:t xml:space="preserve">7. الخلاصة</w:t>
      </w:r>
    </w:p>
    <w:p>
      <w:pPr>
        <w:pStyle w:val="MdParagraph"/>
      </w:pPr>
      <w:r>
        <w:t xml:space="preserve">يمثل تصميم آلة VFFS للمساحيق الدقيقة مشروعًا هندسيًا متعدد الأوجه يتطلب دقة في التصميم الميكانيكي، وحسابات هندسية دقيقة، وتحليلاً شاملاً للسلوك الهيكلي والديناميكي، بالإضافة إلى نظام تحكم كهربائي فعال. من خلال التركيز على المكونات الرئيسية مثل القادوس، الخلاط، واللولب، وتحديد الأحمال والعزوم بدقة، يمكننا ضمان أن الآلة ستعمل بكفاءة وموثوقية.</w:t>
      </w:r>
    </w:p>
    <w:p>
      <w:pPr>
        <w:pStyle w:val="MdSpace"/>
        <w:spacing w:before="0" w:after="60"/>
      </w:pPr>
    </w:p>
    <w:p>
      <w:pPr>
        <w:pStyle w:val="MdParagraph"/>
      </w:pPr>
      <w:r>
        <w:t xml:space="preserve">إن الحاجة إلى مثل هذه الآلات لا تقتصر على تلبية المتطلبات الصناعية العالمية فحسب، بل تمتد لتشمل دعم التنمية الصناعية والاقتصادية في مناطق مثل الجمهورية اليمنية، حيث يمكن أن تساهم في تعزيز الإنتاج المحلي، وتوفير فرص العمل، وبناء القدرات الهندسية الوطنية. يمثل هذا المشروع خطوة مهمة نحو تحقيق هذه الأهداف، من خلال تقديم حلول هندسية مبتكرة ومستدامة لتحديات التعبئة والتغليف.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2026-01-11T02:23:09.636Z</dcterms:created>
  <dcterms:modified xsi:type="dcterms:W3CDTF">2026-01-11T02:23:09.636Z</dcterms:modified>
</cp:coreProperties>
</file>

<file path=docProps/custom.xml><?xml version="1.0" encoding="utf-8"?>
<Properties xmlns="http://schemas.openxmlformats.org/officeDocument/2006/custom-properties" xmlns:vt="http://schemas.openxmlformats.org/officeDocument/2006/docPropsVTypes"/>
</file>