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B66"/>
          <w:sz w:val="72"/>
        </w:rPr>
        <w:t>DeployGuard</w:t>
      </w:r>
    </w:p>
    <w:p>
      <w:pPr>
        <w:jc w:val="center"/>
      </w:pPr>
      <w:r>
        <w:rPr>
          <w:b/>
          <w:color w:val="1D4ED8"/>
          <w:sz w:val="48"/>
        </w:rPr>
        <w:t>Railway-Like Clean Backend Architecture</w:t>
      </w:r>
    </w:p>
    <w:p>
      <w:pPr>
        <w:spacing w:before="240"/>
        <w:jc w:val="center"/>
      </w:pPr>
      <w:r>
        <w:rPr>
          <w:i/>
          <w:color w:val="5B6573"/>
          <w:sz w:val="26"/>
        </w:rPr>
        <w:t>One-click deployment, platform-owned DevOps, canonical state, safe concurrency and one-click deletion</w:t>
      </w:r>
    </w:p>
    <w:p>
      <w:pPr>
        <w:spacing w:before="700"/>
      </w:pPr>
    </w:p>
    <w:tbl>
      <w:tblPr>
        <w:tblStyle w:val="TableGrid"/>
        <w:tblW w:type="auto" w:w="0"/>
        <w:jc w:val="center"/>
        <w:tblLook w:firstColumn="1" w:firstRow="1" w:lastColumn="0" w:lastRow="0" w:noHBand="0" w:noVBand="1" w:val="04A0"/>
      </w:tblPr>
      <w:tblGrid>
        <w:gridCol w:w="4986"/>
        <w:gridCol w:w="4986"/>
      </w:tblGrid>
      <w:tr>
        <w:tc>
          <w:tcPr>
            <w:tcW w:type="dxa" w:w="4986"/>
            <w:shd w:fill="E8F1FB"/>
            <w:vAlign w:val="center"/>
          </w:tcPr>
          <w:p>
            <w:r>
              <w:rPr>
                <w:b/>
              </w:rPr>
              <w:t>Document type</w:t>
            </w:r>
          </w:p>
        </w:tc>
        <w:tc>
          <w:tcPr>
            <w:tcW w:type="dxa" w:w="4986"/>
            <w:vAlign w:val="center"/>
          </w:tcPr>
          <w:p>
            <w:r>
              <w:t>Architecture and implementation report</w:t>
            </w:r>
          </w:p>
        </w:tc>
      </w:tr>
      <w:tr>
        <w:tc>
          <w:tcPr>
            <w:tcW w:type="dxa" w:w="4986"/>
            <w:shd w:fill="E8F1FB"/>
            <w:vAlign w:val="center"/>
          </w:tcPr>
          <w:p>
            <w:r>
              <w:rPr>
                <w:b/>
              </w:rPr>
              <w:t>Audience</w:t>
            </w:r>
          </w:p>
        </w:tc>
        <w:tc>
          <w:tcPr>
            <w:tcW w:type="dxa" w:w="4986"/>
            <w:vAlign w:val="center"/>
          </w:tcPr>
          <w:p>
            <w:r>
              <w:t>FYP panel, engineering team, product and UI reviewers</w:t>
            </w:r>
          </w:p>
        </w:tc>
      </w:tr>
      <w:tr>
        <w:tc>
          <w:tcPr>
            <w:tcW w:type="dxa" w:w="4986"/>
            <w:shd w:fill="E8F1FB"/>
            <w:vAlign w:val="center"/>
          </w:tcPr>
          <w:p>
            <w:r>
              <w:rPr>
                <w:b/>
              </w:rPr>
              <w:t>Prepared for</w:t>
            </w:r>
          </w:p>
        </w:tc>
        <w:tc>
          <w:tcPr>
            <w:tcW w:type="dxa" w:w="4986"/>
            <w:vAlign w:val="center"/>
          </w:tcPr>
          <w:p>
            <w:r>
              <w:t>DeployGuard platform redesign</w:t>
            </w:r>
          </w:p>
        </w:tc>
      </w:tr>
      <w:tr>
        <w:tc>
          <w:tcPr>
            <w:tcW w:type="dxa" w:w="4986"/>
            <w:shd w:fill="E8F1FB"/>
            <w:vAlign w:val="center"/>
          </w:tcPr>
          <w:p>
            <w:r>
              <w:rPr>
                <w:b/>
              </w:rPr>
              <w:t>Date</w:t>
            </w:r>
          </w:p>
        </w:tc>
        <w:tc>
          <w:tcPr>
            <w:tcW w:type="dxa" w:w="4986"/>
            <w:vAlign w:val="center"/>
          </w:tcPr>
          <w:p>
            <w:r>
              <w:t>23 July 2026</w:t>
            </w:r>
          </w:p>
        </w:tc>
      </w:tr>
    </w:tbl>
    <w:p>
      <w:pPr>
        <w:spacing w:before="700"/>
      </w:pPr>
    </w:p>
    <w:tbl>
      <w:tblPr>
        <w:tblW w:type="auto" w:w="0"/>
        <w:jc w:val="center"/>
        <w:tblLayout w:type="autofit"/>
        <w:tblLook w:firstColumn="1" w:firstRow="1" w:lastColumn="0" w:lastRow="0" w:noHBand="0" w:noVBand="1" w:val="04A0"/>
      </w:tblPr>
      <w:tblGrid>
        <w:gridCol w:w="9972"/>
      </w:tblGrid>
      <w:tr>
        <w:trPr>
          <w:cantSplit/>
        </w:trPr>
        <w:tc>
          <w:tcPr>
            <w:tcW w:type="dxa" w:w="9972"/>
            <w:shd w:fill="EAF7EF"/>
            <w:tcBorders>
              <w:top w:val="single" w:sz="8" w:color="123B66"/>
              <w:left w:val="single" w:sz="8" w:color="123B66"/>
              <w:bottom w:val="single" w:sz="8" w:color="123B66"/>
              <w:right w:val="single" w:sz="8" w:color="123B66"/>
            </w:tcBorders>
          </w:tcPr>
          <w:p>
            <w:pPr>
              <w:spacing w:after="0"/>
            </w:pPr>
            <w:r>
              <w:rPr>
                <w:b/>
                <w:color w:val="123B66"/>
              </w:rPr>
              <w:t>Product promise</w:t>
              <w:br/>
            </w:r>
            <w:r>
              <w:t>A developer connects a repository, supplies only unresolved application-owned values, clicks Deploy, and receives a live URL. Terraform, ECS, cloud networking, state, recovery and cleanup remain internal platform responsibilities.</w:t>
            </w:r>
          </w:p>
        </w:tc>
      </w:tr>
    </w:tbl>
    <w:p>
      <w:pPr>
        <w:spacing w:after="0"/>
      </w:pPr>
    </w:p>
    <w:p>
      <w:r>
        <w:br w:type="page"/>
      </w:r>
    </w:p>
    <w:p>
      <w:pPr>
        <w:pStyle w:val="Heading1"/>
        <w:keepNext/>
      </w:pPr>
      <w:r>
        <w:rPr>
          <w:color w:val="123B66"/>
        </w:rPr>
        <w:t>Contents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008"/>
            <w:shd w:fill="123B66"/>
            <w:vAlign w:val="center"/>
          </w:tcPr>
          <w:p>
            <w:pPr>
              <w:jc w:val="center"/>
            </w:pPr>
            <w:r>
              <w:rPr>
                <w:b/>
                <w:color w:val="FFFFFF"/>
                <w:sz w:val="18"/>
              </w:rPr>
              <w:t>Section</w:t>
            </w:r>
          </w:p>
        </w:tc>
        <w:tc>
          <w:tcPr>
            <w:tcW w:type="dxa" w:w="8352"/>
            <w:shd w:fill="123B66"/>
            <w:vAlign w:val="center"/>
          </w:tcPr>
          <w:p>
            <w:pPr>
              <w:jc w:val="center"/>
            </w:pPr>
            <w:r>
              <w:rPr>
                <w:b/>
                <w:color w:val="FFFFFF"/>
                <w:sz w:val="18"/>
              </w:rPr>
              <w:t>Title</w:t>
            </w:r>
          </w:p>
        </w:tc>
      </w:tr>
      <w:tr>
        <w:trPr>
          <w:cantSplit/>
        </w:trPr>
        <w:tc>
          <w:tcPr>
            <w:tcW w:type="dxa" w:w="1008"/>
            <w:vAlign w:val="top"/>
          </w:tcPr>
          <w:p>
            <w:pPr>
              <w:spacing w:after="0"/>
            </w:pPr>
            <w:r>
              <w:rPr>
                <w:color w:val="1F2937"/>
                <w:sz w:val="18"/>
              </w:rPr>
              <w:t>1</w:t>
            </w:r>
          </w:p>
        </w:tc>
        <w:tc>
          <w:tcPr>
            <w:tcW w:type="dxa" w:w="8352"/>
            <w:vAlign w:val="top"/>
          </w:tcPr>
          <w:p>
            <w:pPr>
              <w:spacing w:after="0"/>
            </w:pPr>
            <w:r>
              <w:rPr>
                <w:color w:val="1F2937"/>
                <w:sz w:val="18"/>
              </w:rPr>
              <w:t>Executive Summary</w:t>
            </w:r>
          </w:p>
        </w:tc>
      </w:tr>
      <w:tr>
        <w:trPr>
          <w:cantSplit/>
        </w:trPr>
        <w:tc>
          <w:tcPr>
            <w:tcW w:type="dxa" w:w="1008"/>
            <w:shd w:fill="F7F9FC"/>
            <w:vAlign w:val="top"/>
          </w:tcPr>
          <w:p>
            <w:pPr>
              <w:spacing w:after="0"/>
            </w:pPr>
            <w:r>
              <w:rPr>
                <w:color w:val="1F2937"/>
                <w:sz w:val="18"/>
              </w:rPr>
              <w:t>2</w:t>
            </w:r>
          </w:p>
        </w:tc>
        <w:tc>
          <w:tcPr>
            <w:tcW w:type="dxa" w:w="8352"/>
            <w:shd w:fill="F7F9FC"/>
            <w:vAlign w:val="top"/>
          </w:tcPr>
          <w:p>
            <w:pPr>
              <w:spacing w:after="0"/>
            </w:pPr>
            <w:r>
              <w:rPr>
                <w:color w:val="1F2937"/>
                <w:sz w:val="18"/>
              </w:rPr>
              <w:t>Product Vision and Design Principles</w:t>
            </w:r>
          </w:p>
        </w:tc>
      </w:tr>
      <w:tr>
        <w:trPr>
          <w:cantSplit/>
        </w:trPr>
        <w:tc>
          <w:tcPr>
            <w:tcW w:type="dxa" w:w="1008"/>
            <w:vAlign w:val="top"/>
          </w:tcPr>
          <w:p>
            <w:pPr>
              <w:spacing w:after="0"/>
            </w:pPr>
            <w:r>
              <w:rPr>
                <w:color w:val="1F2937"/>
                <w:sz w:val="18"/>
              </w:rPr>
              <w:t>3</w:t>
            </w:r>
          </w:p>
        </w:tc>
        <w:tc>
          <w:tcPr>
            <w:tcW w:type="dxa" w:w="8352"/>
            <w:vAlign w:val="top"/>
          </w:tcPr>
          <w:p>
            <w:pPr>
              <w:spacing w:after="0"/>
            </w:pPr>
            <w:r>
              <w:rPr>
                <w:color w:val="1F2937"/>
                <w:sz w:val="18"/>
              </w:rPr>
              <w:t>Architecture Overview</w:t>
            </w:r>
          </w:p>
        </w:tc>
      </w:tr>
      <w:tr>
        <w:trPr>
          <w:cantSplit/>
        </w:trPr>
        <w:tc>
          <w:tcPr>
            <w:tcW w:type="dxa" w:w="1008"/>
            <w:shd w:fill="F7F9FC"/>
            <w:vAlign w:val="top"/>
          </w:tcPr>
          <w:p>
            <w:pPr>
              <w:spacing w:after="0"/>
            </w:pPr>
            <w:r>
              <w:rPr>
                <w:color w:val="1F2937"/>
                <w:sz w:val="18"/>
              </w:rPr>
              <w:t>4</w:t>
            </w:r>
          </w:p>
        </w:tc>
        <w:tc>
          <w:tcPr>
            <w:tcW w:type="dxa" w:w="8352"/>
            <w:shd w:fill="F7F9FC"/>
            <w:vAlign w:val="top"/>
          </w:tcPr>
          <w:p>
            <w:pPr>
              <w:spacing w:after="0"/>
            </w:pPr>
            <w:r>
              <w:rPr>
                <w:color w:val="1F2937"/>
                <w:sz w:val="18"/>
              </w:rPr>
              <w:t>Developer Experience</w:t>
            </w:r>
          </w:p>
        </w:tc>
      </w:tr>
      <w:tr>
        <w:trPr>
          <w:cantSplit/>
        </w:trPr>
        <w:tc>
          <w:tcPr>
            <w:tcW w:type="dxa" w:w="1008"/>
            <w:vAlign w:val="top"/>
          </w:tcPr>
          <w:p>
            <w:pPr>
              <w:spacing w:after="0"/>
            </w:pPr>
            <w:r>
              <w:rPr>
                <w:color w:val="1F2937"/>
                <w:sz w:val="18"/>
              </w:rPr>
              <w:t>5</w:t>
            </w:r>
          </w:p>
        </w:tc>
        <w:tc>
          <w:tcPr>
            <w:tcW w:type="dxa" w:w="8352"/>
            <w:vAlign w:val="top"/>
          </w:tcPr>
          <w:p>
            <w:pPr>
              <w:spacing w:after="0"/>
            </w:pPr>
            <w:r>
              <w:rPr>
                <w:color w:val="1F2937"/>
                <w:sz w:val="18"/>
              </w:rPr>
              <w:t>Backend Control Plane</w:t>
            </w:r>
          </w:p>
        </w:tc>
      </w:tr>
      <w:tr>
        <w:trPr>
          <w:cantSplit/>
        </w:trPr>
        <w:tc>
          <w:tcPr>
            <w:tcW w:type="dxa" w:w="1008"/>
            <w:shd w:fill="F7F9FC"/>
            <w:vAlign w:val="top"/>
          </w:tcPr>
          <w:p>
            <w:pPr>
              <w:spacing w:after="0"/>
            </w:pPr>
            <w:r>
              <w:rPr>
                <w:color w:val="1F2937"/>
                <w:sz w:val="18"/>
              </w:rPr>
              <w:t>6</w:t>
            </w:r>
          </w:p>
        </w:tc>
        <w:tc>
          <w:tcPr>
            <w:tcW w:type="dxa" w:w="8352"/>
            <w:shd w:fill="F7F9FC"/>
            <w:vAlign w:val="top"/>
          </w:tcPr>
          <w:p>
            <w:pPr>
              <w:spacing w:after="0"/>
            </w:pPr>
            <w:r>
              <w:rPr>
                <w:color w:val="1F2937"/>
                <w:sz w:val="18"/>
              </w:rPr>
              <w:t>Deployment Orchestration</w:t>
            </w:r>
          </w:p>
        </w:tc>
      </w:tr>
      <w:tr>
        <w:trPr>
          <w:cantSplit/>
        </w:trPr>
        <w:tc>
          <w:tcPr>
            <w:tcW w:type="dxa" w:w="1008"/>
            <w:vAlign w:val="top"/>
          </w:tcPr>
          <w:p>
            <w:pPr>
              <w:spacing w:after="0"/>
            </w:pPr>
            <w:r>
              <w:rPr>
                <w:color w:val="1F2937"/>
                <w:sz w:val="18"/>
              </w:rPr>
              <w:t>7</w:t>
            </w:r>
          </w:p>
        </w:tc>
        <w:tc>
          <w:tcPr>
            <w:tcW w:type="dxa" w:w="8352"/>
            <w:vAlign w:val="top"/>
          </w:tcPr>
          <w:p>
            <w:pPr>
              <w:spacing w:after="0"/>
            </w:pPr>
            <w:r>
              <w:rPr>
                <w:color w:val="1F2937"/>
                <w:sz w:val="18"/>
              </w:rPr>
              <w:t>Concurrency, Isolation and Idempotency</w:t>
            </w:r>
          </w:p>
        </w:tc>
      </w:tr>
      <w:tr>
        <w:trPr>
          <w:cantSplit/>
        </w:trPr>
        <w:tc>
          <w:tcPr>
            <w:tcW w:type="dxa" w:w="1008"/>
            <w:shd w:fill="F7F9FC"/>
            <w:vAlign w:val="top"/>
          </w:tcPr>
          <w:p>
            <w:pPr>
              <w:spacing w:after="0"/>
            </w:pPr>
            <w:r>
              <w:rPr>
                <w:color w:val="1F2937"/>
                <w:sz w:val="18"/>
              </w:rPr>
              <w:t>8</w:t>
            </w:r>
          </w:p>
        </w:tc>
        <w:tc>
          <w:tcPr>
            <w:tcW w:type="dxa" w:w="8352"/>
            <w:shd w:fill="F7F9FC"/>
            <w:vAlign w:val="top"/>
          </w:tcPr>
          <w:p>
            <w:pPr>
              <w:spacing w:after="0"/>
            </w:pPr>
            <w:r>
              <w:rPr>
                <w:color w:val="1F2937"/>
                <w:sz w:val="18"/>
              </w:rPr>
              <w:t>Configuration, Secrets and Managed Services</w:t>
            </w:r>
          </w:p>
        </w:tc>
      </w:tr>
      <w:tr>
        <w:trPr>
          <w:cantSplit/>
        </w:trPr>
        <w:tc>
          <w:tcPr>
            <w:tcW w:type="dxa" w:w="1008"/>
            <w:vAlign w:val="top"/>
          </w:tcPr>
          <w:p>
            <w:pPr>
              <w:spacing w:after="0"/>
            </w:pPr>
            <w:r>
              <w:rPr>
                <w:color w:val="1F2937"/>
                <w:sz w:val="18"/>
              </w:rPr>
              <w:t>9</w:t>
            </w:r>
          </w:p>
        </w:tc>
        <w:tc>
          <w:tcPr>
            <w:tcW w:type="dxa" w:w="8352"/>
            <w:vAlign w:val="top"/>
          </w:tcPr>
          <w:p>
            <w:pPr>
              <w:spacing w:after="0"/>
            </w:pPr>
            <w:r>
              <w:rPr>
                <w:color w:val="1F2937"/>
                <w:sz w:val="18"/>
              </w:rPr>
              <w:t>Error Ownership and Automatic Recovery</w:t>
            </w:r>
          </w:p>
        </w:tc>
      </w:tr>
      <w:tr>
        <w:trPr>
          <w:cantSplit/>
        </w:trPr>
        <w:tc>
          <w:tcPr>
            <w:tcW w:type="dxa" w:w="1008"/>
            <w:shd w:fill="F7F9FC"/>
            <w:vAlign w:val="top"/>
          </w:tcPr>
          <w:p>
            <w:pPr>
              <w:spacing w:after="0"/>
            </w:pPr>
            <w:r>
              <w:rPr>
                <w:color w:val="1F2937"/>
                <w:sz w:val="18"/>
              </w:rPr>
              <w:t>10</w:t>
            </w:r>
          </w:p>
        </w:tc>
        <w:tc>
          <w:tcPr>
            <w:tcW w:type="dxa" w:w="8352"/>
            <w:shd w:fill="F7F9FC"/>
            <w:vAlign w:val="top"/>
          </w:tcPr>
          <w:p>
            <w:pPr>
              <w:spacing w:after="0"/>
            </w:pPr>
            <w:r>
              <w:rPr>
                <w:color w:val="1F2937"/>
                <w:sz w:val="18"/>
              </w:rPr>
              <w:t>One-Click Deletion</w:t>
            </w:r>
          </w:p>
        </w:tc>
      </w:tr>
      <w:tr>
        <w:trPr>
          <w:cantSplit/>
        </w:trPr>
        <w:tc>
          <w:tcPr>
            <w:tcW w:type="dxa" w:w="1008"/>
            <w:vAlign w:val="top"/>
          </w:tcPr>
          <w:p>
            <w:pPr>
              <w:spacing w:after="0"/>
            </w:pPr>
            <w:r>
              <w:rPr>
                <w:color w:val="1F2937"/>
                <w:sz w:val="18"/>
              </w:rPr>
              <w:t>11</w:t>
            </w:r>
          </w:p>
        </w:tc>
        <w:tc>
          <w:tcPr>
            <w:tcW w:type="dxa" w:w="8352"/>
            <w:vAlign w:val="top"/>
          </w:tcPr>
          <w:p>
            <w:pPr>
              <w:spacing w:after="0"/>
            </w:pPr>
            <w:r>
              <w:rPr>
                <w:color w:val="1F2937"/>
                <w:sz w:val="18"/>
              </w:rPr>
              <w:t>Observability and Canonical State</w:t>
            </w:r>
          </w:p>
        </w:tc>
      </w:tr>
      <w:tr>
        <w:trPr>
          <w:cantSplit/>
        </w:trPr>
        <w:tc>
          <w:tcPr>
            <w:tcW w:type="dxa" w:w="1008"/>
            <w:shd w:fill="F7F9FC"/>
            <w:vAlign w:val="top"/>
          </w:tcPr>
          <w:p>
            <w:pPr>
              <w:spacing w:after="0"/>
            </w:pPr>
            <w:r>
              <w:rPr>
                <w:color w:val="1F2937"/>
                <w:sz w:val="18"/>
              </w:rPr>
              <w:t>12</w:t>
            </w:r>
          </w:p>
        </w:tc>
        <w:tc>
          <w:tcPr>
            <w:tcW w:type="dxa" w:w="8352"/>
            <w:shd w:fill="F7F9FC"/>
            <w:vAlign w:val="top"/>
          </w:tcPr>
          <w:p>
            <w:pPr>
              <w:spacing w:after="0"/>
            </w:pPr>
            <w:r>
              <w:rPr>
                <w:color w:val="1F2937"/>
                <w:sz w:val="18"/>
              </w:rPr>
              <w:t>Developer and Admin UI Information Architecture</w:t>
            </w:r>
          </w:p>
        </w:tc>
      </w:tr>
      <w:tr>
        <w:trPr>
          <w:cantSplit/>
        </w:trPr>
        <w:tc>
          <w:tcPr>
            <w:tcW w:type="dxa" w:w="1008"/>
            <w:vAlign w:val="top"/>
          </w:tcPr>
          <w:p>
            <w:pPr>
              <w:spacing w:after="0"/>
            </w:pPr>
            <w:r>
              <w:rPr>
                <w:color w:val="1F2937"/>
                <w:sz w:val="18"/>
              </w:rPr>
              <w:t>13</w:t>
            </w:r>
          </w:p>
        </w:tc>
        <w:tc>
          <w:tcPr>
            <w:tcW w:type="dxa" w:w="8352"/>
            <w:vAlign w:val="top"/>
          </w:tcPr>
          <w:p>
            <w:pPr>
              <w:spacing w:after="0"/>
            </w:pPr>
            <w:r>
              <w:rPr>
                <w:color w:val="1F2937"/>
                <w:sz w:val="18"/>
              </w:rPr>
              <w:t>Implementation Roadmap</w:t>
            </w:r>
          </w:p>
        </w:tc>
      </w:tr>
      <w:tr>
        <w:trPr>
          <w:cantSplit/>
        </w:trPr>
        <w:tc>
          <w:tcPr>
            <w:tcW w:type="dxa" w:w="1008"/>
            <w:shd w:fill="F7F9FC"/>
            <w:vAlign w:val="top"/>
          </w:tcPr>
          <w:p>
            <w:pPr>
              <w:spacing w:after="0"/>
            </w:pPr>
            <w:r>
              <w:rPr>
                <w:color w:val="1F2937"/>
                <w:sz w:val="18"/>
              </w:rPr>
              <w:t>14</w:t>
            </w:r>
          </w:p>
        </w:tc>
        <w:tc>
          <w:tcPr>
            <w:tcW w:type="dxa" w:w="8352"/>
            <w:shd w:fill="F7F9FC"/>
            <w:vAlign w:val="top"/>
          </w:tcPr>
          <w:p>
            <w:pPr>
              <w:spacing w:after="0"/>
            </w:pPr>
            <w:r>
              <w:rPr>
                <w:color w:val="1F2937"/>
                <w:sz w:val="18"/>
              </w:rPr>
              <w:t>Acceptance Tests and Operational SLOs</w:t>
            </w:r>
          </w:p>
        </w:tc>
      </w:tr>
      <w:tr>
        <w:trPr>
          <w:cantSplit/>
        </w:trPr>
        <w:tc>
          <w:tcPr>
            <w:tcW w:type="dxa" w:w="1008"/>
            <w:vAlign w:val="top"/>
          </w:tcPr>
          <w:p>
            <w:pPr>
              <w:spacing w:after="0"/>
            </w:pPr>
            <w:r>
              <w:rPr>
                <w:color w:val="1F2937"/>
                <w:sz w:val="18"/>
              </w:rPr>
              <w:t>15</w:t>
            </w:r>
          </w:p>
        </w:tc>
        <w:tc>
          <w:tcPr>
            <w:tcW w:type="dxa" w:w="8352"/>
            <w:vAlign w:val="top"/>
          </w:tcPr>
          <w:p>
            <w:pPr>
              <w:spacing w:after="0"/>
            </w:pPr>
            <w:r>
              <w:rPr>
                <w:color w:val="1F2937"/>
                <w:sz w:val="18"/>
              </w:rPr>
              <w:t>Risks and Migration Strategy</w:t>
            </w:r>
          </w:p>
        </w:tc>
      </w:tr>
      <w:tr>
        <w:trPr>
          <w:cantSplit/>
        </w:trPr>
        <w:tc>
          <w:tcPr>
            <w:tcW w:type="dxa" w:w="1008"/>
            <w:shd w:fill="F7F9FC"/>
            <w:vAlign w:val="top"/>
          </w:tcPr>
          <w:p>
            <w:pPr>
              <w:spacing w:after="0"/>
            </w:pPr>
            <w:r>
              <w:rPr>
                <w:color w:val="1F2937"/>
                <w:sz w:val="18"/>
              </w:rPr>
              <w:t>16</w:t>
            </w:r>
          </w:p>
        </w:tc>
        <w:tc>
          <w:tcPr>
            <w:tcW w:type="dxa" w:w="8352"/>
            <w:shd w:fill="F7F9FC"/>
            <w:vAlign w:val="top"/>
          </w:tcPr>
          <w:p>
            <w:pPr>
              <w:spacing w:after="0"/>
            </w:pPr>
            <w:r>
              <w:rPr>
                <w:color w:val="1F2937"/>
                <w:sz w:val="18"/>
              </w:rPr>
              <w:t>Final Target State</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FFF7ED"/>
            <w:tcBorders>
              <w:top w:val="single" w:sz="8" w:color="123B66"/>
              <w:left w:val="single" w:sz="8" w:color="123B66"/>
              <w:bottom w:val="single" w:sz="8" w:color="123B66"/>
              <w:right w:val="single" w:sz="8" w:color="123B66"/>
            </w:tcBorders>
          </w:tcPr>
          <w:p>
            <w:pPr>
              <w:spacing w:after="0"/>
            </w:pPr>
            <w:r>
              <w:rPr>
                <w:b/>
                <w:color w:val="123B66"/>
              </w:rPr>
              <w:t>Reading guide</w:t>
              <w:br/>
            </w:r>
            <w:r>
              <w:t>Sections 3-12 define the target architecture. Section 13 gives the recommended implementation sequence. Section 14 defines the release gate that must pass before deployments are re-enabled.</w:t>
            </w:r>
          </w:p>
        </w:tc>
      </w:tr>
    </w:tbl>
    <w:p>
      <w:pPr>
        <w:spacing w:after="0"/>
      </w:pPr>
    </w:p>
    <w:p>
      <w:r>
        <w:br w:type="page"/>
      </w:r>
    </w:p>
    <w:p>
      <w:pPr>
        <w:pStyle w:val="Heading1"/>
        <w:spacing w:before="240" w:after="100"/>
        <w:keepNext/>
      </w:pPr>
      <w:r>
        <w:rPr>
          <w:color w:val="123B66"/>
        </w:rPr>
        <w:t>1. Executive Summary</w:t>
      </w:r>
    </w:p>
    <w:p>
      <w:pPr>
        <w:spacing w:after="100" w:line="259" w:lineRule="auto"/>
      </w:pPr>
      <w:r>
        <w:t>DeployGuard should be simplified into a Railway-like Platform as a Service in which the developer performs only application-level actions. The platform must hide infrastructure planning, Terraform state, ECS, service discovery, cloud cleanup and recovery mechanics. The developer workflow becomes: connect repository, provide unresolved application configuration, click Deploy, monitor five understandable phases, and receive a live URL.</w:t>
      </w:r>
    </w:p>
    <w:p>
      <w:pPr>
        <w:spacing w:after="100" w:line="259" w:lineRule="auto"/>
      </w:pPr>
      <w:r>
        <w:t>The current platform has accumulated multiple technical views of desired state, pipeline state, Terraform state, observed AWS state and cleanup state. This creates false positives, conflicting screens, repeated plan/approval loops and operational actions that are inappropriate for a zero-DevOps user. The redesign makes one canonical backend state projection authoritative for every UI page and every recovery decision.</w:t>
      </w:r>
    </w:p>
    <w:p>
      <w:pPr>
        <w:spacing w:after="100" w:line="259" w:lineRule="auto"/>
      </w:pPr>
      <w:r>
        <w:t>The recommended architecture retains the existing NestJS, BullMQ, PostgreSQL, Redis, Docker, ECR, Terraform and ECS foundations, but changes the product boundary. Infrastructure operations remain available only through internal orchestration and an administrator diagnostics surface. Normal developers see deployment phases, application errors, logs, metrics, a live URL and one-click deletion.</w:t>
      </w:r>
    </w:p>
    <w:tbl>
      <w:tblPr>
        <w:tblW w:type="auto" w:w="0"/>
        <w:jc w:val="center"/>
        <w:tblLayout w:type="autofit"/>
        <w:tblLook w:firstColumn="1" w:firstRow="1" w:lastColumn="0" w:lastRow="0" w:noHBand="0" w:noVBand="1" w:val="04A0"/>
      </w:tblPr>
      <w:tblGrid>
        <w:gridCol w:w="9972"/>
      </w:tblGrid>
      <w:tr>
        <w:trPr>
          <w:cantSplit/>
        </w:trPr>
        <w:tc>
          <w:tcPr>
            <w:tcW w:type="dxa" w:w="9972"/>
            <w:shd w:fill="E8F1FB"/>
            <w:tcBorders>
              <w:top w:val="single" w:sz="8" w:color="123B66"/>
              <w:left w:val="single" w:sz="8" w:color="123B66"/>
              <w:bottom w:val="single" w:sz="8" w:color="123B66"/>
              <w:right w:val="single" w:sz="8" w:color="123B66"/>
            </w:tcBorders>
          </w:tcPr>
          <w:p>
            <w:pPr>
              <w:spacing w:after="0"/>
            </w:pPr>
            <w:r>
              <w:rPr>
                <w:b/>
                <w:color w:val="123B66"/>
              </w:rPr>
              <w:t>Core decision</w:t>
              <w:br/>
            </w:r>
            <w:r>
              <w:t>Do not remove Terraform or ECS merely to simplify the UI. Keep them as internal implementation details, then enforce a clean command/state boundary so the developer never has to operate them.</w:t>
            </w:r>
          </w:p>
        </w:tc>
      </w:tr>
    </w:tbl>
    <w:p>
      <w:pPr>
        <w:spacing w:after="0"/>
      </w:pPr>
    </w:p>
    <w:p>
      <w:pPr>
        <w:pStyle w:val="Heading1"/>
        <w:spacing w:before="240" w:after="100"/>
        <w:keepNext/>
      </w:pPr>
      <w:r>
        <w:rPr>
          <w:color w:val="123B66"/>
        </w:rPr>
        <w:t>2. Product Vision and Design Principles</w:t>
      </w:r>
    </w:p>
    <w:p>
      <w:pPr>
        <w:pStyle w:val="Heading2"/>
        <w:spacing w:before="160" w:after="60"/>
        <w:keepNext/>
      </w:pPr>
      <w:r>
        <w:rPr>
          <w:color w:val="1D4ED8"/>
        </w:rPr>
        <w:t>2.1 Target developer journey</w:t>
      </w:r>
    </w:p>
    <w:p>
      <w:pPr>
        <w:pStyle w:val="ListBullet"/>
        <w:spacing w:after="40"/>
      </w:pPr>
      <w:r>
        <w:t>Connect a GitHub repository and select a branch.</w:t>
      </w:r>
    </w:p>
    <w:p>
      <w:pPr>
        <w:pStyle w:val="ListBullet"/>
        <w:spacing w:after="40"/>
      </w:pPr>
      <w:r>
        <w:t>Review automatically detected runtime, port, health path and managed service requirements.</w:t>
      </w:r>
    </w:p>
    <w:p>
      <w:pPr>
        <w:pStyle w:val="ListBullet"/>
        <w:spacing w:after="40"/>
      </w:pPr>
      <w:r>
        <w:t>Provide only unresolved application-owned secrets or variables.</w:t>
      </w:r>
    </w:p>
    <w:p>
      <w:pPr>
        <w:pStyle w:val="ListBullet"/>
        <w:spacing w:after="40"/>
      </w:pPr>
      <w:r>
        <w:t>Click Deploy once.</w:t>
      </w:r>
    </w:p>
    <w:p>
      <w:pPr>
        <w:pStyle w:val="ListBullet"/>
        <w:spacing w:after="40"/>
      </w:pPr>
      <w:r>
        <w:t>Observe Analyze, Build, Prepare, Deploy and Verify.</w:t>
      </w:r>
    </w:p>
    <w:p>
      <w:pPr>
        <w:pStyle w:val="ListBullet"/>
        <w:spacing w:after="40"/>
      </w:pPr>
      <w:r>
        <w:t>Receive a stable live URL or a clear application-owned error.</w:t>
      </w:r>
    </w:p>
    <w:p>
      <w:pPr>
        <w:pStyle w:val="ListBullet"/>
        <w:spacing w:after="40"/>
      </w:pPr>
      <w:r>
        <w:t>Delete the project through one confirmation and visible deletion progress.</w:t>
      </w:r>
    </w:p>
    <w:p>
      <w:pPr>
        <w:pStyle w:val="Heading2"/>
        <w:spacing w:before="160" w:after="60"/>
        <w:keepNext/>
      </w:pPr>
      <w:r>
        <w:rPr>
          <w:color w:val="1D4ED8"/>
        </w:rPr>
        <w:t>2.2 Non-negotiable design principles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04"/>
            <w:shd w:fill="123B66"/>
            <w:vAlign w:val="center"/>
          </w:tcPr>
          <w:p>
            <w:pPr>
              <w:jc w:val="center"/>
            </w:pPr>
            <w:r>
              <w:rPr>
                <w:b/>
                <w:color w:val="FFFFFF"/>
                <w:sz w:val="18"/>
              </w:rPr>
              <w:t>Principle</w:t>
            </w:r>
          </w:p>
        </w:tc>
        <w:tc>
          <w:tcPr>
            <w:tcW w:type="dxa" w:w="7200"/>
            <w:shd w:fill="123B66"/>
            <w:vAlign w:val="center"/>
          </w:tcPr>
          <w:p>
            <w:pPr>
              <w:jc w:val="center"/>
            </w:pPr>
            <w:r>
              <w:rPr>
                <w:b/>
                <w:color w:val="FFFFFF"/>
                <w:sz w:val="18"/>
              </w:rPr>
              <w:t>Meaning</w:t>
            </w:r>
          </w:p>
        </w:tc>
      </w:tr>
      <w:tr>
        <w:trPr>
          <w:cantSplit/>
        </w:trPr>
        <w:tc>
          <w:tcPr>
            <w:tcW w:type="dxa" w:w="2304"/>
            <w:vAlign w:val="top"/>
          </w:tcPr>
          <w:p>
            <w:pPr>
              <w:spacing w:after="0"/>
            </w:pPr>
            <w:r>
              <w:rPr>
                <w:color w:val="1F2937"/>
                <w:sz w:val="18"/>
              </w:rPr>
              <w:t>One-click deploy</w:t>
            </w:r>
          </w:p>
        </w:tc>
        <w:tc>
          <w:tcPr>
            <w:tcW w:type="dxa" w:w="7200"/>
            <w:vAlign w:val="top"/>
          </w:tcPr>
          <w:p>
            <w:pPr>
              <w:spacing w:after="0"/>
            </w:pPr>
            <w:r>
              <w:rPr>
                <w:color w:val="1F2937"/>
                <w:sz w:val="18"/>
              </w:rPr>
              <w:t>A normal deployment does not expose plan generation, state refresh, approval, ECS or networking actions.</w:t>
            </w:r>
          </w:p>
        </w:tc>
      </w:tr>
      <w:tr>
        <w:trPr>
          <w:cantSplit/>
        </w:trPr>
        <w:tc>
          <w:tcPr>
            <w:tcW w:type="dxa" w:w="2304"/>
            <w:shd w:fill="F7F9FC"/>
            <w:vAlign w:val="top"/>
          </w:tcPr>
          <w:p>
            <w:pPr>
              <w:spacing w:after="0"/>
            </w:pPr>
            <w:r>
              <w:rPr>
                <w:color w:val="1F2937"/>
                <w:sz w:val="18"/>
              </w:rPr>
              <w:t>One canonical state</w:t>
            </w:r>
          </w:p>
        </w:tc>
        <w:tc>
          <w:tcPr>
            <w:tcW w:type="dxa" w:w="7200"/>
            <w:shd w:fill="F7F9FC"/>
            <w:vAlign w:val="top"/>
          </w:tcPr>
          <w:p>
            <w:pPr>
              <w:spacing w:after="0"/>
            </w:pPr>
            <w:r>
              <w:rPr>
                <w:color w:val="1F2937"/>
                <w:sz w:val="18"/>
              </w:rPr>
              <w:t>Every page reads one backend projection; the frontend does not infer stage status independently.</w:t>
            </w:r>
          </w:p>
        </w:tc>
      </w:tr>
      <w:tr>
        <w:trPr>
          <w:cantSplit/>
        </w:trPr>
        <w:tc>
          <w:tcPr>
            <w:tcW w:type="dxa" w:w="2304"/>
            <w:vAlign w:val="top"/>
          </w:tcPr>
          <w:p>
            <w:pPr>
              <w:spacing w:after="0"/>
            </w:pPr>
            <w:r>
              <w:rPr>
                <w:color w:val="1F2937"/>
                <w:sz w:val="18"/>
              </w:rPr>
              <w:t>Platform-owned recovery</w:t>
            </w:r>
          </w:p>
        </w:tc>
        <w:tc>
          <w:tcPr>
            <w:tcW w:type="dxa" w:w="7200"/>
            <w:vAlign w:val="top"/>
          </w:tcPr>
          <w:p>
            <w:pPr>
              <w:spacing w:after="0"/>
            </w:pPr>
            <w:r>
              <w:rPr>
                <w:color w:val="1F2937"/>
                <w:sz w:val="18"/>
              </w:rPr>
              <w:t>Platform and cloud errors are retried, reconciled or escalated internally.</w:t>
            </w:r>
          </w:p>
        </w:tc>
      </w:tr>
      <w:tr>
        <w:trPr>
          <w:cantSplit/>
        </w:trPr>
        <w:tc>
          <w:tcPr>
            <w:tcW w:type="dxa" w:w="2304"/>
            <w:shd w:fill="F7F9FC"/>
            <w:vAlign w:val="top"/>
          </w:tcPr>
          <w:p>
            <w:pPr>
              <w:spacing w:after="0"/>
            </w:pPr>
            <w:r>
              <w:rPr>
                <w:color w:val="1F2937"/>
                <w:sz w:val="18"/>
              </w:rPr>
              <w:t>Safe concurrency</w:t>
            </w:r>
          </w:p>
        </w:tc>
        <w:tc>
          <w:tcPr>
            <w:tcW w:type="dxa" w:w="7200"/>
            <w:shd w:fill="F7F9FC"/>
            <w:vAlign w:val="top"/>
          </w:tcPr>
          <w:p>
            <w:pPr>
              <w:spacing w:after="0"/>
            </w:pPr>
            <w:r>
              <w:rPr>
                <w:color w:val="1F2937"/>
                <w:sz w:val="18"/>
              </w:rPr>
              <w:t>Builds may run in parallel, but only one infrastructure mutation runs per project environment.</w:t>
            </w:r>
          </w:p>
        </w:tc>
      </w:tr>
      <w:tr>
        <w:trPr>
          <w:cantSplit/>
        </w:trPr>
        <w:tc>
          <w:tcPr>
            <w:tcW w:type="dxa" w:w="2304"/>
            <w:vAlign w:val="top"/>
          </w:tcPr>
          <w:p>
            <w:pPr>
              <w:spacing w:after="0"/>
            </w:pPr>
            <w:r>
              <w:rPr>
                <w:color w:val="1F2937"/>
                <w:sz w:val="18"/>
              </w:rPr>
              <w:t>Run isolation</w:t>
            </w:r>
          </w:p>
        </w:tc>
        <w:tc>
          <w:tcPr>
            <w:tcW w:type="dxa" w:w="7200"/>
            <w:vAlign w:val="top"/>
          </w:tcPr>
          <w:p>
            <w:pPr>
              <w:spacing w:after="0"/>
            </w:pPr>
            <w:r>
              <w:rPr>
                <w:color w:val="1F2937"/>
                <w:sz w:val="18"/>
              </w:rPr>
              <w:t>Every run has unique local files, plan identity and operation identity.</w:t>
            </w:r>
          </w:p>
        </w:tc>
      </w:tr>
      <w:tr>
        <w:trPr>
          <w:cantSplit/>
        </w:trPr>
        <w:tc>
          <w:tcPr>
            <w:tcW w:type="dxa" w:w="2304"/>
            <w:shd w:fill="F7F9FC"/>
            <w:vAlign w:val="top"/>
          </w:tcPr>
          <w:p>
            <w:pPr>
              <w:spacing w:after="0"/>
            </w:pPr>
            <w:r>
              <w:rPr>
                <w:color w:val="1F2937"/>
                <w:sz w:val="18"/>
              </w:rPr>
              <w:t>Developer error clarity</w:t>
            </w:r>
          </w:p>
        </w:tc>
        <w:tc>
          <w:tcPr>
            <w:tcW w:type="dxa" w:w="7200"/>
            <w:shd w:fill="F7F9FC"/>
            <w:vAlign w:val="top"/>
          </w:tcPr>
          <w:p>
            <w:pPr>
              <w:spacing w:after="0"/>
            </w:pPr>
            <w:r>
              <w:rPr>
                <w:color w:val="1F2937"/>
                <w:sz w:val="18"/>
              </w:rPr>
              <w:t>Only application-owned problems produce developer actions.</w:t>
            </w:r>
          </w:p>
        </w:tc>
      </w:tr>
      <w:tr>
        <w:trPr>
          <w:cantSplit/>
        </w:trPr>
        <w:tc>
          <w:tcPr>
            <w:tcW w:type="dxa" w:w="2304"/>
            <w:vAlign w:val="top"/>
          </w:tcPr>
          <w:p>
            <w:pPr>
              <w:spacing w:after="0"/>
            </w:pPr>
            <w:r>
              <w:rPr>
                <w:color w:val="1F2937"/>
                <w:sz w:val="18"/>
              </w:rPr>
              <w:t>One-click deletion</w:t>
            </w:r>
          </w:p>
        </w:tc>
        <w:tc>
          <w:tcPr>
            <w:tcW w:type="dxa" w:w="7200"/>
            <w:vAlign w:val="top"/>
          </w:tcPr>
          <w:p>
            <w:pPr>
              <w:spacing w:after="0"/>
            </w:pPr>
            <w:r>
              <w:rPr>
                <w:color w:val="1F2937"/>
                <w:sz w:val="18"/>
              </w:rPr>
              <w:t>Deletion is a durable backend job, not a multi-page Terraform workflow.</w:t>
            </w:r>
          </w:p>
        </w:tc>
      </w:tr>
      <w:tr>
        <w:trPr>
          <w:cantSplit/>
        </w:trPr>
        <w:tc>
          <w:tcPr>
            <w:tcW w:type="dxa" w:w="2304"/>
            <w:shd w:fill="F7F9FC"/>
            <w:vAlign w:val="top"/>
          </w:tcPr>
          <w:p>
            <w:pPr>
              <w:spacing w:after="0"/>
            </w:pPr>
            <w:r>
              <w:rPr>
                <w:color w:val="1F2937"/>
                <w:sz w:val="18"/>
              </w:rPr>
              <w:t>Admin separation</w:t>
            </w:r>
          </w:p>
        </w:tc>
        <w:tc>
          <w:tcPr>
            <w:tcW w:type="dxa" w:w="7200"/>
            <w:shd w:fill="F7F9FC"/>
            <w:vAlign w:val="top"/>
          </w:tcPr>
          <w:p>
            <w:pPr>
              <w:spacing w:after="0"/>
            </w:pPr>
            <w:r>
              <w:rPr>
                <w:color w:val="1F2937"/>
                <w:sz w:val="18"/>
              </w:rPr>
              <w:t>Terraform, AWS, queue and reconciliation details are admin-only.</w:t>
            </w:r>
          </w:p>
        </w:tc>
      </w:tr>
    </w:tbl>
    <w:p>
      <w:pPr>
        <w:spacing w:after="0"/>
      </w:pPr>
    </w:p>
    <w:p>
      <w:pPr>
        <w:pStyle w:val="Heading1"/>
        <w:spacing w:before="240" w:after="100"/>
        <w:keepNext/>
      </w:pPr>
      <w:r>
        <w:rPr>
          <w:color w:val="123B66"/>
        </w:rPr>
        <w:t>3. Architecture Overview</w:t>
      </w:r>
    </w:p>
    <w:p>
      <w:pPr>
        <w:spacing w:after="100" w:line="259" w:lineRule="auto"/>
      </w:pPr>
      <w:r>
        <w:t>The target architecture separates the developer experience, control plane, worker execution, build system, infrastructure runtime, observability and deletion orchestration. The control plane owns all state transitions and exposes only a canonical project state to the frontend.</w:t>
      </w:r>
    </w:p>
    <w:p>
      <w:pPr>
        <w:sectPr>
          <w:headerReference w:type="default" r:id="rId9"/>
          <w:footerReference w:type="default" r:id="rId10"/>
          <w:pgSz w:w="12240" w:h="15840"/>
          <w:pgMar w:top="1020" w:right="1134" w:bottom="964" w:left="1134" w:header="720" w:footer="720" w:gutter="0"/>
          <w:cols w:space="720"/>
          <w:docGrid w:linePitch="360"/>
        </w:sectPr>
      </w:pPr>
    </w:p>
    <w:p>
      <w:pPr>
        <w:jc w:val="center"/>
      </w:pPr>
      <w:r>
        <w:drawing>
          <wp:inline xmlns:a="http://schemas.openxmlformats.org/drawingml/2006/main" xmlns:pic="http://schemas.openxmlformats.org/drawingml/2006/picture">
            <wp:extent cx="9372600" cy="5394833"/>
            <wp:docPr id="1" name="Picture 1"/>
            <wp:cNvGraphicFramePr>
              <a:graphicFrameLocks noChangeAspect="1"/>
            </wp:cNvGraphicFramePr>
            <a:graphic>
              <a:graphicData uri="http://schemas.openxmlformats.org/drawingml/2006/picture">
                <pic:pic>
                  <pic:nvPicPr>
                    <pic:cNvPr id="0" name="deployguard_railway_architecture.png"/>
                    <pic:cNvPicPr/>
                  </pic:nvPicPr>
                  <pic:blipFill>
                    <a:blip r:embed="rId11"/>
                    <a:stretch>
                      <a:fillRect/>
                    </a:stretch>
                  </pic:blipFill>
                  <pic:spPr>
                    <a:xfrm>
                      <a:off x="0" y="0"/>
                      <a:ext cx="9372600" cy="5394833"/>
                    </a:xfrm>
                    <a:prstGeom prst="rect"/>
                  </pic:spPr>
                </pic:pic>
              </a:graphicData>
            </a:graphic>
          </wp:inline>
        </w:drawing>
      </w:r>
    </w:p>
    <w:p>
      <w:pPr>
        <w:pStyle w:val="FigureCaption"/>
        <w:jc w:val="center"/>
      </w:pPr>
      <w:r>
        <w:t>Figure 1. DeployGuard Railway-like clean backend architecture. The developer-facing interface is intentionally separated from internal Terraform, ECS and cleanup mechanics.</w:t>
      </w:r>
    </w:p>
    <w:p>
      <w:pPr>
        <w:sectPr>
          <w:pgSz w:w="15840" w:h="12240" w:orient="landscape"/>
          <w:pgMar w:top="680" w:right="680" w:bottom="680" w:left="680" w:header="720" w:footer="720" w:gutter="0"/>
          <w:cols w:space="720"/>
          <w:docGrid w:linePitch="360"/>
        </w:sectPr>
      </w:pPr>
    </w:p>
    <w:p>
      <w:pPr>
        <w:pStyle w:val="Heading2"/>
        <w:spacing w:before="160" w:after="60"/>
        <w:keepNext/>
      </w:pPr>
      <w:r>
        <w:rPr>
          <w:color w:val="1D4ED8"/>
        </w:rPr>
        <w:t>3.1 Layer responsibilities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592"/>
            <w:shd w:fill="123B66"/>
            <w:vAlign w:val="center"/>
          </w:tcPr>
          <w:p>
            <w:pPr>
              <w:jc w:val="center"/>
            </w:pPr>
            <w:r>
              <w:rPr>
                <w:b/>
                <w:color w:val="FFFFFF"/>
                <w:sz w:val="17"/>
              </w:rPr>
              <w:t>Layer</w:t>
            </w:r>
          </w:p>
        </w:tc>
        <w:tc>
          <w:tcPr>
            <w:tcW w:type="dxa" w:w="7056"/>
            <w:shd w:fill="123B66"/>
            <w:vAlign w:val="center"/>
          </w:tcPr>
          <w:p>
            <w:pPr>
              <w:jc w:val="center"/>
            </w:pPr>
            <w:r>
              <w:rPr>
                <w:b/>
                <w:color w:val="FFFFFF"/>
                <w:sz w:val="17"/>
              </w:rPr>
              <w:t>Primary responsibility</w:t>
            </w:r>
          </w:p>
        </w:tc>
      </w:tr>
      <w:tr>
        <w:trPr>
          <w:cantSplit/>
        </w:trPr>
        <w:tc>
          <w:tcPr>
            <w:tcW w:type="dxa" w:w="2592"/>
            <w:vAlign w:val="top"/>
          </w:tcPr>
          <w:p>
            <w:pPr>
              <w:spacing w:after="0"/>
            </w:pPr>
            <w:r>
              <w:rPr>
                <w:color w:val="1F2937"/>
                <w:sz w:val="17"/>
              </w:rPr>
              <w:t>Developer experience</w:t>
            </w:r>
          </w:p>
        </w:tc>
        <w:tc>
          <w:tcPr>
            <w:tcW w:type="dxa" w:w="7056"/>
            <w:vAlign w:val="top"/>
          </w:tcPr>
          <w:p>
            <w:pPr>
              <w:spacing w:after="0"/>
            </w:pPr>
            <w:r>
              <w:rPr>
                <w:color w:val="1F2937"/>
                <w:sz w:val="17"/>
              </w:rPr>
              <w:t>Repository connection, requirements, deploy, logs, metrics, live URL and deletion.</w:t>
            </w:r>
          </w:p>
        </w:tc>
      </w:tr>
      <w:tr>
        <w:trPr>
          <w:cantSplit/>
        </w:trPr>
        <w:tc>
          <w:tcPr>
            <w:tcW w:type="dxa" w:w="2592"/>
            <w:shd w:fill="F7F9FC"/>
            <w:vAlign w:val="top"/>
          </w:tcPr>
          <w:p>
            <w:pPr>
              <w:spacing w:after="0"/>
            </w:pPr>
            <w:r>
              <w:rPr>
                <w:color w:val="1F2937"/>
                <w:sz w:val="17"/>
              </w:rPr>
              <w:t>Control plane</w:t>
            </w:r>
          </w:p>
        </w:tc>
        <w:tc>
          <w:tcPr>
            <w:tcW w:type="dxa" w:w="7056"/>
            <w:shd w:fill="F7F9FC"/>
            <w:vAlign w:val="top"/>
          </w:tcPr>
          <w:p>
            <w:pPr>
              <w:spacing w:after="0"/>
            </w:pPr>
            <w:r>
              <w:rPr>
                <w:color w:val="1F2937"/>
                <w:sz w:val="17"/>
              </w:rPr>
              <w:t>Authentication, commands, canonical state, deployment contract, recovery and audit.</w:t>
            </w:r>
          </w:p>
        </w:tc>
      </w:tr>
      <w:tr>
        <w:trPr>
          <w:cantSplit/>
        </w:trPr>
        <w:tc>
          <w:tcPr>
            <w:tcW w:type="dxa" w:w="2592"/>
            <w:vAlign w:val="top"/>
          </w:tcPr>
          <w:p>
            <w:pPr>
              <w:spacing w:after="0"/>
            </w:pPr>
            <w:r>
              <w:rPr>
                <w:color w:val="1F2937"/>
                <w:sz w:val="17"/>
              </w:rPr>
              <w:t>Queue and workers</w:t>
            </w:r>
          </w:p>
        </w:tc>
        <w:tc>
          <w:tcPr>
            <w:tcW w:type="dxa" w:w="7056"/>
            <w:vAlign w:val="top"/>
          </w:tcPr>
          <w:p>
            <w:pPr>
              <w:spacing w:after="0"/>
            </w:pPr>
            <w:r>
              <w:rPr>
                <w:color w:val="1F2937"/>
                <w:sz w:val="17"/>
              </w:rPr>
              <w:t>Durable execution, retries, compatible worker versions, project locks and run workspaces.</w:t>
            </w:r>
          </w:p>
        </w:tc>
      </w:tr>
      <w:tr>
        <w:trPr>
          <w:cantSplit/>
        </w:trPr>
        <w:tc>
          <w:tcPr>
            <w:tcW w:type="dxa" w:w="2592"/>
            <w:shd w:fill="F7F9FC"/>
            <w:vAlign w:val="top"/>
          </w:tcPr>
          <w:p>
            <w:pPr>
              <w:spacing w:after="0"/>
            </w:pPr>
            <w:r>
              <w:rPr>
                <w:color w:val="1F2937"/>
                <w:sz w:val="17"/>
              </w:rPr>
              <w:t>Build and release</w:t>
            </w:r>
          </w:p>
        </w:tc>
        <w:tc>
          <w:tcPr>
            <w:tcW w:type="dxa" w:w="7056"/>
            <w:shd w:fill="F7F9FC"/>
            <w:vAlign w:val="top"/>
          </w:tcPr>
          <w:p>
            <w:pPr>
              <w:spacing w:after="0"/>
            </w:pPr>
            <w:r>
              <w:rPr>
                <w:color w:val="1F2937"/>
                <w:sz w:val="17"/>
              </w:rPr>
              <w:t>Repository analysis, Docker build, security scan, ECR and reusable image checkpoints.</w:t>
            </w:r>
          </w:p>
        </w:tc>
      </w:tr>
      <w:tr>
        <w:trPr>
          <w:cantSplit/>
        </w:trPr>
        <w:tc>
          <w:tcPr>
            <w:tcW w:type="dxa" w:w="2592"/>
            <w:vAlign w:val="top"/>
          </w:tcPr>
          <w:p>
            <w:pPr>
              <w:spacing w:after="0"/>
            </w:pPr>
            <w:r>
              <w:rPr>
                <w:color w:val="1F2937"/>
                <w:sz w:val="17"/>
              </w:rPr>
              <w:t>Infrastructure/runtime</w:t>
            </w:r>
          </w:p>
        </w:tc>
        <w:tc>
          <w:tcPr>
            <w:tcW w:type="dxa" w:w="7056"/>
            <w:vAlign w:val="top"/>
          </w:tcPr>
          <w:p>
            <w:pPr>
              <w:spacing w:after="0"/>
            </w:pPr>
            <w:r>
              <w:rPr>
                <w:color w:val="1F2937"/>
                <w:sz w:val="17"/>
              </w:rPr>
              <w:t>Internal Terraform, remote state, ECS/Fargate, managed PostgreSQL, EFS, Cloud Map, Secrets Manager and ALB.</w:t>
            </w:r>
          </w:p>
        </w:tc>
      </w:tr>
      <w:tr>
        <w:trPr>
          <w:cantSplit/>
        </w:trPr>
        <w:tc>
          <w:tcPr>
            <w:tcW w:type="dxa" w:w="2592"/>
            <w:shd w:fill="F7F9FC"/>
            <w:vAlign w:val="top"/>
          </w:tcPr>
          <w:p>
            <w:pPr>
              <w:spacing w:after="0"/>
            </w:pPr>
            <w:r>
              <w:rPr>
                <w:color w:val="1F2937"/>
                <w:sz w:val="17"/>
              </w:rPr>
              <w:t>Observability/admin</w:t>
            </w:r>
          </w:p>
        </w:tc>
        <w:tc>
          <w:tcPr>
            <w:tcW w:type="dxa" w:w="7056"/>
            <w:shd w:fill="F7F9FC"/>
            <w:vAlign w:val="top"/>
          </w:tcPr>
          <w:p>
            <w:pPr>
              <w:spacing w:after="0"/>
            </w:pPr>
            <w:r>
              <w:rPr>
                <w:color w:val="1F2937"/>
                <w:sz w:val="17"/>
              </w:rPr>
              <w:t>Correlated logs/metrics/traces, state proof, queue/worker visibility and cloud diagnostics.</w:t>
            </w:r>
          </w:p>
        </w:tc>
      </w:tr>
      <w:tr>
        <w:trPr>
          <w:cantSplit/>
        </w:trPr>
        <w:tc>
          <w:tcPr>
            <w:tcW w:type="dxa" w:w="2592"/>
            <w:vAlign w:val="top"/>
          </w:tcPr>
          <w:p>
            <w:pPr>
              <w:spacing w:after="0"/>
            </w:pPr>
            <w:r>
              <w:rPr>
                <w:color w:val="1F2937"/>
                <w:sz w:val="17"/>
              </w:rPr>
              <w:t>Deletion orchestrator</w:t>
            </w:r>
          </w:p>
        </w:tc>
        <w:tc>
          <w:tcPr>
            <w:tcW w:type="dxa" w:w="7056"/>
            <w:vAlign w:val="top"/>
          </w:tcPr>
          <w:p>
            <w:pPr>
              <w:spacing w:after="0"/>
            </w:pPr>
            <w:r>
              <w:rPr>
                <w:color w:val="1F2937"/>
                <w:sz w:val="17"/>
              </w:rPr>
              <w:t>One durable operation from user confirmation to verified resource removal and project archive.</w:t>
            </w:r>
          </w:p>
        </w:tc>
      </w:tr>
    </w:tbl>
    <w:p>
      <w:pPr>
        <w:spacing w:after="0"/>
      </w:pPr>
    </w:p>
    <w:p>
      <w:pPr>
        <w:pStyle w:val="Heading1"/>
        <w:spacing w:before="240" w:after="100"/>
        <w:keepNext/>
      </w:pPr>
      <w:r>
        <w:rPr>
          <w:color w:val="123B66"/>
        </w:rPr>
        <w:t>4. Developer Experience</w:t>
      </w:r>
    </w:p>
    <w:p>
      <w:pPr>
        <w:pStyle w:val="Heading2"/>
        <w:spacing w:before="160" w:after="60"/>
        <w:keepNext/>
      </w:pPr>
      <w:r>
        <w:rPr>
          <w:color w:val="1D4ED8"/>
        </w:rPr>
        <w:t>4.1 Normal deployment flow</w:t>
      </w:r>
    </w:p>
    <w:p>
      <w:pPr>
        <w:jc w:val="center"/>
      </w:pPr>
      <w:r>
        <w:drawing>
          <wp:inline xmlns:a="http://schemas.openxmlformats.org/drawingml/2006/main" xmlns:pic="http://schemas.openxmlformats.org/drawingml/2006/picture">
            <wp:extent cx="6035040" cy="679833"/>
            <wp:docPr id="2" name="Picture 2"/>
            <wp:cNvGraphicFramePr>
              <a:graphicFrameLocks noChangeAspect="1"/>
            </wp:cNvGraphicFramePr>
            <a:graphic>
              <a:graphicData uri="http://schemas.openxmlformats.org/drawingml/2006/picture">
                <pic:pic>
                  <pic:nvPicPr>
                    <pic:cNvPr id="0" name="deployguard_deployment_lifecycle.png"/>
                    <pic:cNvPicPr/>
                  </pic:nvPicPr>
                  <pic:blipFill>
                    <a:blip r:embed="rId12"/>
                    <a:stretch>
                      <a:fillRect/>
                    </a:stretch>
                  </pic:blipFill>
                  <pic:spPr>
                    <a:xfrm>
                      <a:off x="0" y="0"/>
                      <a:ext cx="6035040" cy="679833"/>
                    </a:xfrm>
                    <a:prstGeom prst="rect"/>
                  </pic:spPr>
                </pic:pic>
              </a:graphicData>
            </a:graphic>
          </wp:inline>
        </w:drawing>
      </w:r>
    </w:p>
    <w:p>
      <w:pPr>
        <w:pStyle w:val="FigureCaption"/>
        <w:jc w:val="center"/>
      </w:pPr>
      <w:r>
        <w:t>Figure 2. Five user-facing phases replace the current technical stage list.</w:t>
      </w:r>
    </w:p>
    <w:p>
      <w:pPr>
        <w:spacing w:after="100" w:line="259" w:lineRule="auto"/>
      </w:pPr>
      <w:r>
        <w:t>Internal revalidation, lock acquisition, plan integrity, managed service readiness and reconciliation may happen within these phases, but they must not make progress move backward or expose DevOps terminology.</w:t>
      </w:r>
    </w:p>
    <w:p>
      <w:pPr>
        <w:pStyle w:val="Heading2"/>
        <w:spacing w:before="160" w:after="60"/>
        <w:keepNext/>
      </w:pPr>
      <w:r>
        <w:rPr>
          <w:color w:val="1D4ED8"/>
        </w:rPr>
        <w:t>4.2 Pages retained for developers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04"/>
            <w:shd w:fill="123B66"/>
            <w:vAlign w:val="center"/>
          </w:tcPr>
          <w:p>
            <w:pPr>
              <w:jc w:val="center"/>
            </w:pPr>
            <w:r>
              <w:rPr>
                <w:b/>
                <w:color w:val="FFFFFF"/>
                <w:sz w:val="17"/>
              </w:rPr>
              <w:t>Page</w:t>
            </w:r>
          </w:p>
        </w:tc>
        <w:tc>
          <w:tcPr>
            <w:tcW w:type="dxa" w:w="7344"/>
            <w:shd w:fill="123B66"/>
            <w:vAlign w:val="center"/>
          </w:tcPr>
          <w:p>
            <w:pPr>
              <w:jc w:val="center"/>
            </w:pPr>
            <w:r>
              <w:rPr>
                <w:b/>
                <w:color w:val="FFFFFF"/>
                <w:sz w:val="17"/>
              </w:rPr>
              <w:t>Developer purpose</w:t>
            </w:r>
          </w:p>
        </w:tc>
      </w:tr>
      <w:tr>
        <w:trPr>
          <w:cantSplit/>
        </w:trPr>
        <w:tc>
          <w:tcPr>
            <w:tcW w:type="dxa" w:w="2304"/>
            <w:vAlign w:val="top"/>
          </w:tcPr>
          <w:p>
            <w:pPr>
              <w:spacing w:after="0"/>
            </w:pPr>
            <w:r>
              <w:rPr>
                <w:color w:val="1F2937"/>
                <w:sz w:val="17"/>
              </w:rPr>
              <w:t>Dashboard</w:t>
            </w:r>
          </w:p>
        </w:tc>
        <w:tc>
          <w:tcPr>
            <w:tcW w:type="dxa" w:w="7344"/>
            <w:vAlign w:val="top"/>
          </w:tcPr>
          <w:p>
            <w:pPr>
              <w:spacing w:after="0"/>
            </w:pPr>
            <w:r>
              <w:rPr>
                <w:color w:val="1F2937"/>
                <w:sz w:val="17"/>
              </w:rPr>
              <w:t>Projects, recent deployments and clear attention items.</w:t>
            </w:r>
          </w:p>
        </w:tc>
      </w:tr>
      <w:tr>
        <w:trPr>
          <w:cantSplit/>
        </w:trPr>
        <w:tc>
          <w:tcPr>
            <w:tcW w:type="dxa" w:w="2304"/>
            <w:shd w:fill="F7F9FC"/>
            <w:vAlign w:val="top"/>
          </w:tcPr>
          <w:p>
            <w:pPr>
              <w:spacing w:after="0"/>
            </w:pPr>
            <w:r>
              <w:rPr>
                <w:color w:val="1F2937"/>
                <w:sz w:val="17"/>
              </w:rPr>
              <w:t>Project Overview</w:t>
            </w:r>
          </w:p>
        </w:tc>
        <w:tc>
          <w:tcPr>
            <w:tcW w:type="dxa" w:w="7344"/>
            <w:shd w:fill="F7F9FC"/>
            <w:vAlign w:val="top"/>
          </w:tcPr>
          <w:p>
            <w:pPr>
              <w:spacing w:after="0"/>
            </w:pPr>
            <w:r>
              <w:rPr>
                <w:color w:val="1F2937"/>
                <w:sz w:val="17"/>
              </w:rPr>
              <w:t>Live URL, current deployment, health, environment and latest release.</w:t>
            </w:r>
          </w:p>
        </w:tc>
      </w:tr>
      <w:tr>
        <w:trPr>
          <w:cantSplit/>
        </w:trPr>
        <w:tc>
          <w:tcPr>
            <w:tcW w:type="dxa" w:w="2304"/>
            <w:vAlign w:val="top"/>
          </w:tcPr>
          <w:p>
            <w:pPr>
              <w:spacing w:after="0"/>
            </w:pPr>
            <w:r>
              <w:rPr>
                <w:color w:val="1F2937"/>
                <w:sz w:val="17"/>
              </w:rPr>
              <w:t>Deployments</w:t>
            </w:r>
          </w:p>
        </w:tc>
        <w:tc>
          <w:tcPr>
            <w:tcW w:type="dxa" w:w="7344"/>
            <w:vAlign w:val="top"/>
          </w:tcPr>
          <w:p>
            <w:pPr>
              <w:spacing w:after="0"/>
            </w:pPr>
            <w:r>
              <w:rPr>
                <w:color w:val="1F2937"/>
                <w:sz w:val="17"/>
              </w:rPr>
              <w:t>Readable history with high-level phase, commit, result and duration.</w:t>
            </w:r>
          </w:p>
        </w:tc>
      </w:tr>
      <w:tr>
        <w:trPr>
          <w:cantSplit/>
        </w:trPr>
        <w:tc>
          <w:tcPr>
            <w:tcW w:type="dxa" w:w="2304"/>
            <w:shd w:fill="F7F9FC"/>
            <w:vAlign w:val="top"/>
          </w:tcPr>
          <w:p>
            <w:pPr>
              <w:spacing w:after="0"/>
            </w:pPr>
            <w:r>
              <w:rPr>
                <w:color w:val="1F2937"/>
                <w:sz w:val="17"/>
              </w:rPr>
              <w:t>Environment Variables</w:t>
            </w:r>
          </w:p>
        </w:tc>
        <w:tc>
          <w:tcPr>
            <w:tcW w:type="dxa" w:w="7344"/>
            <w:shd w:fill="F7F9FC"/>
            <w:vAlign w:val="top"/>
          </w:tcPr>
          <w:p>
            <w:pPr>
              <w:spacing w:after="0"/>
            </w:pPr>
            <w:r>
              <w:rPr>
                <w:color w:val="1F2937"/>
                <w:sz w:val="17"/>
              </w:rPr>
              <w:t>Application-owned variables; managed variables are shown only as platform-managed.</w:t>
            </w:r>
          </w:p>
        </w:tc>
      </w:tr>
      <w:tr>
        <w:trPr>
          <w:cantSplit/>
        </w:trPr>
        <w:tc>
          <w:tcPr>
            <w:tcW w:type="dxa" w:w="2304"/>
            <w:vAlign w:val="top"/>
          </w:tcPr>
          <w:p>
            <w:pPr>
              <w:spacing w:after="0"/>
            </w:pPr>
            <w:r>
              <w:rPr>
                <w:color w:val="1F2937"/>
                <w:sz w:val="17"/>
              </w:rPr>
              <w:t>Logs</w:t>
            </w:r>
          </w:p>
        </w:tc>
        <w:tc>
          <w:tcPr>
            <w:tcW w:type="dxa" w:w="7344"/>
            <w:vAlign w:val="top"/>
          </w:tcPr>
          <w:p>
            <w:pPr>
              <w:spacing w:after="0"/>
            </w:pPr>
            <w:r>
              <w:rPr>
                <w:color w:val="1F2937"/>
                <w:sz w:val="17"/>
              </w:rPr>
              <w:t>Application logs and concise deployment logs.</w:t>
            </w:r>
          </w:p>
        </w:tc>
      </w:tr>
      <w:tr>
        <w:trPr>
          <w:cantSplit/>
        </w:trPr>
        <w:tc>
          <w:tcPr>
            <w:tcW w:type="dxa" w:w="2304"/>
            <w:shd w:fill="F7F9FC"/>
            <w:vAlign w:val="top"/>
          </w:tcPr>
          <w:p>
            <w:pPr>
              <w:spacing w:after="0"/>
            </w:pPr>
            <w:r>
              <w:rPr>
                <w:color w:val="1F2937"/>
                <w:sz w:val="17"/>
              </w:rPr>
              <w:t>Metrics</w:t>
            </w:r>
          </w:p>
        </w:tc>
        <w:tc>
          <w:tcPr>
            <w:tcW w:type="dxa" w:w="7344"/>
            <w:shd w:fill="F7F9FC"/>
            <w:vAlign w:val="top"/>
          </w:tcPr>
          <w:p>
            <w:pPr>
              <w:spacing w:after="0"/>
            </w:pPr>
            <w:r>
              <w:rPr>
                <w:color w:val="1F2937"/>
                <w:sz w:val="17"/>
              </w:rPr>
              <w:t>Application health, requests, latency and resource usage.</w:t>
            </w:r>
          </w:p>
        </w:tc>
      </w:tr>
      <w:tr>
        <w:trPr>
          <w:cantSplit/>
        </w:trPr>
        <w:tc>
          <w:tcPr>
            <w:tcW w:type="dxa" w:w="2304"/>
            <w:vAlign w:val="top"/>
          </w:tcPr>
          <w:p>
            <w:pPr>
              <w:spacing w:after="0"/>
            </w:pPr>
            <w:r>
              <w:rPr>
                <w:color w:val="1F2937"/>
                <w:sz w:val="17"/>
              </w:rPr>
              <w:t>Settings</w:t>
            </w:r>
          </w:p>
        </w:tc>
        <w:tc>
          <w:tcPr>
            <w:tcW w:type="dxa" w:w="7344"/>
            <w:vAlign w:val="top"/>
          </w:tcPr>
          <w:p>
            <w:pPr>
              <w:spacing w:after="0"/>
            </w:pPr>
            <w:r>
              <w:rPr>
                <w:color w:val="1F2937"/>
                <w:sz w:val="17"/>
              </w:rPr>
              <w:t>Repository, branch, app directory, health path, redeploy and delete project.</w:t>
            </w:r>
          </w:p>
        </w:tc>
      </w:tr>
    </w:tbl>
    <w:p>
      <w:pPr>
        <w:spacing w:after="0"/>
      </w:pPr>
    </w:p>
    <w:p>
      <w:pPr>
        <w:pStyle w:val="Heading2"/>
        <w:spacing w:before="160" w:after="60"/>
        <w:keepNext/>
      </w:pPr>
      <w:r>
        <w:rPr>
          <w:color w:val="1D4ED8"/>
        </w:rPr>
        <w:t>4.3 Controls removed from normal users</w:t>
      </w:r>
    </w:p>
    <w:p>
      <w:pPr>
        <w:pStyle w:val="ListBullet"/>
        <w:spacing w:after="40"/>
      </w:pPr>
      <w:r>
        <w:t>Generate Terraform plan</w:t>
      </w:r>
    </w:p>
    <w:p>
      <w:pPr>
        <w:pStyle w:val="ListBullet"/>
        <w:spacing w:after="40"/>
      </w:pPr>
      <w:r>
        <w:t>Approve infrastructure changes</w:t>
      </w:r>
    </w:p>
    <w:p>
      <w:pPr>
        <w:pStyle w:val="ListBullet"/>
        <w:spacing w:after="40"/>
      </w:pPr>
      <w:r>
        <w:t>Refresh Terraform state</w:t>
      </w:r>
    </w:p>
    <w:p>
      <w:pPr>
        <w:pStyle w:val="ListBullet"/>
        <w:spacing w:after="40"/>
      </w:pPr>
      <w:r>
        <w:t>Cloud cleanup and residue selection</w:t>
      </w:r>
    </w:p>
    <w:p>
      <w:pPr>
        <w:pStyle w:val="ListBullet"/>
        <w:spacing w:after="40"/>
      </w:pPr>
      <w:r>
        <w:t>ECS, EFS, ALB and Cloud Map configuration</w:t>
      </w:r>
    </w:p>
    <w:p>
      <w:pPr>
        <w:pStyle w:val="ListBullet"/>
        <w:spacing w:after="40"/>
      </w:pPr>
      <w:r>
        <w:t>Selective stage resume</w:t>
      </w:r>
    </w:p>
    <w:p>
      <w:pPr>
        <w:pStyle w:val="ListBullet"/>
        <w:spacing w:after="40"/>
      </w:pPr>
      <w:r>
        <w:t>Manual resource review</w:t>
      </w:r>
    </w:p>
    <w:p>
      <w:pPr>
        <w:pStyle w:val="ListBullet"/>
        <w:spacing w:after="40"/>
      </w:pPr>
      <w:r>
        <w:t>Terraform locks and state repair</w:t>
      </w:r>
    </w:p>
    <w:p>
      <w:pPr>
        <w:pStyle w:val="Heading1"/>
        <w:spacing w:before="240" w:after="100"/>
        <w:keepNext/>
      </w:pPr>
      <w:r>
        <w:rPr>
          <w:color w:val="123B66"/>
        </w:rPr>
        <w:t>5. Backend Control Plane</w:t>
      </w:r>
    </w:p>
    <w:p>
      <w:pPr>
        <w:pStyle w:val="Heading2"/>
        <w:spacing w:before="160" w:after="60"/>
        <w:keepNext/>
      </w:pPr>
      <w:r>
        <w:rPr>
          <w:color w:val="1D4ED8"/>
        </w:rPr>
        <w:t>5.1 Canonical services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2232"/>
            <w:shd w:fill="123B66"/>
            <w:vAlign w:val="center"/>
          </w:tcPr>
          <w:p>
            <w:pPr>
              <w:jc w:val="center"/>
            </w:pPr>
            <w:r>
              <w:rPr>
                <w:b/>
                <w:color w:val="FFFFFF"/>
                <w:sz w:val="16"/>
              </w:rPr>
              <w:t>Service</w:t>
            </w:r>
          </w:p>
        </w:tc>
        <w:tc>
          <w:tcPr>
            <w:tcW w:type="dxa" w:w="4680"/>
            <w:shd w:fill="123B66"/>
            <w:vAlign w:val="center"/>
          </w:tcPr>
          <w:p>
            <w:pPr>
              <w:jc w:val="center"/>
            </w:pPr>
            <w:r>
              <w:rPr>
                <w:b/>
                <w:color w:val="FFFFFF"/>
                <w:sz w:val="16"/>
              </w:rPr>
              <w:t>Responsibility</w:t>
            </w:r>
          </w:p>
        </w:tc>
        <w:tc>
          <w:tcPr>
            <w:tcW w:type="dxa" w:w="3024"/>
            <w:shd w:fill="123B66"/>
            <w:vAlign w:val="center"/>
          </w:tcPr>
          <w:p>
            <w:pPr>
              <w:jc w:val="center"/>
            </w:pPr>
            <w:r>
              <w:rPr>
                <w:b/>
                <w:color w:val="FFFFFF"/>
                <w:sz w:val="16"/>
              </w:rPr>
              <w:t>Invariant</w:t>
            </w:r>
          </w:p>
        </w:tc>
      </w:tr>
      <w:tr>
        <w:trPr>
          <w:cantSplit/>
        </w:trPr>
        <w:tc>
          <w:tcPr>
            <w:tcW w:type="dxa" w:w="2232"/>
            <w:vAlign w:val="top"/>
          </w:tcPr>
          <w:p>
            <w:pPr>
              <w:spacing w:after="0"/>
            </w:pPr>
            <w:r>
              <w:rPr>
                <w:color w:val="1F2937"/>
                <w:sz w:val="16"/>
              </w:rPr>
              <w:t>Command API</w:t>
            </w:r>
          </w:p>
        </w:tc>
        <w:tc>
          <w:tcPr>
            <w:tcW w:type="dxa" w:w="4680"/>
            <w:vAlign w:val="top"/>
          </w:tcPr>
          <w:p>
            <w:pPr>
              <w:spacing w:after="0"/>
            </w:pPr>
            <w:r>
              <w:rPr>
                <w:color w:val="1F2937"/>
                <w:sz w:val="16"/>
              </w:rPr>
              <w:t>Receives deploy, retry, cancel and delete commands.</w:t>
            </w:r>
          </w:p>
        </w:tc>
        <w:tc>
          <w:tcPr>
            <w:tcW w:type="dxa" w:w="3024"/>
            <w:vAlign w:val="top"/>
          </w:tcPr>
          <w:p>
            <w:pPr>
              <w:spacing w:after="0"/>
            </w:pPr>
            <w:r>
              <w:rPr>
                <w:color w:val="1F2937"/>
                <w:sz w:val="16"/>
              </w:rPr>
              <w:t>Every command is idempotent and returns an existing operation when duplicated.</w:t>
            </w:r>
          </w:p>
        </w:tc>
      </w:tr>
      <w:tr>
        <w:trPr>
          <w:cantSplit/>
        </w:trPr>
        <w:tc>
          <w:tcPr>
            <w:tcW w:type="dxa" w:w="2232"/>
            <w:shd w:fill="F7F9FC"/>
            <w:vAlign w:val="top"/>
          </w:tcPr>
          <w:p>
            <w:pPr>
              <w:spacing w:after="0"/>
            </w:pPr>
            <w:r>
              <w:rPr>
                <w:color w:val="1F2937"/>
                <w:sz w:val="16"/>
              </w:rPr>
              <w:t>Canonical Current-State API</w:t>
            </w:r>
          </w:p>
        </w:tc>
        <w:tc>
          <w:tcPr>
            <w:tcW w:type="dxa" w:w="4680"/>
            <w:shd w:fill="F7F9FC"/>
            <w:vAlign w:val="top"/>
          </w:tcPr>
          <w:p>
            <w:pPr>
              <w:spacing w:after="0"/>
            </w:pPr>
            <w:r>
              <w:rPr>
                <w:color w:val="1F2937"/>
                <w:sz w:val="16"/>
              </w:rPr>
              <w:t>Projects desired, execution and observed state into one response.</w:t>
            </w:r>
          </w:p>
        </w:tc>
        <w:tc>
          <w:tcPr>
            <w:tcW w:type="dxa" w:w="3024"/>
            <w:shd w:fill="F7F9FC"/>
            <w:vAlign w:val="top"/>
          </w:tcPr>
          <w:p>
            <w:pPr>
              <w:spacing w:after="0"/>
            </w:pPr>
            <w:r>
              <w:rPr>
                <w:color w:val="1F2937"/>
                <w:sz w:val="16"/>
              </w:rPr>
              <w:t>All developer pages use the same run, phase, action and timestamps.</w:t>
            </w:r>
          </w:p>
        </w:tc>
      </w:tr>
      <w:tr>
        <w:trPr>
          <w:cantSplit/>
        </w:trPr>
        <w:tc>
          <w:tcPr>
            <w:tcW w:type="dxa" w:w="2232"/>
            <w:vAlign w:val="top"/>
          </w:tcPr>
          <w:p>
            <w:pPr>
              <w:spacing w:after="0"/>
            </w:pPr>
            <w:r>
              <w:rPr>
                <w:color w:val="1F2937"/>
                <w:sz w:val="16"/>
              </w:rPr>
              <w:t>Deployment State Machine</w:t>
            </w:r>
          </w:p>
        </w:tc>
        <w:tc>
          <w:tcPr>
            <w:tcW w:type="dxa" w:w="4680"/>
            <w:vAlign w:val="top"/>
          </w:tcPr>
          <w:p>
            <w:pPr>
              <w:spacing w:after="0"/>
            </w:pPr>
            <w:r>
              <w:rPr>
                <w:color w:val="1F2937"/>
                <w:sz w:val="16"/>
              </w:rPr>
              <w:t>Enforces legal transitions.</w:t>
            </w:r>
          </w:p>
        </w:tc>
        <w:tc>
          <w:tcPr>
            <w:tcW w:type="dxa" w:w="3024"/>
            <w:vAlign w:val="top"/>
          </w:tcPr>
          <w:p>
            <w:pPr>
              <w:spacing w:after="0"/>
            </w:pPr>
            <w:r>
              <w:rPr>
                <w:color w:val="1F2937"/>
                <w:sz w:val="16"/>
              </w:rPr>
              <w:t>A stage passes only from explicit completion evidence.</w:t>
            </w:r>
          </w:p>
        </w:tc>
      </w:tr>
      <w:tr>
        <w:trPr>
          <w:cantSplit/>
        </w:trPr>
        <w:tc>
          <w:tcPr>
            <w:tcW w:type="dxa" w:w="2232"/>
            <w:shd w:fill="F7F9FC"/>
            <w:vAlign w:val="top"/>
          </w:tcPr>
          <w:p>
            <w:pPr>
              <w:spacing w:after="0"/>
            </w:pPr>
            <w:r>
              <w:rPr>
                <w:color w:val="1F2937"/>
                <w:sz w:val="16"/>
              </w:rPr>
              <w:t>Configuration Resolver</w:t>
            </w:r>
          </w:p>
        </w:tc>
        <w:tc>
          <w:tcPr>
            <w:tcW w:type="dxa" w:w="4680"/>
            <w:shd w:fill="F7F9FC"/>
            <w:vAlign w:val="top"/>
          </w:tcPr>
          <w:p>
            <w:pPr>
              <w:spacing w:after="0"/>
            </w:pPr>
            <w:r>
              <w:rPr>
                <w:color w:val="1F2937"/>
                <w:sz w:val="16"/>
              </w:rPr>
              <w:t>Combines repository evidence, developer values and platform bindings.</w:t>
            </w:r>
          </w:p>
        </w:tc>
        <w:tc>
          <w:tcPr>
            <w:tcW w:type="dxa" w:w="3024"/>
            <w:shd w:fill="F7F9FC"/>
            <w:vAlign w:val="top"/>
          </w:tcPr>
          <w:p>
            <w:pPr>
              <w:spacing w:after="0"/>
            </w:pPr>
            <w:r>
              <w:rPr>
                <w:color w:val="1F2937"/>
                <w:sz w:val="16"/>
              </w:rPr>
              <w:t>No managed secret is accepted as user-owned plaintext.</w:t>
            </w:r>
          </w:p>
        </w:tc>
      </w:tr>
      <w:tr>
        <w:trPr>
          <w:cantSplit/>
        </w:trPr>
        <w:tc>
          <w:tcPr>
            <w:tcW w:type="dxa" w:w="2232"/>
            <w:vAlign w:val="top"/>
          </w:tcPr>
          <w:p>
            <w:pPr>
              <w:spacing w:after="0"/>
            </w:pPr>
            <w:r>
              <w:rPr>
                <w:color w:val="1F2937"/>
                <w:sz w:val="16"/>
              </w:rPr>
              <w:t>Deployment Contract Service</w:t>
            </w:r>
          </w:p>
        </w:tc>
        <w:tc>
          <w:tcPr>
            <w:tcW w:type="dxa" w:w="4680"/>
            <w:vAlign w:val="top"/>
          </w:tcPr>
          <w:p>
            <w:pPr>
              <w:spacing w:after="0"/>
            </w:pPr>
            <w:r>
              <w:rPr>
                <w:color w:val="1F2937"/>
                <w:sz w:val="16"/>
              </w:rPr>
              <w:t>Creates the immutable normalized deployment snapshot.</w:t>
            </w:r>
          </w:p>
        </w:tc>
        <w:tc>
          <w:tcPr>
            <w:tcW w:type="dxa" w:w="3024"/>
            <w:vAlign w:val="top"/>
          </w:tcPr>
          <w:p>
            <w:pPr>
              <w:spacing w:after="0"/>
            </w:pPr>
            <w:r>
              <w:rPr>
                <w:color w:val="1F2937"/>
                <w:sz w:val="16"/>
              </w:rPr>
              <w:t>Same semantic input always produces the same fingerprint.</w:t>
            </w:r>
          </w:p>
        </w:tc>
      </w:tr>
      <w:tr>
        <w:trPr>
          <w:cantSplit/>
        </w:trPr>
        <w:tc>
          <w:tcPr>
            <w:tcW w:type="dxa" w:w="2232"/>
            <w:shd w:fill="F7F9FC"/>
            <w:vAlign w:val="top"/>
          </w:tcPr>
          <w:p>
            <w:pPr>
              <w:spacing w:after="0"/>
            </w:pPr>
            <w:r>
              <w:rPr>
                <w:color w:val="1F2937"/>
                <w:sz w:val="16"/>
              </w:rPr>
              <w:t>Recovery/Reconciliation Engine</w:t>
            </w:r>
          </w:p>
        </w:tc>
        <w:tc>
          <w:tcPr>
            <w:tcW w:type="dxa" w:w="4680"/>
            <w:shd w:fill="F7F9FC"/>
            <w:vAlign w:val="top"/>
          </w:tcPr>
          <w:p>
            <w:pPr>
              <w:spacing w:after="0"/>
            </w:pPr>
            <w:r>
              <w:rPr>
                <w:color w:val="1F2937"/>
                <w:sz w:val="16"/>
              </w:rPr>
              <w:t>Repairs platform/cloud-owned inconsistencies.</w:t>
            </w:r>
          </w:p>
        </w:tc>
        <w:tc>
          <w:tcPr>
            <w:tcW w:type="dxa" w:w="3024"/>
            <w:shd w:fill="F7F9FC"/>
            <w:vAlign w:val="top"/>
          </w:tcPr>
          <w:p>
            <w:pPr>
              <w:spacing w:after="0"/>
            </w:pPr>
            <w:r>
              <w:rPr>
                <w:color w:val="1F2937"/>
                <w:sz w:val="16"/>
              </w:rPr>
              <w:t>Never asks the developer to operate Terraform or AWS.</w:t>
            </w:r>
          </w:p>
        </w:tc>
      </w:tr>
      <w:tr>
        <w:trPr>
          <w:cantSplit/>
        </w:trPr>
        <w:tc>
          <w:tcPr>
            <w:tcW w:type="dxa" w:w="2232"/>
            <w:vAlign w:val="top"/>
          </w:tcPr>
          <w:p>
            <w:pPr>
              <w:spacing w:after="0"/>
            </w:pPr>
            <w:r>
              <w:rPr>
                <w:color w:val="1F2937"/>
                <w:sz w:val="16"/>
              </w:rPr>
              <w:t>Deletion Orchestrator</w:t>
            </w:r>
          </w:p>
        </w:tc>
        <w:tc>
          <w:tcPr>
            <w:tcW w:type="dxa" w:w="4680"/>
            <w:vAlign w:val="top"/>
          </w:tcPr>
          <w:p>
            <w:pPr>
              <w:spacing w:after="0"/>
            </w:pPr>
            <w:r>
              <w:rPr>
                <w:color w:val="1F2937"/>
                <w:sz w:val="16"/>
              </w:rPr>
              <w:t>Owns project deletion from lock to verification.</w:t>
            </w:r>
          </w:p>
        </w:tc>
        <w:tc>
          <w:tcPr>
            <w:tcW w:type="dxa" w:w="3024"/>
            <w:vAlign w:val="top"/>
          </w:tcPr>
          <w:p>
            <w:pPr>
              <w:spacing w:after="0"/>
            </w:pPr>
            <w:r>
              <w:rPr>
                <w:color w:val="1F2937"/>
                <w:sz w:val="16"/>
              </w:rPr>
              <w:t>Repeated clicks return the same deletion job.</w:t>
            </w:r>
          </w:p>
        </w:tc>
      </w:tr>
    </w:tbl>
    <w:p>
      <w:pPr>
        <w:spacing w:after="0"/>
      </w:pPr>
    </w:p>
    <w:p>
      <w:pPr>
        <w:pStyle w:val="Heading2"/>
        <w:spacing w:before="160" w:after="60"/>
        <w:keepNext/>
      </w:pPr>
      <w:r>
        <w:rPr>
          <w:color w:val="1D4ED8"/>
        </w:rPr>
        <w:t>5.2 Canonical current-state response</w:t>
      </w:r>
    </w:p>
    <w:p>
      <w:pPr>
        <w:spacing w:after="100" w:line="259" w:lineRule="auto"/>
      </w:pPr>
      <w:r>
        <w:t>The UI should receive a compact response similar to the following. Technical evidence may be linked through an admin-only diagnostic identifier.</w:t>
      </w:r>
    </w:p>
    <w:tbl>
      <w:tblPr>
        <w:tblStyle w:val="TableGrid"/>
        <w:tblW w:type="auto" w:w="0"/>
        <w:tblLook w:firstColumn="1" w:firstRow="1" w:lastColumn="0" w:lastRow="0" w:noHBand="0" w:noVBand="1" w:val="04A0"/>
      </w:tblPr>
      <w:tblGrid>
        <w:gridCol w:w="9972"/>
      </w:tblGrid>
      <w:tr>
        <w:tc>
          <w:tcPr>
            <w:tcW w:type="dxa" w:w="9972"/>
            <w:shd w:fill="F3F4F6"/>
          </w:tcPr>
          <w:p>
            <w:r>
              <w:rPr>
                <w:rFonts w:ascii="Liberation Mono" w:hAnsi="Liberation Mono"/>
                <w:sz w:val="16"/>
              </w:rPr>
              <w:t>{</w:t>
              <w:br/>
              <w:t xml:space="preserve">  "projectStatus": "DEPLOYING",</w:t>
              <w:br/>
              <w:t xml:space="preserve">  "deploymentId": "...",</w:t>
              <w:br/>
              <w:t xml:space="preserve">  "phase": "DEPLOYING",</w:t>
              <w:br/>
              <w:t xml:space="preserve">  "progress": 72,</w:t>
              <w:br/>
              <w:t xml:space="preserve">  "message": "DeployGuard is creating your application service.",</w:t>
              <w:br/>
              <w:t xml:space="preserve">  "userActionRequired": false,</w:t>
              <w:br/>
              <w:t xml:space="preserve">  "liveUrl": null,</w:t>
              <w:br/>
              <w:t xml:space="preserve">  "lastUpdatedAt": "2026-07-23T13:10:00Z"</w:t>
              <w:br/>
              <w:t>}</w:t>
            </w:r>
          </w:p>
        </w:tc>
      </w:tr>
    </w:tbl>
    <w:p/>
    <w:p>
      <w:pPr>
        <w:pStyle w:val="Heading1"/>
        <w:spacing w:before="240" w:after="100"/>
        <w:keepNext/>
      </w:pPr>
      <w:r>
        <w:rPr>
          <w:color w:val="123B66"/>
        </w:rPr>
        <w:t>6. Deployment Orchestration</w:t>
      </w:r>
    </w:p>
    <w:p>
      <w:pPr>
        <w:pStyle w:val="Heading2"/>
        <w:spacing w:before="160" w:after="60"/>
        <w:keepNext/>
      </w:pPr>
      <w:r>
        <w:rPr>
          <w:color w:val="1D4ED8"/>
        </w:rPr>
        <w:t>6.1 Target state machine</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1944"/>
            <w:shd w:fill="123B66"/>
            <w:vAlign w:val="center"/>
          </w:tcPr>
          <w:p>
            <w:pPr>
              <w:jc w:val="center"/>
            </w:pPr>
            <w:r>
              <w:rPr>
                <w:b/>
                <w:color w:val="FFFFFF"/>
                <w:sz w:val="17"/>
              </w:rPr>
              <w:t>State</w:t>
            </w:r>
          </w:p>
        </w:tc>
        <w:tc>
          <w:tcPr>
            <w:tcW w:type="dxa" w:w="7704"/>
            <w:shd w:fill="123B66"/>
            <w:vAlign w:val="center"/>
          </w:tcPr>
          <w:p>
            <w:pPr>
              <w:jc w:val="center"/>
            </w:pPr>
            <w:r>
              <w:rPr>
                <w:b/>
                <w:color w:val="FFFFFF"/>
                <w:sz w:val="17"/>
              </w:rPr>
              <w:t>Meaning</w:t>
            </w:r>
          </w:p>
        </w:tc>
      </w:tr>
      <w:tr>
        <w:trPr>
          <w:cantSplit/>
        </w:trPr>
        <w:tc>
          <w:tcPr>
            <w:tcW w:type="dxa" w:w="1944"/>
            <w:vAlign w:val="top"/>
          </w:tcPr>
          <w:p>
            <w:pPr>
              <w:spacing w:after="0"/>
            </w:pPr>
            <w:r>
              <w:rPr>
                <w:color w:val="1F2937"/>
                <w:sz w:val="17"/>
              </w:rPr>
              <w:t>QUEUED</w:t>
            </w:r>
          </w:p>
        </w:tc>
        <w:tc>
          <w:tcPr>
            <w:tcW w:type="dxa" w:w="7704"/>
            <w:vAlign w:val="top"/>
          </w:tcPr>
          <w:p>
            <w:pPr>
              <w:spacing w:after="0"/>
            </w:pPr>
            <w:r>
              <w:rPr>
                <w:color w:val="1F2937"/>
                <w:sz w:val="17"/>
              </w:rPr>
              <w:t>Command accepted; no execution owner yet.</w:t>
            </w:r>
          </w:p>
        </w:tc>
      </w:tr>
      <w:tr>
        <w:trPr>
          <w:cantSplit/>
        </w:trPr>
        <w:tc>
          <w:tcPr>
            <w:tcW w:type="dxa" w:w="1944"/>
            <w:shd w:fill="F7F9FC"/>
            <w:vAlign w:val="top"/>
          </w:tcPr>
          <w:p>
            <w:pPr>
              <w:spacing w:after="0"/>
            </w:pPr>
            <w:r>
              <w:rPr>
                <w:color w:val="1F2937"/>
                <w:sz w:val="17"/>
              </w:rPr>
              <w:t>ANALYZING</w:t>
            </w:r>
          </w:p>
        </w:tc>
        <w:tc>
          <w:tcPr>
            <w:tcW w:type="dxa" w:w="7704"/>
            <w:shd w:fill="F7F9FC"/>
            <w:vAlign w:val="top"/>
          </w:tcPr>
          <w:p>
            <w:pPr>
              <w:spacing w:after="0"/>
            </w:pPr>
            <w:r>
              <w:rPr>
                <w:color w:val="1F2937"/>
                <w:sz w:val="17"/>
              </w:rPr>
              <w:t>Repository, runtime, requirements and application-owned inputs.</w:t>
            </w:r>
          </w:p>
        </w:tc>
      </w:tr>
      <w:tr>
        <w:trPr>
          <w:cantSplit/>
        </w:trPr>
        <w:tc>
          <w:tcPr>
            <w:tcW w:type="dxa" w:w="1944"/>
            <w:vAlign w:val="top"/>
          </w:tcPr>
          <w:p>
            <w:pPr>
              <w:spacing w:after="0"/>
            </w:pPr>
            <w:r>
              <w:rPr>
                <w:color w:val="1F2937"/>
                <w:sz w:val="17"/>
              </w:rPr>
              <w:t>WAITING_FOR_INPUT</w:t>
            </w:r>
          </w:p>
        </w:tc>
        <w:tc>
          <w:tcPr>
            <w:tcW w:type="dxa" w:w="7704"/>
            <w:vAlign w:val="top"/>
          </w:tcPr>
          <w:p>
            <w:pPr>
              <w:spacing w:after="0"/>
            </w:pPr>
            <w:r>
              <w:rPr>
                <w:color w:val="1F2937"/>
                <w:sz w:val="17"/>
              </w:rPr>
              <w:t>Only unresolved developer-owned values are requested.</w:t>
            </w:r>
          </w:p>
        </w:tc>
      </w:tr>
      <w:tr>
        <w:trPr>
          <w:cantSplit/>
        </w:trPr>
        <w:tc>
          <w:tcPr>
            <w:tcW w:type="dxa" w:w="1944"/>
            <w:shd w:fill="F7F9FC"/>
            <w:vAlign w:val="top"/>
          </w:tcPr>
          <w:p>
            <w:pPr>
              <w:spacing w:after="0"/>
            </w:pPr>
            <w:r>
              <w:rPr>
                <w:color w:val="1F2937"/>
                <w:sz w:val="17"/>
              </w:rPr>
              <w:t>BUILDING</w:t>
            </w:r>
          </w:p>
        </w:tc>
        <w:tc>
          <w:tcPr>
            <w:tcW w:type="dxa" w:w="7704"/>
            <w:shd w:fill="F7F9FC"/>
            <w:vAlign w:val="top"/>
          </w:tcPr>
          <w:p>
            <w:pPr>
              <w:spacing w:after="0"/>
            </w:pPr>
            <w:r>
              <w:rPr>
                <w:color w:val="1F2937"/>
                <w:sz w:val="17"/>
              </w:rPr>
              <w:t>Container build, security scan and immutable image publication.</w:t>
            </w:r>
          </w:p>
        </w:tc>
      </w:tr>
      <w:tr>
        <w:trPr>
          <w:cantSplit/>
        </w:trPr>
        <w:tc>
          <w:tcPr>
            <w:tcW w:type="dxa" w:w="1944"/>
            <w:vAlign w:val="top"/>
          </w:tcPr>
          <w:p>
            <w:pPr>
              <w:spacing w:after="0"/>
            </w:pPr>
            <w:r>
              <w:rPr>
                <w:color w:val="1F2937"/>
                <w:sz w:val="17"/>
              </w:rPr>
              <w:t>PREPARING</w:t>
            </w:r>
          </w:p>
        </w:tc>
        <w:tc>
          <w:tcPr>
            <w:tcW w:type="dxa" w:w="7704"/>
            <w:vAlign w:val="top"/>
          </w:tcPr>
          <w:p>
            <w:pPr>
              <w:spacing w:after="0"/>
            </w:pPr>
            <w:r>
              <w:rPr>
                <w:color w:val="1F2937"/>
                <w:sz w:val="17"/>
              </w:rPr>
              <w:t>Immutable contract, managed bindings, policy and exact plan preparation.</w:t>
            </w:r>
          </w:p>
        </w:tc>
      </w:tr>
      <w:tr>
        <w:trPr>
          <w:cantSplit/>
        </w:trPr>
        <w:tc>
          <w:tcPr>
            <w:tcW w:type="dxa" w:w="1944"/>
            <w:shd w:fill="F7F9FC"/>
            <w:vAlign w:val="top"/>
          </w:tcPr>
          <w:p>
            <w:pPr>
              <w:spacing w:after="0"/>
            </w:pPr>
            <w:r>
              <w:rPr>
                <w:color w:val="1F2937"/>
                <w:sz w:val="17"/>
              </w:rPr>
              <w:t>DEPLOYING</w:t>
            </w:r>
          </w:p>
        </w:tc>
        <w:tc>
          <w:tcPr>
            <w:tcW w:type="dxa" w:w="7704"/>
            <w:shd w:fill="F7F9FC"/>
            <w:vAlign w:val="top"/>
          </w:tcPr>
          <w:p>
            <w:pPr>
              <w:spacing w:after="0"/>
            </w:pPr>
            <w:r>
              <w:rPr>
                <w:color w:val="1F2937"/>
                <w:sz w:val="17"/>
              </w:rPr>
              <w:t>Serialized infrastructure mutation and service rollout.</w:t>
            </w:r>
          </w:p>
        </w:tc>
      </w:tr>
      <w:tr>
        <w:trPr>
          <w:cantSplit/>
        </w:trPr>
        <w:tc>
          <w:tcPr>
            <w:tcW w:type="dxa" w:w="1944"/>
            <w:vAlign w:val="top"/>
          </w:tcPr>
          <w:p>
            <w:pPr>
              <w:spacing w:after="0"/>
            </w:pPr>
            <w:r>
              <w:rPr>
                <w:color w:val="1F2937"/>
                <w:sz w:val="17"/>
              </w:rPr>
              <w:t>VERIFYING</w:t>
            </w:r>
          </w:p>
        </w:tc>
        <w:tc>
          <w:tcPr>
            <w:tcW w:type="dxa" w:w="7704"/>
            <w:vAlign w:val="top"/>
          </w:tcPr>
          <w:p>
            <w:pPr>
              <w:spacing w:after="0"/>
            </w:pPr>
            <w:r>
              <w:rPr>
                <w:color w:val="1F2937"/>
                <w:sz w:val="17"/>
              </w:rPr>
              <w:t>Managed service readiness, ECS, ALB and application health.</w:t>
            </w:r>
          </w:p>
        </w:tc>
      </w:tr>
      <w:tr>
        <w:trPr>
          <w:cantSplit/>
        </w:trPr>
        <w:tc>
          <w:tcPr>
            <w:tcW w:type="dxa" w:w="1944"/>
            <w:shd w:fill="F7F9FC"/>
            <w:vAlign w:val="top"/>
          </w:tcPr>
          <w:p>
            <w:pPr>
              <w:spacing w:after="0"/>
            </w:pPr>
            <w:r>
              <w:rPr>
                <w:color w:val="1F2937"/>
                <w:sz w:val="17"/>
              </w:rPr>
              <w:t>LIVE</w:t>
            </w:r>
          </w:p>
        </w:tc>
        <w:tc>
          <w:tcPr>
            <w:tcW w:type="dxa" w:w="7704"/>
            <w:shd w:fill="F7F9FC"/>
            <w:vAlign w:val="top"/>
          </w:tcPr>
          <w:p>
            <w:pPr>
              <w:spacing w:after="0"/>
            </w:pPr>
            <w:r>
              <w:rPr>
                <w:color w:val="1F2937"/>
                <w:sz w:val="17"/>
              </w:rPr>
              <w:t>Stable release and live URL recorded.</w:t>
            </w:r>
          </w:p>
        </w:tc>
      </w:tr>
      <w:tr>
        <w:trPr>
          <w:cantSplit/>
        </w:trPr>
        <w:tc>
          <w:tcPr>
            <w:tcW w:type="dxa" w:w="1944"/>
            <w:vAlign w:val="top"/>
          </w:tcPr>
          <w:p>
            <w:pPr>
              <w:spacing w:after="0"/>
            </w:pPr>
            <w:r>
              <w:rPr>
                <w:color w:val="1F2937"/>
                <w:sz w:val="17"/>
              </w:rPr>
              <w:t>FAILED</w:t>
            </w:r>
          </w:p>
        </w:tc>
        <w:tc>
          <w:tcPr>
            <w:tcW w:type="dxa" w:w="7704"/>
            <w:vAlign w:val="top"/>
          </w:tcPr>
          <w:p>
            <w:pPr>
              <w:spacing w:after="0"/>
            </w:pPr>
            <w:r>
              <w:rPr>
                <w:color w:val="1F2937"/>
                <w:sz w:val="17"/>
              </w:rPr>
              <w:t>Terminal result with an owner-classified failure and safe next action.</w:t>
            </w:r>
          </w:p>
        </w:tc>
      </w:tr>
      <w:tr>
        <w:trPr>
          <w:cantSplit/>
        </w:trPr>
        <w:tc>
          <w:tcPr>
            <w:tcW w:type="dxa" w:w="1944"/>
            <w:shd w:fill="F7F9FC"/>
            <w:vAlign w:val="top"/>
          </w:tcPr>
          <w:p>
            <w:pPr>
              <w:spacing w:after="0"/>
            </w:pPr>
            <w:r>
              <w:rPr>
                <w:color w:val="1F2937"/>
                <w:sz w:val="17"/>
              </w:rPr>
              <w:t>DELETING</w:t>
            </w:r>
          </w:p>
        </w:tc>
        <w:tc>
          <w:tcPr>
            <w:tcW w:type="dxa" w:w="7704"/>
            <w:shd w:fill="F7F9FC"/>
            <w:vAlign w:val="top"/>
          </w:tcPr>
          <w:p>
            <w:pPr>
              <w:spacing w:after="0"/>
            </w:pPr>
            <w:r>
              <w:rPr>
                <w:color w:val="1F2937"/>
                <w:sz w:val="17"/>
              </w:rPr>
              <w:t>New deployments blocked; backend deletion job in progress.</w:t>
            </w:r>
          </w:p>
        </w:tc>
      </w:tr>
      <w:tr>
        <w:trPr>
          <w:cantSplit/>
        </w:trPr>
        <w:tc>
          <w:tcPr>
            <w:tcW w:type="dxa" w:w="1944"/>
            <w:vAlign w:val="top"/>
          </w:tcPr>
          <w:p>
            <w:pPr>
              <w:spacing w:after="0"/>
            </w:pPr>
            <w:r>
              <w:rPr>
                <w:color w:val="1F2937"/>
                <w:sz w:val="17"/>
              </w:rPr>
              <w:t>DELETED</w:t>
            </w:r>
          </w:p>
        </w:tc>
        <w:tc>
          <w:tcPr>
            <w:tcW w:type="dxa" w:w="7704"/>
            <w:vAlign w:val="top"/>
          </w:tcPr>
          <w:p>
            <w:pPr>
              <w:spacing w:after="0"/>
            </w:pPr>
            <w:r>
              <w:rPr>
                <w:color w:val="1F2937"/>
                <w:sz w:val="17"/>
              </w:rPr>
              <w:t>AWS project resources verified removed and project archived.</w:t>
            </w:r>
          </w:p>
        </w:tc>
      </w:tr>
    </w:tbl>
    <w:p>
      <w:pPr>
        <w:spacing w:after="0"/>
      </w:pPr>
    </w:p>
    <w:p>
      <w:pPr>
        <w:pStyle w:val="Heading2"/>
        <w:spacing w:before="160" w:after="60"/>
        <w:keepNext/>
      </w:pPr>
      <w:r>
        <w:rPr>
          <w:color w:val="1D4ED8"/>
        </w:rPr>
        <w:t>6.2 Transition rules</w:t>
      </w:r>
    </w:p>
    <w:p>
      <w:pPr>
        <w:pStyle w:val="ListBullet"/>
        <w:spacing w:after="40"/>
      </w:pPr>
      <w:r>
        <w:t>A queued event is not a running stage.</w:t>
      </w:r>
    </w:p>
    <w:p>
      <w:pPr>
        <w:pStyle w:val="ListBullet"/>
        <w:spacing w:after="40"/>
      </w:pPr>
      <w:r>
        <w:t>Lock acquisition, approval or heartbeat events never imply deployment success.</w:t>
      </w:r>
    </w:p>
    <w:p>
      <w:pPr>
        <w:pStyle w:val="ListBullet"/>
        <w:spacing w:after="40"/>
      </w:pPr>
      <w:r>
        <w:t>A failed gate blocks all downstream stages.</w:t>
      </w:r>
    </w:p>
    <w:p>
      <w:pPr>
        <w:pStyle w:val="ListBullet"/>
        <w:spacing w:after="40"/>
      </w:pPr>
      <w:r>
        <w:t>Newer terminal evidence overrides older waiting or approval evidence.</w:t>
      </w:r>
    </w:p>
    <w:p>
      <w:pPr>
        <w:pStyle w:val="ListBullet"/>
        <w:spacing w:after="40"/>
      </w:pPr>
      <w:r>
        <w:t>Progress never moves backward; internal safety rechecks remain inside the current user-facing phase.</w:t>
      </w:r>
    </w:p>
    <w:p>
      <w:pPr>
        <w:pStyle w:val="ListBullet"/>
        <w:spacing w:after="40"/>
      </w:pPr>
      <w:r>
        <w:t>A run becomes Live only after explicit health success and stable-release persistence.</w:t>
      </w:r>
    </w:p>
    <w:p>
      <w:pPr>
        <w:pStyle w:val="Heading1"/>
        <w:spacing w:before="240" w:after="100"/>
        <w:keepNext/>
      </w:pPr>
      <w:r>
        <w:rPr>
          <w:color w:val="123B66"/>
        </w:rPr>
        <w:t>7. Concurrency, Isolation and Idempotency</w:t>
      </w:r>
    </w:p>
    <w:p>
      <w:pPr>
        <w:pStyle w:val="Heading2"/>
        <w:spacing w:before="160" w:after="60"/>
        <w:keepNext/>
      </w:pPr>
      <w:r>
        <w:rPr>
          <w:color w:val="1D4ED8"/>
        </w:rPr>
        <w:t>7.1 Concurrency lanes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456"/>
            <w:shd w:fill="123B66"/>
            <w:vAlign w:val="center"/>
          </w:tcPr>
          <w:p>
            <w:pPr>
              <w:jc w:val="center"/>
            </w:pPr>
            <w:r>
              <w:rPr>
                <w:b/>
                <w:color w:val="FFFFFF"/>
                <w:sz w:val="17"/>
              </w:rPr>
              <w:t>Scenario</w:t>
            </w:r>
          </w:p>
        </w:tc>
        <w:tc>
          <w:tcPr>
            <w:tcW w:type="dxa" w:w="6192"/>
            <w:shd w:fill="123B66"/>
            <w:vAlign w:val="center"/>
          </w:tcPr>
          <w:p>
            <w:pPr>
              <w:jc w:val="center"/>
            </w:pPr>
            <w:r>
              <w:rPr>
                <w:b/>
                <w:color w:val="FFFFFF"/>
                <w:sz w:val="17"/>
              </w:rPr>
              <w:t>Allowed behavior</w:t>
            </w:r>
          </w:p>
        </w:tc>
      </w:tr>
      <w:tr>
        <w:trPr>
          <w:cantSplit/>
        </w:trPr>
        <w:tc>
          <w:tcPr>
            <w:tcW w:type="dxa" w:w="3456"/>
            <w:vAlign w:val="top"/>
          </w:tcPr>
          <w:p>
            <w:pPr>
              <w:spacing w:after="0"/>
            </w:pPr>
            <w:r>
              <w:rPr>
                <w:color w:val="1F2937"/>
                <w:sz w:val="17"/>
              </w:rPr>
              <w:t>Different projects</w:t>
            </w:r>
          </w:p>
        </w:tc>
        <w:tc>
          <w:tcPr>
            <w:tcW w:type="dxa" w:w="6192"/>
            <w:vAlign w:val="top"/>
          </w:tcPr>
          <w:p>
            <w:pPr>
              <w:spacing w:after="0"/>
            </w:pPr>
            <w:r>
              <w:rPr>
                <w:color w:val="1F2937"/>
                <w:sz w:val="17"/>
              </w:rPr>
              <w:t>Build and deploy concurrently within platform capacity.</w:t>
            </w:r>
          </w:p>
        </w:tc>
      </w:tr>
      <w:tr>
        <w:trPr>
          <w:cantSplit/>
        </w:trPr>
        <w:tc>
          <w:tcPr>
            <w:tcW w:type="dxa" w:w="3456"/>
            <w:shd w:fill="F7F9FC"/>
            <w:vAlign w:val="top"/>
          </w:tcPr>
          <w:p>
            <w:pPr>
              <w:spacing w:after="0"/>
            </w:pPr>
            <w:r>
              <w:rPr>
                <w:color w:val="1F2937"/>
                <w:sz w:val="17"/>
              </w:rPr>
              <w:t>Two commits, same project, build phase</w:t>
            </w:r>
          </w:p>
        </w:tc>
        <w:tc>
          <w:tcPr>
            <w:tcW w:type="dxa" w:w="6192"/>
            <w:shd w:fill="F7F9FC"/>
            <w:vAlign w:val="top"/>
          </w:tcPr>
          <w:p>
            <w:pPr>
              <w:spacing w:after="0"/>
            </w:pPr>
            <w:r>
              <w:rPr>
                <w:color w:val="1F2937"/>
                <w:sz w:val="17"/>
              </w:rPr>
              <w:t>Build concurrently in isolated workspaces.</w:t>
            </w:r>
          </w:p>
        </w:tc>
      </w:tr>
      <w:tr>
        <w:trPr>
          <w:cantSplit/>
        </w:trPr>
        <w:tc>
          <w:tcPr>
            <w:tcW w:type="dxa" w:w="3456"/>
            <w:vAlign w:val="top"/>
          </w:tcPr>
          <w:p>
            <w:pPr>
              <w:spacing w:after="0"/>
            </w:pPr>
            <w:r>
              <w:rPr>
                <w:color w:val="1F2937"/>
                <w:sz w:val="17"/>
              </w:rPr>
              <w:t>Two infrastructure mutations, same environment</w:t>
            </w:r>
          </w:p>
        </w:tc>
        <w:tc>
          <w:tcPr>
            <w:tcW w:type="dxa" w:w="6192"/>
            <w:vAlign w:val="top"/>
          </w:tcPr>
          <w:p>
            <w:pPr>
              <w:spacing w:after="0"/>
            </w:pPr>
            <w:r>
              <w:rPr>
                <w:color w:val="1F2937"/>
                <w:sz w:val="17"/>
              </w:rPr>
              <w:t>Forbidden; exactly one deployment lock holder.</w:t>
            </w:r>
          </w:p>
        </w:tc>
      </w:tr>
      <w:tr>
        <w:trPr>
          <w:cantSplit/>
        </w:trPr>
        <w:tc>
          <w:tcPr>
            <w:tcW w:type="dxa" w:w="3456"/>
            <w:shd w:fill="F7F9FC"/>
            <w:vAlign w:val="top"/>
          </w:tcPr>
          <w:p>
            <w:pPr>
              <w:spacing w:after="0"/>
            </w:pPr>
            <w:r>
              <w:rPr>
                <w:color w:val="1F2937"/>
                <w:sz w:val="17"/>
              </w:rPr>
              <w:t>Newer run before older apply</w:t>
            </w:r>
          </w:p>
        </w:tc>
        <w:tc>
          <w:tcPr>
            <w:tcW w:type="dxa" w:w="6192"/>
            <w:shd w:fill="F7F9FC"/>
            <w:vAlign w:val="top"/>
          </w:tcPr>
          <w:p>
            <w:pPr>
              <w:spacing w:after="0"/>
            </w:pPr>
            <w:r>
              <w:rPr>
                <w:color w:val="1F2937"/>
                <w:sz w:val="17"/>
              </w:rPr>
              <w:t>Older run is superseded; newer run becomes deployment candidate.</w:t>
            </w:r>
          </w:p>
        </w:tc>
      </w:tr>
      <w:tr>
        <w:trPr>
          <w:cantSplit/>
        </w:trPr>
        <w:tc>
          <w:tcPr>
            <w:tcW w:type="dxa" w:w="3456"/>
            <w:vAlign w:val="top"/>
          </w:tcPr>
          <w:p>
            <w:pPr>
              <w:spacing w:after="0"/>
            </w:pPr>
            <w:r>
              <w:rPr>
                <w:color w:val="1F2937"/>
                <w:sz w:val="17"/>
              </w:rPr>
              <w:t>Newer run while apply is active</w:t>
            </w:r>
          </w:p>
        </w:tc>
        <w:tc>
          <w:tcPr>
            <w:tcW w:type="dxa" w:w="6192"/>
            <w:vAlign w:val="top"/>
          </w:tcPr>
          <w:p>
            <w:pPr>
              <w:spacing w:after="0"/>
            </w:pPr>
            <w:r>
              <w:rPr>
                <w:color w:val="1F2937"/>
                <w:sz w:val="17"/>
              </w:rPr>
              <w:t>New run waits; after reconciliation it generates a fresh plan.</w:t>
            </w:r>
          </w:p>
        </w:tc>
      </w:tr>
      <w:tr>
        <w:trPr>
          <w:cantSplit/>
        </w:trPr>
        <w:tc>
          <w:tcPr>
            <w:tcW w:type="dxa" w:w="3456"/>
            <w:shd w:fill="F7F9FC"/>
            <w:vAlign w:val="top"/>
          </w:tcPr>
          <w:p>
            <w:pPr>
              <w:spacing w:after="0"/>
            </w:pPr>
            <w:r>
              <w:rPr>
                <w:color w:val="1F2937"/>
                <w:sz w:val="17"/>
              </w:rPr>
              <w:t>Duplicate queue delivery</w:t>
            </w:r>
          </w:p>
        </w:tc>
        <w:tc>
          <w:tcPr>
            <w:tcW w:type="dxa" w:w="6192"/>
            <w:shd w:fill="F7F9FC"/>
            <w:vAlign w:val="top"/>
          </w:tcPr>
          <w:p>
            <w:pPr>
              <w:spacing w:after="0"/>
            </w:pPr>
            <w:r>
              <w:rPr>
                <w:color w:val="1F2937"/>
                <w:sz w:val="17"/>
              </w:rPr>
              <w:t>Returns existing operation; no duplicate plan/apply.</w:t>
            </w:r>
          </w:p>
        </w:tc>
      </w:tr>
      <w:tr>
        <w:trPr>
          <w:cantSplit/>
        </w:trPr>
        <w:tc>
          <w:tcPr>
            <w:tcW w:type="dxa" w:w="3456"/>
            <w:vAlign w:val="top"/>
          </w:tcPr>
          <w:p>
            <w:pPr>
              <w:spacing w:after="0"/>
            </w:pPr>
            <w:r>
              <w:rPr>
                <w:color w:val="1F2937"/>
                <w:sz w:val="17"/>
              </w:rPr>
              <w:t>Browser double-click</w:t>
            </w:r>
          </w:p>
        </w:tc>
        <w:tc>
          <w:tcPr>
            <w:tcW w:type="dxa" w:w="6192"/>
            <w:vAlign w:val="top"/>
          </w:tcPr>
          <w:p>
            <w:pPr>
              <w:spacing w:after="0"/>
            </w:pPr>
            <w:r>
              <w:rPr>
                <w:color w:val="1F2937"/>
                <w:sz w:val="17"/>
              </w:rPr>
              <w:t>Returns the same deployment ID.</w:t>
            </w:r>
          </w:p>
        </w:tc>
      </w:tr>
      <w:tr>
        <w:trPr>
          <w:cantSplit/>
        </w:trPr>
        <w:tc>
          <w:tcPr>
            <w:tcW w:type="dxa" w:w="3456"/>
            <w:shd w:fill="F7F9FC"/>
            <w:vAlign w:val="top"/>
          </w:tcPr>
          <w:p>
            <w:pPr>
              <w:spacing w:after="0"/>
            </w:pPr>
            <w:r>
              <w:rPr>
                <w:color w:val="1F2937"/>
                <w:sz w:val="17"/>
              </w:rPr>
              <w:t>Worker restart</w:t>
            </w:r>
          </w:p>
        </w:tc>
        <w:tc>
          <w:tcPr>
            <w:tcW w:type="dxa" w:w="6192"/>
            <w:shd w:fill="F7F9FC"/>
            <w:vAlign w:val="top"/>
          </w:tcPr>
          <w:p>
            <w:pPr>
              <w:spacing w:after="0"/>
            </w:pPr>
            <w:r>
              <w:rPr>
                <w:color w:val="1F2937"/>
                <w:sz w:val="17"/>
              </w:rPr>
              <w:t>Resumes from durable checkpoints without duplicating cloud mutation.</w:t>
            </w:r>
          </w:p>
        </w:tc>
      </w:tr>
    </w:tbl>
    <w:p>
      <w:pPr>
        <w:spacing w:after="0"/>
      </w:pPr>
    </w:p>
    <w:p>
      <w:pPr>
        <w:pStyle w:val="Heading2"/>
        <w:spacing w:before="160" w:after="60"/>
        <w:keepNext/>
      </w:pPr>
      <w:r>
        <w:rPr>
          <w:color w:val="1D4ED8"/>
        </w:rPr>
        <w:t>7.2 Run-isolated filesystem</w:t>
      </w:r>
    </w:p>
    <w:p>
      <w:pPr>
        <w:spacing w:after="100" w:line="259" w:lineRule="auto"/>
      </w:pPr>
      <w:r>
        <w:t>Every deployment receives a unique local workspace. The Terraform remote state remains stable per project environment, but plans, generated variables and Terraform data directories are unique per run.</w:t>
      </w:r>
    </w:p>
    <w:tbl>
      <w:tblPr>
        <w:tblW w:type="auto" w:w="0"/>
        <w:jc w:val="center"/>
        <w:tblLayout w:type="autofit"/>
        <w:tblLook w:firstColumn="1" w:firstRow="1" w:lastColumn="0" w:lastRow="0" w:noHBand="0" w:noVBand="1" w:val="04A0"/>
      </w:tblPr>
      <w:tblGrid>
        <w:gridCol w:w="9972"/>
      </w:tblGrid>
      <w:tr>
        <w:trPr>
          <w:cantSplit/>
        </w:trPr>
        <w:tc>
          <w:tcPr>
            <w:tcW w:type="dxa" w:w="9972"/>
            <w:shd w:fill="F0FDF4"/>
            <w:tcBorders>
              <w:top w:val="single" w:sz="8" w:color="123B66"/>
              <w:left w:val="single" w:sz="8" w:color="123B66"/>
              <w:bottom w:val="single" w:sz="8" w:color="123B66"/>
              <w:right w:val="single" w:sz="8" w:color="123B66"/>
            </w:tcBorders>
          </w:tcPr>
          <w:p>
            <w:pPr>
              <w:spacing w:after="0"/>
            </w:pPr>
            <w:r>
              <w:rPr>
                <w:b/>
                <w:color w:val="123B66"/>
              </w:rPr>
              <w:t>Workspace convention</w:t>
              <w:br/>
            </w:r>
            <w:r>
              <w:t>/workspaces/&lt;projectId&gt;/&lt;environment&gt;/&lt;deploymentId&gt;/ - unique backend config, tfvars JSON, tfplan, plan summary, generated task definition and temporary logs.</w:t>
            </w:r>
          </w:p>
        </w:tc>
      </w:tr>
    </w:tbl>
    <w:p>
      <w:pPr>
        <w:spacing w:after="0"/>
      </w:pPr>
    </w:p>
    <w:p>
      <w:pPr>
        <w:pStyle w:val="Heading2"/>
        <w:spacing w:before="160" w:after="60"/>
        <w:keepNext/>
      </w:pPr>
      <w:r>
        <w:rPr>
          <w:color w:val="1D4ED8"/>
        </w:rPr>
        <w:t>7.3 Worker compatibility</w:t>
      </w:r>
    </w:p>
    <w:p>
      <w:pPr>
        <w:spacing w:after="100" w:line="259" w:lineRule="auto"/>
      </w:pPr>
      <w:r>
        <w:t>Each worker registers workerId, applicationVersion, gitCommitSHA, contractSchemaVersion, startedAt and lastHeartbeatAt. The orchestrator dispatches jobs only to compatible workers. A stale worker cannot consume new deployment jobs.</w:t>
      </w:r>
    </w:p>
    <w:p>
      <w:pPr>
        <w:pStyle w:val="Heading1"/>
        <w:spacing w:before="240" w:after="100"/>
        <w:keepNext/>
      </w:pPr>
      <w:r>
        <w:rPr>
          <w:color w:val="123B66"/>
        </w:rPr>
        <w:t>8. Configuration, Secrets and Managed Services</w:t>
      </w:r>
    </w:p>
    <w:p>
      <w:pPr>
        <w:pStyle w:val="Heading2"/>
        <w:spacing w:before="160" w:after="60"/>
        <w:keepNext/>
      </w:pPr>
      <w:r>
        <w:rPr>
          <w:color w:val="1D4ED8"/>
        </w:rPr>
        <w:t>8.1 Ownership model</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656"/>
            <w:shd w:fill="123B66"/>
            <w:vAlign w:val="center"/>
          </w:tcPr>
          <w:p>
            <w:pPr>
              <w:jc w:val="center"/>
            </w:pPr>
            <w:r>
              <w:rPr>
                <w:b/>
                <w:color w:val="FFFFFF"/>
                <w:sz w:val="16"/>
              </w:rPr>
              <w:t>Key</w:t>
            </w:r>
          </w:p>
        </w:tc>
        <w:tc>
          <w:tcPr>
            <w:tcW w:type="dxa" w:w="2376"/>
            <w:shd w:fill="123B66"/>
            <w:vAlign w:val="center"/>
          </w:tcPr>
          <w:p>
            <w:pPr>
              <w:jc w:val="center"/>
            </w:pPr>
            <w:r>
              <w:rPr>
                <w:b/>
                <w:color w:val="FFFFFF"/>
                <w:sz w:val="16"/>
              </w:rPr>
              <w:t>Owner</w:t>
            </w:r>
          </w:p>
        </w:tc>
        <w:tc>
          <w:tcPr>
            <w:tcW w:type="dxa" w:w="2088"/>
            <w:shd w:fill="123B66"/>
            <w:vAlign w:val="center"/>
          </w:tcPr>
          <w:p>
            <w:pPr>
              <w:jc w:val="center"/>
            </w:pPr>
            <w:r>
              <w:rPr>
                <w:b/>
                <w:color w:val="FFFFFF"/>
                <w:sz w:val="16"/>
              </w:rPr>
              <w:t>Destination</w:t>
            </w:r>
          </w:p>
        </w:tc>
        <w:tc>
          <w:tcPr>
            <w:tcW w:type="dxa" w:w="3528"/>
            <w:shd w:fill="123B66"/>
            <w:vAlign w:val="center"/>
          </w:tcPr>
          <w:p>
            <w:pPr>
              <w:jc w:val="center"/>
            </w:pPr>
            <w:r>
              <w:rPr>
                <w:b/>
                <w:color w:val="FFFFFF"/>
                <w:sz w:val="16"/>
              </w:rPr>
              <w:t>Developer responsibility</w:t>
            </w:r>
          </w:p>
        </w:tc>
      </w:tr>
      <w:tr>
        <w:trPr>
          <w:cantSplit/>
        </w:trPr>
        <w:tc>
          <w:tcPr>
            <w:tcW w:type="dxa" w:w="1656"/>
            <w:vAlign w:val="top"/>
          </w:tcPr>
          <w:p>
            <w:pPr>
              <w:spacing w:after="0"/>
            </w:pPr>
            <w:r>
              <w:rPr>
                <w:color w:val="1F2937"/>
                <w:sz w:val="16"/>
              </w:rPr>
              <w:t>JWT_SECRET</w:t>
            </w:r>
          </w:p>
        </w:tc>
        <w:tc>
          <w:tcPr>
            <w:tcW w:type="dxa" w:w="2376"/>
            <w:vAlign w:val="top"/>
          </w:tcPr>
          <w:p>
            <w:pPr>
              <w:spacing w:after="0"/>
            </w:pPr>
            <w:r>
              <w:rPr>
                <w:color w:val="1F2937"/>
                <w:sz w:val="16"/>
              </w:rPr>
              <w:t>Application/developer</w:t>
            </w:r>
          </w:p>
        </w:tc>
        <w:tc>
          <w:tcPr>
            <w:tcW w:type="dxa" w:w="2088"/>
            <w:vAlign w:val="top"/>
          </w:tcPr>
          <w:p>
            <w:pPr>
              <w:spacing w:after="0"/>
            </w:pPr>
            <w:r>
              <w:rPr>
                <w:color w:val="1F2937"/>
                <w:sz w:val="16"/>
              </w:rPr>
              <w:t>ECS secret</w:t>
            </w:r>
          </w:p>
        </w:tc>
        <w:tc>
          <w:tcPr>
            <w:tcW w:type="dxa" w:w="3528"/>
            <w:vAlign w:val="top"/>
          </w:tcPr>
          <w:p>
            <w:pPr>
              <w:spacing w:after="0"/>
            </w:pPr>
            <w:r>
              <w:rPr>
                <w:color w:val="1F2937"/>
                <w:sz w:val="16"/>
              </w:rPr>
              <w:t>Provide once; value remains masked.</w:t>
            </w:r>
          </w:p>
        </w:tc>
      </w:tr>
      <w:tr>
        <w:trPr>
          <w:cantSplit/>
        </w:trPr>
        <w:tc>
          <w:tcPr>
            <w:tcW w:type="dxa" w:w="1656"/>
            <w:shd w:fill="F7F9FC"/>
            <w:vAlign w:val="top"/>
          </w:tcPr>
          <w:p>
            <w:pPr>
              <w:spacing w:after="0"/>
            </w:pPr>
            <w:r>
              <w:rPr>
                <w:color w:val="1F2937"/>
                <w:sz w:val="16"/>
              </w:rPr>
              <w:t>DB_HOST</w:t>
            </w:r>
          </w:p>
        </w:tc>
        <w:tc>
          <w:tcPr>
            <w:tcW w:type="dxa" w:w="2376"/>
            <w:shd w:fill="F7F9FC"/>
            <w:vAlign w:val="top"/>
          </w:tcPr>
          <w:p>
            <w:pPr>
              <w:spacing w:after="0"/>
            </w:pPr>
            <w:r>
              <w:rPr>
                <w:color w:val="1F2937"/>
                <w:sz w:val="16"/>
              </w:rPr>
              <w:t>DeployGuard managed service</w:t>
            </w:r>
          </w:p>
        </w:tc>
        <w:tc>
          <w:tcPr>
            <w:tcW w:type="dxa" w:w="2088"/>
            <w:shd w:fill="F7F9FC"/>
            <w:vAlign w:val="top"/>
          </w:tcPr>
          <w:p>
            <w:pPr>
              <w:spacing w:after="0"/>
            </w:pPr>
            <w:r>
              <w:rPr>
                <w:color w:val="1F2937"/>
                <w:sz w:val="16"/>
              </w:rPr>
              <w:t>ECS environment</w:t>
            </w:r>
          </w:p>
        </w:tc>
        <w:tc>
          <w:tcPr>
            <w:tcW w:type="dxa" w:w="3528"/>
            <w:shd w:fill="F7F9FC"/>
            <w:vAlign w:val="top"/>
          </w:tcPr>
          <w:p>
            <w:pPr>
              <w:spacing w:after="0"/>
            </w:pPr>
            <w:r>
              <w:rPr>
                <w:color w:val="1F2937"/>
                <w:sz w:val="16"/>
              </w:rPr>
              <w:t>None.</w:t>
            </w:r>
          </w:p>
        </w:tc>
      </w:tr>
      <w:tr>
        <w:trPr>
          <w:cantSplit/>
        </w:trPr>
        <w:tc>
          <w:tcPr>
            <w:tcW w:type="dxa" w:w="1656"/>
            <w:vAlign w:val="top"/>
          </w:tcPr>
          <w:p>
            <w:pPr>
              <w:spacing w:after="0"/>
            </w:pPr>
            <w:r>
              <w:rPr>
                <w:color w:val="1F2937"/>
                <w:sz w:val="16"/>
              </w:rPr>
              <w:t>DB_PORT</w:t>
            </w:r>
          </w:p>
        </w:tc>
        <w:tc>
          <w:tcPr>
            <w:tcW w:type="dxa" w:w="2376"/>
            <w:vAlign w:val="top"/>
          </w:tcPr>
          <w:p>
            <w:pPr>
              <w:spacing w:after="0"/>
            </w:pPr>
            <w:r>
              <w:rPr>
                <w:color w:val="1F2937"/>
                <w:sz w:val="16"/>
              </w:rPr>
              <w:t>DeployGuard managed service</w:t>
            </w:r>
          </w:p>
        </w:tc>
        <w:tc>
          <w:tcPr>
            <w:tcW w:type="dxa" w:w="2088"/>
            <w:vAlign w:val="top"/>
          </w:tcPr>
          <w:p>
            <w:pPr>
              <w:spacing w:after="0"/>
            </w:pPr>
            <w:r>
              <w:rPr>
                <w:color w:val="1F2937"/>
                <w:sz w:val="16"/>
              </w:rPr>
              <w:t>ECS environment</w:t>
            </w:r>
          </w:p>
        </w:tc>
        <w:tc>
          <w:tcPr>
            <w:tcW w:type="dxa" w:w="3528"/>
            <w:vAlign w:val="top"/>
          </w:tcPr>
          <w:p>
            <w:pPr>
              <w:spacing w:after="0"/>
            </w:pPr>
            <w:r>
              <w:rPr>
                <w:color w:val="1F2937"/>
                <w:sz w:val="16"/>
              </w:rPr>
              <w:t>None.</w:t>
            </w:r>
          </w:p>
        </w:tc>
      </w:tr>
      <w:tr>
        <w:trPr>
          <w:cantSplit/>
        </w:trPr>
        <w:tc>
          <w:tcPr>
            <w:tcW w:type="dxa" w:w="1656"/>
            <w:shd w:fill="F7F9FC"/>
            <w:vAlign w:val="top"/>
          </w:tcPr>
          <w:p>
            <w:pPr>
              <w:spacing w:after="0"/>
            </w:pPr>
            <w:r>
              <w:rPr>
                <w:color w:val="1F2937"/>
                <w:sz w:val="16"/>
              </w:rPr>
              <w:t>DB_NAME</w:t>
            </w:r>
          </w:p>
        </w:tc>
        <w:tc>
          <w:tcPr>
            <w:tcW w:type="dxa" w:w="2376"/>
            <w:shd w:fill="F7F9FC"/>
            <w:vAlign w:val="top"/>
          </w:tcPr>
          <w:p>
            <w:pPr>
              <w:spacing w:after="0"/>
            </w:pPr>
            <w:r>
              <w:rPr>
                <w:color w:val="1F2937"/>
                <w:sz w:val="16"/>
              </w:rPr>
              <w:t>DeployGuard managed service</w:t>
            </w:r>
          </w:p>
        </w:tc>
        <w:tc>
          <w:tcPr>
            <w:tcW w:type="dxa" w:w="2088"/>
            <w:shd w:fill="F7F9FC"/>
            <w:vAlign w:val="top"/>
          </w:tcPr>
          <w:p>
            <w:pPr>
              <w:spacing w:after="0"/>
            </w:pPr>
            <w:r>
              <w:rPr>
                <w:color w:val="1F2937"/>
                <w:sz w:val="16"/>
              </w:rPr>
              <w:t>ECS environment</w:t>
            </w:r>
          </w:p>
        </w:tc>
        <w:tc>
          <w:tcPr>
            <w:tcW w:type="dxa" w:w="3528"/>
            <w:shd w:fill="F7F9FC"/>
            <w:vAlign w:val="top"/>
          </w:tcPr>
          <w:p>
            <w:pPr>
              <w:spacing w:after="0"/>
            </w:pPr>
            <w:r>
              <w:rPr>
                <w:color w:val="1F2937"/>
                <w:sz w:val="16"/>
              </w:rPr>
              <w:t>None.</w:t>
            </w:r>
          </w:p>
        </w:tc>
      </w:tr>
      <w:tr>
        <w:trPr>
          <w:cantSplit/>
        </w:trPr>
        <w:tc>
          <w:tcPr>
            <w:tcW w:type="dxa" w:w="1656"/>
            <w:vAlign w:val="top"/>
          </w:tcPr>
          <w:p>
            <w:pPr>
              <w:spacing w:after="0"/>
            </w:pPr>
            <w:r>
              <w:rPr>
                <w:color w:val="1F2937"/>
                <w:sz w:val="16"/>
              </w:rPr>
              <w:t>DB_USER</w:t>
            </w:r>
          </w:p>
        </w:tc>
        <w:tc>
          <w:tcPr>
            <w:tcW w:type="dxa" w:w="2376"/>
            <w:vAlign w:val="top"/>
          </w:tcPr>
          <w:p>
            <w:pPr>
              <w:spacing w:after="0"/>
            </w:pPr>
            <w:r>
              <w:rPr>
                <w:color w:val="1F2937"/>
                <w:sz w:val="16"/>
              </w:rPr>
              <w:t>DeployGuard policy</w:t>
            </w:r>
          </w:p>
        </w:tc>
        <w:tc>
          <w:tcPr>
            <w:tcW w:type="dxa" w:w="2088"/>
            <w:vAlign w:val="top"/>
          </w:tcPr>
          <w:p>
            <w:pPr>
              <w:spacing w:after="0"/>
            </w:pPr>
            <w:r>
              <w:rPr>
                <w:color w:val="1F2937"/>
                <w:sz w:val="16"/>
              </w:rPr>
              <w:t>Environment or secret</w:t>
            </w:r>
          </w:p>
        </w:tc>
        <w:tc>
          <w:tcPr>
            <w:tcW w:type="dxa" w:w="3528"/>
            <w:vAlign w:val="top"/>
          </w:tcPr>
          <w:p>
            <w:pPr>
              <w:spacing w:after="0"/>
            </w:pPr>
            <w:r>
              <w:rPr>
                <w:color w:val="1F2937"/>
                <w:sz w:val="16"/>
              </w:rPr>
              <w:t>None.</w:t>
            </w:r>
          </w:p>
        </w:tc>
      </w:tr>
      <w:tr>
        <w:trPr>
          <w:cantSplit/>
        </w:trPr>
        <w:tc>
          <w:tcPr>
            <w:tcW w:type="dxa" w:w="1656"/>
            <w:shd w:fill="F7F9FC"/>
            <w:vAlign w:val="top"/>
          </w:tcPr>
          <w:p>
            <w:pPr>
              <w:spacing w:after="0"/>
            </w:pPr>
            <w:r>
              <w:rPr>
                <w:color w:val="1F2937"/>
                <w:sz w:val="16"/>
              </w:rPr>
              <w:t>DB_PASSWORD</w:t>
            </w:r>
          </w:p>
        </w:tc>
        <w:tc>
          <w:tcPr>
            <w:tcW w:type="dxa" w:w="2376"/>
            <w:shd w:fill="F7F9FC"/>
            <w:vAlign w:val="top"/>
          </w:tcPr>
          <w:p>
            <w:pPr>
              <w:spacing w:after="0"/>
            </w:pPr>
            <w:r>
              <w:rPr>
                <w:color w:val="1F2937"/>
                <w:sz w:val="16"/>
              </w:rPr>
              <w:t>DeployGuard managed service</w:t>
            </w:r>
          </w:p>
        </w:tc>
        <w:tc>
          <w:tcPr>
            <w:tcW w:type="dxa" w:w="2088"/>
            <w:shd w:fill="F7F9FC"/>
            <w:vAlign w:val="top"/>
          </w:tcPr>
          <w:p>
            <w:pPr>
              <w:spacing w:after="0"/>
            </w:pPr>
            <w:r>
              <w:rPr>
                <w:color w:val="1F2937"/>
                <w:sz w:val="16"/>
              </w:rPr>
              <w:t>ECS secret</w:t>
            </w:r>
          </w:p>
        </w:tc>
        <w:tc>
          <w:tcPr>
            <w:tcW w:type="dxa" w:w="3528"/>
            <w:shd w:fill="F7F9FC"/>
            <w:vAlign w:val="top"/>
          </w:tcPr>
          <w:p>
            <w:pPr>
              <w:spacing w:after="0"/>
            </w:pPr>
            <w:r>
              <w:rPr>
                <w:color w:val="1F2937"/>
                <w:sz w:val="16"/>
              </w:rPr>
              <w:t>None; never plaintext environment.</w:t>
            </w:r>
          </w:p>
        </w:tc>
      </w:tr>
      <w:tr>
        <w:trPr>
          <w:cantSplit/>
        </w:trPr>
        <w:tc>
          <w:tcPr>
            <w:tcW w:type="dxa" w:w="1656"/>
            <w:vAlign w:val="top"/>
          </w:tcPr>
          <w:p>
            <w:pPr>
              <w:spacing w:after="0"/>
            </w:pPr>
            <w:r>
              <w:rPr>
                <w:color w:val="1F2937"/>
                <w:sz w:val="16"/>
              </w:rPr>
              <w:t>DATABASE_URL</w:t>
            </w:r>
          </w:p>
        </w:tc>
        <w:tc>
          <w:tcPr>
            <w:tcW w:type="dxa" w:w="2376"/>
            <w:vAlign w:val="top"/>
          </w:tcPr>
          <w:p>
            <w:pPr>
              <w:spacing w:after="0"/>
            </w:pPr>
            <w:r>
              <w:rPr>
                <w:color w:val="1F2937"/>
                <w:sz w:val="16"/>
              </w:rPr>
              <w:t>Evidence-based only</w:t>
            </w:r>
          </w:p>
        </w:tc>
        <w:tc>
          <w:tcPr>
            <w:tcW w:type="dxa" w:w="2088"/>
            <w:vAlign w:val="top"/>
          </w:tcPr>
          <w:p>
            <w:pPr>
              <w:spacing w:after="0"/>
            </w:pPr>
            <w:r>
              <w:rPr>
                <w:color w:val="1F2937"/>
                <w:sz w:val="16"/>
              </w:rPr>
              <w:t>Secret when credential-bearing</w:t>
            </w:r>
          </w:p>
        </w:tc>
        <w:tc>
          <w:tcPr>
            <w:tcW w:type="dxa" w:w="3528"/>
            <w:vAlign w:val="top"/>
          </w:tcPr>
          <w:p>
            <w:pPr>
              <w:spacing w:after="0"/>
            </w:pPr>
            <w:r>
              <w:rPr>
                <w:color w:val="1F2937"/>
                <w:sz w:val="16"/>
              </w:rPr>
              <w:t>Omitted unless source code explicitly uses it.</w:t>
            </w:r>
          </w:p>
        </w:tc>
      </w:tr>
    </w:tbl>
    <w:p>
      <w:pPr>
        <w:spacing w:after="0"/>
      </w:pPr>
    </w:p>
    <w:p>
      <w:pPr>
        <w:pStyle w:val="Heading2"/>
        <w:spacing w:before="160" w:after="60"/>
        <w:keepNext/>
      </w:pPr>
      <w:r>
        <w:rPr>
          <w:color w:val="1D4ED8"/>
        </w:rPr>
        <w:t>8.2 Contract invariants</w:t>
      </w:r>
    </w:p>
    <w:p>
      <w:pPr>
        <w:pStyle w:val="ListBullet"/>
        <w:spacing w:after="40"/>
      </w:pPr>
      <w:r>
        <w:t>One key cannot appear in both ECS environment and ECS secrets.</w:t>
      </w:r>
    </w:p>
    <w:p>
      <w:pPr>
        <w:pStyle w:val="ListBullet"/>
        <w:spacing w:after="40"/>
      </w:pPr>
      <w:r>
        <w:t>Historical stored variables do not count as repository evidence.</w:t>
      </w:r>
    </w:p>
    <w:p>
      <w:pPr>
        <w:pStyle w:val="ListBullet"/>
        <w:spacing w:after="40"/>
      </w:pPr>
      <w:r>
        <w:t>Managed hosts cannot resolve to localhost or 127.0.0.1.</w:t>
      </w:r>
    </w:p>
    <w:p>
      <w:pPr>
        <w:pStyle w:val="ListBullet"/>
        <w:spacing w:after="40"/>
      </w:pPr>
      <w:r>
        <w:t>The exact validated contract generates both Terraform inputs and the task-definition draft.</w:t>
      </w:r>
    </w:p>
    <w:p>
      <w:pPr>
        <w:pStyle w:val="ListBullet"/>
        <w:spacing w:after="40"/>
      </w:pPr>
      <w:r>
        <w:t>Timestamps, health observations, UI status and event ordering are excluded from semantic fingerprints.</w:t>
      </w:r>
    </w:p>
    <w:p>
      <w:pPr>
        <w:pStyle w:val="Heading1"/>
        <w:spacing w:before="240" w:after="100"/>
        <w:keepNext/>
      </w:pPr>
      <w:r>
        <w:rPr>
          <w:color w:val="123B66"/>
        </w:rPr>
        <w:t>9. Error Ownership and Automatic Recovery</w:t>
      </w:r>
    </w:p>
    <w:p>
      <w:pPr>
        <w:pStyle w:val="Heading2"/>
        <w:spacing w:before="160" w:after="60"/>
        <w:keepNext/>
      </w:pPr>
      <w:r>
        <w:rPr>
          <w:color w:val="1D4ED8"/>
        </w:rPr>
        <w:t>9.1 Error classes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cantSplit/>
        </w:trPr>
        <w:tc>
          <w:tcPr>
            <w:tcW w:type="dxa" w:w="1512"/>
            <w:shd w:fill="123B66"/>
            <w:vAlign w:val="center"/>
          </w:tcPr>
          <w:p>
            <w:pPr>
              <w:jc w:val="center"/>
            </w:pPr>
            <w:r>
              <w:rPr>
                <w:b/>
                <w:color w:val="FFFFFF"/>
                <w:sz w:val="16"/>
              </w:rPr>
              <w:t>Owner</w:t>
            </w:r>
          </w:p>
        </w:tc>
        <w:tc>
          <w:tcPr>
            <w:tcW w:type="dxa" w:w="2520"/>
            <w:shd w:fill="123B66"/>
            <w:vAlign w:val="center"/>
          </w:tcPr>
          <w:p>
            <w:pPr>
              <w:jc w:val="center"/>
            </w:pPr>
            <w:r>
              <w:rPr>
                <w:b/>
                <w:color w:val="FFFFFF"/>
                <w:sz w:val="16"/>
              </w:rPr>
              <w:t>Examples</w:t>
            </w:r>
          </w:p>
        </w:tc>
        <w:tc>
          <w:tcPr>
            <w:tcW w:type="dxa" w:w="3240"/>
            <w:shd w:fill="123B66"/>
            <w:vAlign w:val="center"/>
          </w:tcPr>
          <w:p>
            <w:pPr>
              <w:jc w:val="center"/>
            </w:pPr>
            <w:r>
              <w:rPr>
                <w:b/>
                <w:color w:val="FFFFFF"/>
                <w:sz w:val="16"/>
              </w:rPr>
              <w:t>Developer message</w:t>
            </w:r>
          </w:p>
        </w:tc>
        <w:tc>
          <w:tcPr>
            <w:tcW w:type="dxa" w:w="3240"/>
            <w:shd w:fill="123B66"/>
            <w:vAlign w:val="center"/>
          </w:tcPr>
          <w:p>
            <w:pPr>
              <w:jc w:val="center"/>
            </w:pPr>
            <w:r>
              <w:rPr>
                <w:b/>
                <w:color w:val="FFFFFF"/>
                <w:sz w:val="16"/>
              </w:rPr>
              <w:t>Platform behavior</w:t>
            </w:r>
          </w:p>
        </w:tc>
      </w:tr>
      <w:tr>
        <w:trPr>
          <w:cantSplit/>
        </w:trPr>
        <w:tc>
          <w:tcPr>
            <w:tcW w:type="dxa" w:w="1512"/>
            <w:vAlign w:val="top"/>
          </w:tcPr>
          <w:p>
            <w:pPr>
              <w:spacing w:after="0"/>
            </w:pPr>
            <w:r>
              <w:rPr>
                <w:color w:val="1F2937"/>
                <w:sz w:val="16"/>
              </w:rPr>
              <w:t>Developer</w:t>
            </w:r>
          </w:p>
        </w:tc>
        <w:tc>
          <w:tcPr>
            <w:tcW w:type="dxa" w:w="2520"/>
            <w:vAlign w:val="top"/>
          </w:tcPr>
          <w:p>
            <w:pPr>
              <w:spacing w:after="0"/>
            </w:pPr>
            <w:r>
              <w:rPr>
                <w:color w:val="1F2937"/>
                <w:sz w:val="16"/>
              </w:rPr>
              <w:t>Missing variable, build failure, wrong port, application health failure.</w:t>
            </w:r>
          </w:p>
        </w:tc>
        <w:tc>
          <w:tcPr>
            <w:tcW w:type="dxa" w:w="3240"/>
            <w:vAlign w:val="top"/>
          </w:tcPr>
          <w:p>
            <w:pPr>
              <w:spacing w:after="0"/>
            </w:pPr>
            <w:r>
              <w:rPr>
                <w:color w:val="1F2937"/>
                <w:sz w:val="16"/>
              </w:rPr>
              <w:t>Clear application-level correction.</w:t>
            </w:r>
          </w:p>
        </w:tc>
        <w:tc>
          <w:tcPr>
            <w:tcW w:type="dxa" w:w="3240"/>
            <w:vAlign w:val="top"/>
          </w:tcPr>
          <w:p>
            <w:pPr>
              <w:spacing w:after="0"/>
            </w:pPr>
            <w:r>
              <w:rPr>
                <w:color w:val="1F2937"/>
                <w:sz w:val="16"/>
              </w:rPr>
              <w:t>Preserve valid infrastructure and rerun the smallest affected phase.</w:t>
            </w:r>
          </w:p>
        </w:tc>
      </w:tr>
      <w:tr>
        <w:trPr>
          <w:cantSplit/>
        </w:trPr>
        <w:tc>
          <w:tcPr>
            <w:tcW w:type="dxa" w:w="1512"/>
            <w:shd w:fill="F7F9FC"/>
            <w:vAlign w:val="top"/>
          </w:tcPr>
          <w:p>
            <w:pPr>
              <w:spacing w:after="0"/>
            </w:pPr>
            <w:r>
              <w:rPr>
                <w:color w:val="1F2937"/>
                <w:sz w:val="16"/>
              </w:rPr>
              <w:t>DeployGuard</w:t>
            </w:r>
          </w:p>
        </w:tc>
        <w:tc>
          <w:tcPr>
            <w:tcW w:type="dxa" w:w="2520"/>
            <w:shd w:fill="F7F9FC"/>
            <w:vAlign w:val="top"/>
          </w:tcPr>
          <w:p>
            <w:pPr>
              <w:spacing w:after="0"/>
            </w:pPr>
            <w:r>
              <w:rPr>
                <w:color w:val="1F2937"/>
                <w:sz w:val="16"/>
              </w:rPr>
              <w:t>Contract drift, stale worker, state conflict, duplicate apply, inventory command bug.</w:t>
            </w:r>
          </w:p>
        </w:tc>
        <w:tc>
          <w:tcPr>
            <w:tcW w:type="dxa" w:w="3240"/>
            <w:shd w:fill="F7F9FC"/>
            <w:vAlign w:val="top"/>
          </w:tcPr>
          <w:p>
            <w:pPr>
              <w:spacing w:after="0"/>
            </w:pPr>
            <w:r>
              <w:rPr>
                <w:color w:val="1F2937"/>
                <w:sz w:val="16"/>
              </w:rPr>
              <w:t>DeployGuard encountered an internal issue. No cloud action is required from you.</w:t>
            </w:r>
          </w:p>
        </w:tc>
        <w:tc>
          <w:tcPr>
            <w:tcW w:type="dxa" w:w="3240"/>
            <w:shd w:fill="F7F9FC"/>
            <w:vAlign w:val="top"/>
          </w:tcPr>
          <w:p>
            <w:pPr>
              <w:spacing w:after="0"/>
            </w:pPr>
            <w:r>
              <w:rPr>
                <w:color w:val="1F2937"/>
                <w:sz w:val="16"/>
              </w:rPr>
              <w:t>Retry/reconcile internally and alert administrators.</w:t>
            </w:r>
          </w:p>
        </w:tc>
      </w:tr>
      <w:tr>
        <w:trPr>
          <w:cantSplit/>
        </w:trPr>
        <w:tc>
          <w:tcPr>
            <w:tcW w:type="dxa" w:w="1512"/>
            <w:vAlign w:val="top"/>
          </w:tcPr>
          <w:p>
            <w:pPr>
              <w:spacing w:after="0"/>
            </w:pPr>
            <w:r>
              <w:rPr>
                <w:color w:val="1F2937"/>
                <w:sz w:val="16"/>
              </w:rPr>
              <w:t>Cloud provider</w:t>
            </w:r>
          </w:p>
        </w:tc>
        <w:tc>
          <w:tcPr>
            <w:tcW w:type="dxa" w:w="2520"/>
            <w:vAlign w:val="top"/>
          </w:tcPr>
          <w:p>
            <w:pPr>
              <w:spacing w:after="0"/>
            </w:pPr>
            <w:r>
              <w:rPr>
                <w:color w:val="1F2937"/>
                <w:sz w:val="16"/>
              </w:rPr>
              <w:t>Quota, throttling, service outage.</w:t>
            </w:r>
          </w:p>
        </w:tc>
        <w:tc>
          <w:tcPr>
            <w:tcW w:type="dxa" w:w="3240"/>
            <w:vAlign w:val="top"/>
          </w:tcPr>
          <w:p>
            <w:pPr>
              <w:spacing w:after="0"/>
            </w:pPr>
            <w:r>
              <w:rPr>
                <w:color w:val="1F2937"/>
                <w:sz w:val="16"/>
              </w:rPr>
              <w:t>The cloud provider is temporarily blocking deployment.</w:t>
            </w:r>
          </w:p>
        </w:tc>
        <w:tc>
          <w:tcPr>
            <w:tcW w:type="dxa" w:w="3240"/>
            <w:vAlign w:val="top"/>
          </w:tcPr>
          <w:p>
            <w:pPr>
              <w:spacing w:after="0"/>
            </w:pPr>
            <w:r>
              <w:rPr>
                <w:color w:val="1F2937"/>
                <w:sz w:val="16"/>
              </w:rPr>
              <w:t>Backoff, retry and preserve state.</w:t>
            </w:r>
          </w:p>
        </w:tc>
      </w:tr>
      <w:tr>
        <w:trPr>
          <w:cantSplit/>
        </w:trPr>
        <w:tc>
          <w:tcPr>
            <w:tcW w:type="dxa" w:w="1512"/>
            <w:shd w:fill="F7F9FC"/>
            <w:vAlign w:val="top"/>
          </w:tcPr>
          <w:p>
            <w:pPr>
              <w:spacing w:after="0"/>
            </w:pPr>
            <w:r>
              <w:rPr>
                <w:color w:val="1F2937"/>
                <w:sz w:val="16"/>
              </w:rPr>
              <w:t>Unknown</w:t>
            </w:r>
          </w:p>
        </w:tc>
        <w:tc>
          <w:tcPr>
            <w:tcW w:type="dxa" w:w="2520"/>
            <w:shd w:fill="F7F9FC"/>
            <w:vAlign w:val="top"/>
          </w:tcPr>
          <w:p>
            <w:pPr>
              <w:spacing w:after="0"/>
            </w:pPr>
            <w:r>
              <w:rPr>
                <w:color w:val="1F2937"/>
                <w:sz w:val="16"/>
              </w:rPr>
              <w:t>Evidence disagrees or freshness is insufficient.</w:t>
            </w:r>
          </w:p>
        </w:tc>
        <w:tc>
          <w:tcPr>
            <w:tcW w:type="dxa" w:w="3240"/>
            <w:shd w:fill="F7F9FC"/>
            <w:vAlign w:val="top"/>
          </w:tcPr>
          <w:p>
            <w:pPr>
              <w:spacing w:after="0"/>
            </w:pPr>
            <w:r>
              <w:rPr>
                <w:color w:val="1F2937"/>
                <w:sz w:val="16"/>
              </w:rPr>
              <w:t>DeployGuard is verifying deployment state.</w:t>
            </w:r>
          </w:p>
        </w:tc>
        <w:tc>
          <w:tcPr>
            <w:tcW w:type="dxa" w:w="3240"/>
            <w:shd w:fill="F7F9FC"/>
            <w:vAlign w:val="top"/>
          </w:tcPr>
          <w:p>
            <w:pPr>
              <w:spacing w:after="0"/>
            </w:pPr>
            <w:r>
              <w:rPr>
                <w:color w:val="1F2937"/>
                <w:sz w:val="16"/>
              </w:rPr>
              <w:t>Mark Unverified; run reconciliation before presenting a confident status.</w:t>
            </w:r>
          </w:p>
        </w:tc>
      </w:tr>
    </w:tbl>
    <w:p>
      <w:pPr>
        <w:spacing w:after="0"/>
      </w:pPr>
    </w:p>
    <w:p>
      <w:pPr>
        <w:pStyle w:val="Heading2"/>
        <w:spacing w:before="160" w:after="60"/>
        <w:keepNext/>
      </w:pPr>
      <w:r>
        <w:rPr>
          <w:color w:val="1D4ED8"/>
        </w:rPr>
        <w:t>9.2 Recovery policy</w:t>
      </w:r>
    </w:p>
    <w:p>
      <w:pPr>
        <w:pStyle w:val="ListBullet"/>
        <w:spacing w:after="40"/>
      </w:pPr>
      <w:r>
        <w:t>Pre-deployment platform failure: no cleanup; repair internally and preserve reusable build artifacts.</w:t>
      </w:r>
    </w:p>
    <w:p>
      <w:pPr>
        <w:pStyle w:val="ListBullet"/>
        <w:spacing w:after="40"/>
      </w:pPr>
      <w:r>
        <w:t>Configuration changed before apply: supersede old plan and generate a fresh plan automatically for the active candidate.</w:t>
      </w:r>
    </w:p>
    <w:p>
      <w:pPr>
        <w:pStyle w:val="ListBullet"/>
        <w:spacing w:after="40"/>
      </w:pPr>
      <w:r>
        <w:t>Partial infrastructure apply: reconcile state and observed AWS resources; never perform an automatic blanket destroy.</w:t>
      </w:r>
    </w:p>
    <w:p>
      <w:pPr>
        <w:pStyle w:val="ListBullet"/>
        <w:spacing w:after="40"/>
      </w:pPr>
      <w:r>
        <w:t>Managed database readiness failure: preserve infrastructure and retry readiness/service registration.</w:t>
      </w:r>
    </w:p>
    <w:p>
      <w:pPr>
        <w:pStyle w:val="ListBullet"/>
        <w:spacing w:after="40"/>
      </w:pPr>
      <w:r>
        <w:t>Application health failure: preserve infrastructure and image; expose application logs and actionable health information.</w:t>
      </w:r>
    </w:p>
    <w:p>
      <w:pPr>
        <w:pStyle w:val="ListBullet"/>
        <w:spacing w:after="40"/>
      </w:pPr>
      <w:r>
        <w:t>No terminal platform failure may leave an approval-required developer action.</w:t>
      </w:r>
    </w:p>
    <w:p>
      <w:pPr>
        <w:pStyle w:val="Heading1"/>
        <w:spacing w:before="240" w:after="100"/>
        <w:keepNext/>
      </w:pPr>
      <w:r>
        <w:rPr>
          <w:color w:val="123B66"/>
        </w:rPr>
        <w:t>10. One-Click Deletion</w:t>
      </w:r>
    </w:p>
    <w:p>
      <w:pPr>
        <w:jc w:val="center"/>
      </w:pPr>
      <w:r>
        <w:drawing>
          <wp:inline xmlns:a="http://schemas.openxmlformats.org/drawingml/2006/main" xmlns:pic="http://schemas.openxmlformats.org/drawingml/2006/picture">
            <wp:extent cx="6126480" cy="538796"/>
            <wp:docPr id="3" name="Picture 3"/>
            <wp:cNvGraphicFramePr>
              <a:graphicFrameLocks noChangeAspect="1"/>
            </wp:cNvGraphicFramePr>
            <a:graphic>
              <a:graphicData uri="http://schemas.openxmlformats.org/drawingml/2006/picture">
                <pic:pic>
                  <pic:nvPicPr>
                    <pic:cNvPr id="0" name="deployguard_one_click_deletion.png"/>
                    <pic:cNvPicPr/>
                  </pic:nvPicPr>
                  <pic:blipFill>
                    <a:blip r:embed="rId13"/>
                    <a:stretch>
                      <a:fillRect/>
                    </a:stretch>
                  </pic:blipFill>
                  <pic:spPr>
                    <a:xfrm>
                      <a:off x="0" y="0"/>
                      <a:ext cx="6126480" cy="538796"/>
                    </a:xfrm>
                    <a:prstGeom prst="rect"/>
                  </pic:spPr>
                </pic:pic>
              </a:graphicData>
            </a:graphic>
          </wp:inline>
        </w:drawing>
      </w:r>
    </w:p>
    <w:p>
      <w:pPr>
        <w:pStyle w:val="FigureCaption"/>
        <w:jc w:val="center"/>
      </w:pPr>
      <w:r>
        <w:t>Figure 3. Deletion is one developer action backed by a durable, idempotent orchestration job.</w:t>
      </w:r>
    </w:p>
    <w:p>
      <w:pPr>
        <w:pStyle w:val="Heading2"/>
        <w:spacing w:before="160" w:after="60"/>
        <w:keepNext/>
      </w:pPr>
      <w:r>
        <w:rPr>
          <w:color w:val="1D4ED8"/>
        </w:rPr>
        <w:t>10.1 Developer UX</w:t>
      </w:r>
    </w:p>
    <w:p>
      <w:pPr>
        <w:spacing w:after="100" w:line="259" w:lineRule="auto"/>
      </w:pPr>
      <w:r>
        <w:t>The developer clicks Delete Project, confirms once, and immediately sees a persistent deletion progress page. The button disables instantly, a deletion job ID is returned, and page refresh resumes the same operation. Temporary toast messages are not sufficient.</w:t>
      </w:r>
    </w:p>
    <w:p>
      <w:pPr>
        <w:pStyle w:val="Heading2"/>
        <w:spacing w:before="160" w:after="60"/>
        <w:keepNext/>
      </w:pPr>
      <w:r>
        <w:rPr>
          <w:color w:val="1D4ED8"/>
        </w:rPr>
        <w:t>10.2 Backend deletion sequence</w:t>
      </w:r>
    </w:p>
    <w:p>
      <w:pPr>
        <w:spacing w:after="60"/>
        <w:ind w:left="259" w:hanging="259"/>
      </w:pPr>
      <w:r>
        <w:rPr>
          <w:b/>
        </w:rPr>
        <w:t xml:space="preserve">1. </w:t>
      </w:r>
      <w:r>
        <w:t>Acquire the project deletion lock and block new deployments.</w:t>
      </w:r>
    </w:p>
    <w:p>
      <w:pPr>
        <w:spacing w:after="60"/>
        <w:ind w:left="259" w:hanging="259"/>
      </w:pPr>
      <w:r>
        <w:rPr>
          <w:b/>
        </w:rPr>
        <w:t xml:space="preserve">2. </w:t>
      </w:r>
      <w:r>
        <w:t>Cancel queued runs and reconcile any active plan or apply.</w:t>
      </w:r>
    </w:p>
    <w:p>
      <w:pPr>
        <w:spacing w:after="60"/>
        <w:ind w:left="259" w:hanging="259"/>
      </w:pPr>
      <w:r>
        <w:rPr>
          <w:b/>
        </w:rPr>
        <w:t xml:space="preserve">3. </w:t>
      </w:r>
      <w:r>
        <w:t>Preserve the state metadata required for audit and safe execution.</w:t>
      </w:r>
    </w:p>
    <w:p>
      <w:pPr>
        <w:spacing w:after="60"/>
        <w:ind w:left="259" w:hanging="259"/>
      </w:pPr>
      <w:r>
        <w:rPr>
          <w:b/>
        </w:rPr>
        <w:t xml:space="preserve">4. </w:t>
      </w:r>
      <w:r>
        <w:t>Generate and validate the project-scoped destroy operation internally.</w:t>
      </w:r>
    </w:p>
    <w:p>
      <w:pPr>
        <w:spacing w:after="60"/>
        <w:ind w:left="259" w:hanging="259"/>
      </w:pPr>
      <w:r>
        <w:rPr>
          <w:b/>
        </w:rPr>
        <w:t xml:space="preserve">5. </w:t>
      </w:r>
      <w:r>
        <w:t>Remove application, managed database and project infrastructure in dependency order.</w:t>
      </w:r>
    </w:p>
    <w:p>
      <w:pPr>
        <w:spacing w:after="60"/>
        <w:ind w:left="259" w:hanging="259"/>
      </w:pPr>
      <w:r>
        <w:rPr>
          <w:b/>
        </w:rPr>
        <w:t xml:space="preserve">6. </w:t>
      </w:r>
      <w:r>
        <w:t>Verify Terraform state and observed AWS resources.</w:t>
      </w:r>
    </w:p>
    <w:p>
      <w:pPr>
        <w:spacing w:after="60"/>
        <w:ind w:left="259" w:hanging="259"/>
      </w:pPr>
      <w:r>
        <w:rPr>
          <w:b/>
        </w:rPr>
        <w:t xml:space="preserve">7. </w:t>
      </w:r>
      <w:r>
        <w:t>Classify any delayed/inactive cloud records without exposing cleanup mechanics to the developer.</w:t>
      </w:r>
    </w:p>
    <w:p>
      <w:pPr>
        <w:spacing w:after="60"/>
        <w:ind w:left="259" w:hanging="259"/>
      </w:pPr>
      <w:r>
        <w:rPr>
          <w:b/>
        </w:rPr>
        <w:t xml:space="preserve">8. </w:t>
      </w:r>
      <w:r>
        <w:t>Archive the project and mark deletion complete.</w:t>
      </w:r>
    </w:p>
    <w:p>
      <w:pPr>
        <w:pStyle w:val="Heading2"/>
        <w:spacing w:before="160" w:after="60"/>
        <w:keepNext/>
      </w:pPr>
      <w:r>
        <w:rPr>
          <w:color w:val="1D4ED8"/>
        </w:rPr>
        <w:t>10.3 Authentication behavior</w:t>
      </w:r>
    </w:p>
    <w:p>
      <w:pPr>
        <w:spacing w:after="100" w:line="259" w:lineRule="auto"/>
      </w:pPr>
      <w:r>
        <w:t>A recently authenticated session should normally be sufficient. When step-up authentication is required, it must return the user to the same deletion modal using a short-lived, single-use action token. It must never create a login loop or lose the deletion intent.</w:t>
      </w:r>
    </w:p>
    <w:p>
      <w:pPr>
        <w:pStyle w:val="Heading1"/>
        <w:spacing w:before="240" w:after="100"/>
        <w:keepNext/>
      </w:pPr>
      <w:r>
        <w:rPr>
          <w:color w:val="123B66"/>
        </w:rPr>
        <w:t>11. Observability and Canonical State</w:t>
      </w:r>
    </w:p>
    <w:p>
      <w:pPr>
        <w:pStyle w:val="Heading2"/>
        <w:spacing w:before="160" w:after="60"/>
        <w:keepNext/>
      </w:pPr>
      <w:r>
        <w:rPr>
          <w:color w:val="1D4ED8"/>
        </w:rPr>
        <w:t>11.1 Correlation model</w:t>
      </w:r>
    </w:p>
    <w:p>
      <w:pPr>
        <w:spacing w:after="100" w:line="259" w:lineRule="auto"/>
      </w:pPr>
      <w:r>
        <w:t>Every API request, queue job, worker execution, Terraform operation, AWS call and UI update should share the following identifiers:</w:t>
      </w:r>
    </w:p>
    <w:tbl>
      <w:tblPr>
        <w:tblW w:type="auto" w:w="0"/>
        <w:jc w:val="center"/>
        <w:tblLayout w:type="autofit"/>
        <w:tblLook w:firstColumn="1" w:firstRow="1" w:lastColumn="0" w:lastRow="0" w:noHBand="0" w:noVBand="1" w:val="04A0"/>
      </w:tblPr>
      <w:tblGrid>
        <w:gridCol w:w="9972"/>
      </w:tblGrid>
      <w:tr>
        <w:trPr>
          <w:cantSplit/>
        </w:trPr>
        <w:tc>
          <w:tcPr>
            <w:tcW w:type="dxa" w:w="9972"/>
            <w:shd w:fill="FAF5FF"/>
            <w:tcBorders>
              <w:top w:val="single" w:sz="8" w:color="123B66"/>
              <w:left w:val="single" w:sz="8" w:color="123B66"/>
              <w:bottom w:val="single" w:sz="8" w:color="123B66"/>
              <w:right w:val="single" w:sz="8" w:color="123B66"/>
            </w:tcBorders>
          </w:tcPr>
          <w:p>
            <w:pPr>
              <w:spacing w:after="0"/>
            </w:pPr>
            <w:r>
              <w:rPr>
                <w:b/>
                <w:color w:val="123B66"/>
              </w:rPr>
              <w:t>Correlation chain</w:t>
              <w:br/>
            </w:r>
            <w:r>
              <w:t>projectId + environment + deploymentId + stageId + attemptId + operationId + workerId</w:t>
            </w:r>
          </w:p>
        </w:tc>
      </w:tr>
    </w:tbl>
    <w:p>
      <w:pPr>
        <w:spacing w:after="0"/>
      </w:pPr>
    </w:p>
    <w:p>
      <w:pPr>
        <w:pStyle w:val="Heading2"/>
        <w:spacing w:before="160" w:after="60"/>
        <w:keepNext/>
      </w:pPr>
      <w:r>
        <w:rPr>
          <w:color w:val="1D4ED8"/>
        </w:rPr>
        <w:t>11.2 Event model</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304"/>
            <w:shd w:fill="123B66"/>
            <w:vAlign w:val="center"/>
          </w:tcPr>
          <w:p>
            <w:pPr>
              <w:jc w:val="center"/>
            </w:pPr>
            <w:r>
              <w:rPr>
                <w:b/>
                <w:color w:val="FFFFFF"/>
                <w:sz w:val="17"/>
              </w:rPr>
              <w:t>Field</w:t>
            </w:r>
          </w:p>
        </w:tc>
        <w:tc>
          <w:tcPr>
            <w:tcW w:type="dxa" w:w="7344"/>
            <w:shd w:fill="123B66"/>
            <w:vAlign w:val="center"/>
          </w:tcPr>
          <w:p>
            <w:pPr>
              <w:jc w:val="center"/>
            </w:pPr>
            <w:r>
              <w:rPr>
                <w:b/>
                <w:color w:val="FFFFFF"/>
                <w:sz w:val="17"/>
              </w:rPr>
              <w:t>Purpose</w:t>
            </w:r>
          </w:p>
        </w:tc>
      </w:tr>
      <w:tr>
        <w:trPr>
          <w:cantSplit/>
        </w:trPr>
        <w:tc>
          <w:tcPr>
            <w:tcW w:type="dxa" w:w="2304"/>
            <w:vAlign w:val="top"/>
          </w:tcPr>
          <w:p>
            <w:pPr>
              <w:spacing w:after="0"/>
            </w:pPr>
            <w:r>
              <w:rPr>
                <w:color w:val="1F2937"/>
                <w:sz w:val="17"/>
              </w:rPr>
              <w:t>eventId</w:t>
            </w:r>
          </w:p>
        </w:tc>
        <w:tc>
          <w:tcPr>
            <w:tcW w:type="dxa" w:w="7344"/>
            <w:vAlign w:val="top"/>
          </w:tcPr>
          <w:p>
            <w:pPr>
              <w:spacing w:after="0"/>
            </w:pPr>
            <w:r>
              <w:rPr>
                <w:color w:val="1F2937"/>
                <w:sz w:val="17"/>
              </w:rPr>
              <w:t>Globally unique event identity.</w:t>
            </w:r>
          </w:p>
        </w:tc>
      </w:tr>
      <w:tr>
        <w:trPr>
          <w:cantSplit/>
        </w:trPr>
        <w:tc>
          <w:tcPr>
            <w:tcW w:type="dxa" w:w="2304"/>
            <w:shd w:fill="F7F9FC"/>
            <w:vAlign w:val="top"/>
          </w:tcPr>
          <w:p>
            <w:pPr>
              <w:spacing w:after="0"/>
            </w:pPr>
            <w:r>
              <w:rPr>
                <w:color w:val="1F2937"/>
                <w:sz w:val="17"/>
              </w:rPr>
              <w:t>sequenceNumber</w:t>
            </w:r>
          </w:p>
        </w:tc>
        <w:tc>
          <w:tcPr>
            <w:tcW w:type="dxa" w:w="7344"/>
            <w:shd w:fill="F7F9FC"/>
            <w:vAlign w:val="top"/>
          </w:tcPr>
          <w:p>
            <w:pPr>
              <w:spacing w:after="0"/>
            </w:pPr>
            <w:r>
              <w:rPr>
                <w:color w:val="1F2937"/>
                <w:sz w:val="17"/>
              </w:rPr>
              <w:t>Authoritative ordering inside one deployment attempt.</w:t>
            </w:r>
          </w:p>
        </w:tc>
      </w:tr>
      <w:tr>
        <w:trPr>
          <w:cantSplit/>
        </w:trPr>
        <w:tc>
          <w:tcPr>
            <w:tcW w:type="dxa" w:w="2304"/>
            <w:vAlign w:val="top"/>
          </w:tcPr>
          <w:p>
            <w:pPr>
              <w:spacing w:after="0"/>
            </w:pPr>
            <w:r>
              <w:rPr>
                <w:color w:val="1F2937"/>
                <w:sz w:val="17"/>
              </w:rPr>
              <w:t>occurredAtUtc</w:t>
            </w:r>
          </w:p>
        </w:tc>
        <w:tc>
          <w:tcPr>
            <w:tcW w:type="dxa" w:w="7344"/>
            <w:vAlign w:val="top"/>
          </w:tcPr>
          <w:p>
            <w:pPr>
              <w:spacing w:after="0"/>
            </w:pPr>
            <w:r>
              <w:rPr>
                <w:color w:val="1F2937"/>
                <w:sz w:val="17"/>
              </w:rPr>
              <w:t>Source event time normalized to UTC.</w:t>
            </w:r>
          </w:p>
        </w:tc>
      </w:tr>
      <w:tr>
        <w:trPr>
          <w:cantSplit/>
        </w:trPr>
        <w:tc>
          <w:tcPr>
            <w:tcW w:type="dxa" w:w="2304"/>
            <w:shd w:fill="F7F9FC"/>
            <w:vAlign w:val="top"/>
          </w:tcPr>
          <w:p>
            <w:pPr>
              <w:spacing w:after="0"/>
            </w:pPr>
            <w:r>
              <w:rPr>
                <w:color w:val="1F2937"/>
                <w:sz w:val="17"/>
              </w:rPr>
              <w:t>receivedAtUtc</w:t>
            </w:r>
          </w:p>
        </w:tc>
        <w:tc>
          <w:tcPr>
            <w:tcW w:type="dxa" w:w="7344"/>
            <w:shd w:fill="F7F9FC"/>
            <w:vAlign w:val="top"/>
          </w:tcPr>
          <w:p>
            <w:pPr>
              <w:spacing w:after="0"/>
            </w:pPr>
            <w:r>
              <w:rPr>
                <w:color w:val="1F2937"/>
                <w:sz w:val="17"/>
              </w:rPr>
              <w:t>Database ingestion time.</w:t>
            </w:r>
          </w:p>
        </w:tc>
      </w:tr>
      <w:tr>
        <w:trPr>
          <w:cantSplit/>
        </w:trPr>
        <w:tc>
          <w:tcPr>
            <w:tcW w:type="dxa" w:w="2304"/>
            <w:vAlign w:val="top"/>
          </w:tcPr>
          <w:p>
            <w:pPr>
              <w:spacing w:after="0"/>
            </w:pPr>
            <w:r>
              <w:rPr>
                <w:color w:val="1F2937"/>
                <w:sz w:val="17"/>
              </w:rPr>
              <w:t>startedAt / finishedAt</w:t>
            </w:r>
          </w:p>
        </w:tc>
        <w:tc>
          <w:tcPr>
            <w:tcW w:type="dxa" w:w="7344"/>
            <w:vAlign w:val="top"/>
          </w:tcPr>
          <w:p>
            <w:pPr>
              <w:spacing w:after="0"/>
            </w:pPr>
            <w:r>
              <w:rPr>
                <w:color w:val="1F2937"/>
                <w:sz w:val="17"/>
              </w:rPr>
              <w:t>Canonical stage timing.</w:t>
            </w:r>
          </w:p>
        </w:tc>
      </w:tr>
      <w:tr>
        <w:trPr>
          <w:cantSplit/>
        </w:trPr>
        <w:tc>
          <w:tcPr>
            <w:tcW w:type="dxa" w:w="2304"/>
            <w:shd w:fill="F7F9FC"/>
            <w:vAlign w:val="top"/>
          </w:tcPr>
          <w:p>
            <w:pPr>
              <w:spacing w:after="0"/>
            </w:pPr>
            <w:r>
              <w:rPr>
                <w:color w:val="1F2937"/>
                <w:sz w:val="17"/>
              </w:rPr>
              <w:t>durationMs</w:t>
            </w:r>
          </w:p>
        </w:tc>
        <w:tc>
          <w:tcPr>
            <w:tcW w:type="dxa" w:w="7344"/>
            <w:shd w:fill="F7F9FC"/>
            <w:vAlign w:val="top"/>
          </w:tcPr>
          <w:p>
            <w:pPr>
              <w:spacing w:after="0"/>
            </w:pPr>
            <w:r>
              <w:rPr>
                <w:color w:val="1F2937"/>
                <w:sz w:val="17"/>
              </w:rPr>
              <w:t>Persisted once; not recalculated separately by every page.</w:t>
            </w:r>
          </w:p>
        </w:tc>
      </w:tr>
      <w:tr>
        <w:trPr>
          <w:cantSplit/>
        </w:trPr>
        <w:tc>
          <w:tcPr>
            <w:tcW w:type="dxa" w:w="2304"/>
            <w:vAlign w:val="top"/>
          </w:tcPr>
          <w:p>
            <w:pPr>
              <w:spacing w:after="0"/>
            </w:pPr>
            <w:r>
              <w:rPr>
                <w:color w:val="1F2937"/>
                <w:sz w:val="17"/>
              </w:rPr>
              <w:t>source</w:t>
            </w:r>
          </w:p>
        </w:tc>
        <w:tc>
          <w:tcPr>
            <w:tcW w:type="dxa" w:w="7344"/>
            <w:vAlign w:val="top"/>
          </w:tcPr>
          <w:p>
            <w:pPr>
              <w:spacing w:after="0"/>
            </w:pPr>
            <w:r>
              <w:rPr>
                <w:color w:val="1F2937"/>
                <w:sz w:val="17"/>
              </w:rPr>
              <w:t>API, worker, Terraform, AWS, reconciler or UI command.</w:t>
            </w:r>
          </w:p>
        </w:tc>
      </w:tr>
      <w:tr>
        <w:trPr>
          <w:cantSplit/>
        </w:trPr>
        <w:tc>
          <w:tcPr>
            <w:tcW w:type="dxa" w:w="2304"/>
            <w:shd w:fill="F7F9FC"/>
            <w:vAlign w:val="top"/>
          </w:tcPr>
          <w:p>
            <w:pPr>
              <w:spacing w:after="0"/>
            </w:pPr>
            <w:r>
              <w:rPr>
                <w:color w:val="1F2937"/>
                <w:sz w:val="17"/>
              </w:rPr>
              <w:t>correlationId</w:t>
            </w:r>
          </w:p>
        </w:tc>
        <w:tc>
          <w:tcPr>
            <w:tcW w:type="dxa" w:w="7344"/>
            <w:shd w:fill="F7F9FC"/>
            <w:vAlign w:val="top"/>
          </w:tcPr>
          <w:p>
            <w:pPr>
              <w:spacing w:after="0"/>
            </w:pPr>
            <w:r>
              <w:rPr>
                <w:color w:val="1F2937"/>
                <w:sz w:val="17"/>
              </w:rPr>
              <w:t>Cross-component trace link.</w:t>
            </w:r>
          </w:p>
        </w:tc>
      </w:tr>
    </w:tbl>
    <w:p>
      <w:pPr>
        <w:spacing w:after="0"/>
      </w:pPr>
    </w:p>
    <w:p>
      <w:pPr>
        <w:pStyle w:val="Heading2"/>
        <w:spacing w:before="160" w:after="60"/>
        <w:keepNext/>
      </w:pPr>
      <w:r>
        <w:rPr>
          <w:color w:val="1D4ED8"/>
        </w:rPr>
        <w:t>11.3 State-proof diagnostics</w:t>
      </w:r>
    </w:p>
    <w:p>
      <w:pPr>
        <w:spacing w:after="100" w:line="259" w:lineRule="auto"/>
      </w:pPr>
      <w:r>
        <w:t>An admin-only state-proof endpoint should report whether desired state, run snapshot, queue ownership, worker version, plan identity, Terraform state, observed AWS resources and UI projection are Synchronized, Stale, Contradictory or Unverified. This is the mechanism for distinguishing real failures from false positives.</w:t>
      </w:r>
    </w:p>
    <w:p>
      <w:pPr>
        <w:pStyle w:val="Heading1"/>
        <w:spacing w:before="240" w:after="100"/>
        <w:keepNext/>
      </w:pPr>
      <w:r>
        <w:rPr>
          <w:color w:val="123B66"/>
        </w:rPr>
        <w:t>12. Developer and Admin UI Information Architecture</w:t>
      </w:r>
    </w:p>
    <w:p>
      <w:pPr>
        <w:pStyle w:val="Heading2"/>
        <w:spacing w:before="160" w:after="60"/>
        <w:keepNext/>
      </w:pPr>
      <w:r>
        <w:rPr>
          <w:color w:val="1D4ED8"/>
        </w:rPr>
        <w:t>12.1 Developer navigation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160"/>
            <w:shd w:fill="123B66"/>
            <w:vAlign w:val="center"/>
          </w:tcPr>
          <w:p>
            <w:pPr>
              <w:jc w:val="center"/>
            </w:pPr>
            <w:r>
              <w:rPr>
                <w:b/>
                <w:color w:val="FFFFFF"/>
                <w:sz w:val="17"/>
              </w:rPr>
              <w:t>Navigation</w:t>
            </w:r>
          </w:p>
        </w:tc>
        <w:tc>
          <w:tcPr>
            <w:tcW w:type="dxa" w:w="7488"/>
            <w:shd w:fill="123B66"/>
            <w:vAlign w:val="center"/>
          </w:tcPr>
          <w:p>
            <w:pPr>
              <w:jc w:val="center"/>
            </w:pPr>
            <w:r>
              <w:rPr>
                <w:b/>
                <w:color w:val="FFFFFF"/>
                <w:sz w:val="17"/>
              </w:rPr>
              <w:t>Content</w:t>
            </w:r>
          </w:p>
        </w:tc>
      </w:tr>
      <w:tr>
        <w:trPr>
          <w:cantSplit/>
        </w:trPr>
        <w:tc>
          <w:tcPr>
            <w:tcW w:type="dxa" w:w="2160"/>
            <w:vAlign w:val="top"/>
          </w:tcPr>
          <w:p>
            <w:pPr>
              <w:spacing w:after="0"/>
            </w:pPr>
            <w:r>
              <w:rPr>
                <w:color w:val="1F2937"/>
                <w:sz w:val="17"/>
              </w:rPr>
              <w:t>Dashboard</w:t>
            </w:r>
          </w:p>
        </w:tc>
        <w:tc>
          <w:tcPr>
            <w:tcW w:type="dxa" w:w="7488"/>
            <w:vAlign w:val="top"/>
          </w:tcPr>
          <w:p>
            <w:pPr>
              <w:spacing w:after="0"/>
            </w:pPr>
            <w:r>
              <w:rPr>
                <w:color w:val="1F2937"/>
                <w:sz w:val="17"/>
              </w:rPr>
              <w:t>Project cards, live status and developer-owned attention items.</w:t>
            </w:r>
          </w:p>
        </w:tc>
      </w:tr>
      <w:tr>
        <w:trPr>
          <w:cantSplit/>
        </w:trPr>
        <w:tc>
          <w:tcPr>
            <w:tcW w:type="dxa" w:w="2160"/>
            <w:shd w:fill="F7F9FC"/>
            <w:vAlign w:val="top"/>
          </w:tcPr>
          <w:p>
            <w:pPr>
              <w:spacing w:after="0"/>
            </w:pPr>
            <w:r>
              <w:rPr>
                <w:color w:val="1F2937"/>
                <w:sz w:val="17"/>
              </w:rPr>
              <w:t>Projects</w:t>
            </w:r>
          </w:p>
        </w:tc>
        <w:tc>
          <w:tcPr>
            <w:tcW w:type="dxa" w:w="7488"/>
            <w:shd w:fill="F7F9FC"/>
            <w:vAlign w:val="top"/>
          </w:tcPr>
          <w:p>
            <w:pPr>
              <w:spacing w:after="0"/>
            </w:pPr>
            <w:r>
              <w:rPr>
                <w:color w:val="1F2937"/>
                <w:sz w:val="17"/>
              </w:rPr>
              <w:t>Repository, environment, live URL and latest deployment.</w:t>
            </w:r>
          </w:p>
        </w:tc>
      </w:tr>
      <w:tr>
        <w:trPr>
          <w:cantSplit/>
        </w:trPr>
        <w:tc>
          <w:tcPr>
            <w:tcW w:type="dxa" w:w="2160"/>
            <w:vAlign w:val="top"/>
          </w:tcPr>
          <w:p>
            <w:pPr>
              <w:spacing w:after="0"/>
            </w:pPr>
            <w:r>
              <w:rPr>
                <w:color w:val="1F2937"/>
                <w:sz w:val="17"/>
              </w:rPr>
              <w:t>Deployments</w:t>
            </w:r>
          </w:p>
        </w:tc>
        <w:tc>
          <w:tcPr>
            <w:tcW w:type="dxa" w:w="7488"/>
            <w:vAlign w:val="top"/>
          </w:tcPr>
          <w:p>
            <w:pPr>
              <w:spacing w:after="0"/>
            </w:pPr>
            <w:r>
              <w:rPr>
                <w:color w:val="1F2937"/>
                <w:sz w:val="17"/>
              </w:rPr>
              <w:t>High-level phase history and application logs.</w:t>
            </w:r>
          </w:p>
        </w:tc>
      </w:tr>
      <w:tr>
        <w:trPr>
          <w:cantSplit/>
        </w:trPr>
        <w:tc>
          <w:tcPr>
            <w:tcW w:type="dxa" w:w="2160"/>
            <w:shd w:fill="F7F9FC"/>
            <w:vAlign w:val="top"/>
          </w:tcPr>
          <w:p>
            <w:pPr>
              <w:spacing w:after="0"/>
            </w:pPr>
            <w:r>
              <w:rPr>
                <w:color w:val="1F2937"/>
                <w:sz w:val="17"/>
              </w:rPr>
              <w:t>Environment</w:t>
            </w:r>
          </w:p>
        </w:tc>
        <w:tc>
          <w:tcPr>
            <w:tcW w:type="dxa" w:w="7488"/>
            <w:shd w:fill="F7F9FC"/>
            <w:vAlign w:val="top"/>
          </w:tcPr>
          <w:p>
            <w:pPr>
              <w:spacing w:after="0"/>
            </w:pPr>
            <w:r>
              <w:rPr>
                <w:color w:val="1F2937"/>
                <w:sz w:val="17"/>
              </w:rPr>
              <w:t>Application-owned variables and managed bindings.</w:t>
            </w:r>
          </w:p>
        </w:tc>
      </w:tr>
      <w:tr>
        <w:trPr>
          <w:cantSplit/>
        </w:trPr>
        <w:tc>
          <w:tcPr>
            <w:tcW w:type="dxa" w:w="2160"/>
            <w:vAlign w:val="top"/>
          </w:tcPr>
          <w:p>
            <w:pPr>
              <w:spacing w:after="0"/>
            </w:pPr>
            <w:r>
              <w:rPr>
                <w:color w:val="1F2937"/>
                <w:sz w:val="17"/>
              </w:rPr>
              <w:t>Metrics</w:t>
            </w:r>
          </w:p>
        </w:tc>
        <w:tc>
          <w:tcPr>
            <w:tcW w:type="dxa" w:w="7488"/>
            <w:vAlign w:val="top"/>
          </w:tcPr>
          <w:p>
            <w:pPr>
              <w:spacing w:after="0"/>
            </w:pPr>
            <w:r>
              <w:rPr>
                <w:color w:val="1F2937"/>
                <w:sz w:val="17"/>
              </w:rPr>
              <w:t>Requests, latency, errors, CPU/memory and health.</w:t>
            </w:r>
          </w:p>
        </w:tc>
      </w:tr>
      <w:tr>
        <w:trPr>
          <w:cantSplit/>
        </w:trPr>
        <w:tc>
          <w:tcPr>
            <w:tcW w:type="dxa" w:w="2160"/>
            <w:shd w:fill="F7F9FC"/>
            <w:vAlign w:val="top"/>
          </w:tcPr>
          <w:p>
            <w:pPr>
              <w:spacing w:after="0"/>
            </w:pPr>
            <w:r>
              <w:rPr>
                <w:color w:val="1F2937"/>
                <w:sz w:val="17"/>
              </w:rPr>
              <w:t>Settings</w:t>
            </w:r>
          </w:p>
        </w:tc>
        <w:tc>
          <w:tcPr>
            <w:tcW w:type="dxa" w:w="7488"/>
            <w:shd w:fill="F7F9FC"/>
            <w:vAlign w:val="top"/>
          </w:tcPr>
          <w:p>
            <w:pPr>
              <w:spacing w:after="0"/>
            </w:pPr>
            <w:r>
              <w:rPr>
                <w:color w:val="1F2937"/>
                <w:sz w:val="17"/>
              </w:rPr>
              <w:t>Repository, branch, health path, redeploy and delete.</w:t>
            </w:r>
          </w:p>
        </w:tc>
      </w:tr>
    </w:tbl>
    <w:p>
      <w:pPr>
        <w:spacing w:after="0"/>
      </w:pPr>
    </w:p>
    <w:p>
      <w:pPr>
        <w:pStyle w:val="Heading2"/>
        <w:spacing w:before="160" w:after="60"/>
        <w:keepNext/>
      </w:pPr>
      <w:r>
        <w:rPr>
          <w:color w:val="1D4ED8"/>
        </w:rPr>
        <w:t>12.2 Admin-only navigation</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448"/>
            <w:shd w:fill="123B66"/>
            <w:vAlign w:val="center"/>
          </w:tcPr>
          <w:p>
            <w:pPr>
              <w:jc w:val="center"/>
            </w:pPr>
            <w:r>
              <w:rPr>
                <w:b/>
                <w:color w:val="FFFFFF"/>
                <w:sz w:val="17"/>
              </w:rPr>
              <w:t>Admin area</w:t>
            </w:r>
          </w:p>
        </w:tc>
        <w:tc>
          <w:tcPr>
            <w:tcW w:type="dxa" w:w="7200"/>
            <w:shd w:fill="123B66"/>
            <w:vAlign w:val="center"/>
          </w:tcPr>
          <w:p>
            <w:pPr>
              <w:jc w:val="center"/>
            </w:pPr>
            <w:r>
              <w:rPr>
                <w:b/>
                <w:color w:val="FFFFFF"/>
                <w:sz w:val="17"/>
              </w:rPr>
              <w:t>Content</w:t>
            </w:r>
          </w:p>
        </w:tc>
      </w:tr>
      <w:tr>
        <w:trPr>
          <w:cantSplit/>
        </w:trPr>
        <w:tc>
          <w:tcPr>
            <w:tcW w:type="dxa" w:w="2448"/>
            <w:vAlign w:val="top"/>
          </w:tcPr>
          <w:p>
            <w:pPr>
              <w:spacing w:after="0"/>
            </w:pPr>
            <w:r>
              <w:rPr>
                <w:color w:val="1F2937"/>
                <w:sz w:val="17"/>
              </w:rPr>
              <w:t>Deployment diagnostics</w:t>
            </w:r>
          </w:p>
        </w:tc>
        <w:tc>
          <w:tcPr>
            <w:tcW w:type="dxa" w:w="7200"/>
            <w:vAlign w:val="top"/>
          </w:tcPr>
          <w:p>
            <w:pPr>
              <w:spacing w:after="0"/>
            </w:pPr>
            <w:r>
              <w:rPr>
                <w:color w:val="1F2937"/>
                <w:sz w:val="17"/>
              </w:rPr>
              <w:t>Internal stages, contracts, fingerprints and recovery evidence.</w:t>
            </w:r>
          </w:p>
        </w:tc>
      </w:tr>
      <w:tr>
        <w:trPr>
          <w:cantSplit/>
        </w:trPr>
        <w:tc>
          <w:tcPr>
            <w:tcW w:type="dxa" w:w="2448"/>
            <w:shd w:fill="F7F9FC"/>
            <w:vAlign w:val="top"/>
          </w:tcPr>
          <w:p>
            <w:pPr>
              <w:spacing w:after="0"/>
            </w:pPr>
            <w:r>
              <w:rPr>
                <w:color w:val="1F2937"/>
                <w:sz w:val="17"/>
              </w:rPr>
              <w:t>Workers and queues</w:t>
            </w:r>
          </w:p>
        </w:tc>
        <w:tc>
          <w:tcPr>
            <w:tcW w:type="dxa" w:w="7200"/>
            <w:shd w:fill="F7F9FC"/>
            <w:vAlign w:val="top"/>
          </w:tcPr>
          <w:p>
            <w:pPr>
              <w:spacing w:after="0"/>
            </w:pPr>
            <w:r>
              <w:rPr>
                <w:color w:val="1F2937"/>
                <w:sz w:val="17"/>
              </w:rPr>
              <w:t>Worker version, heartbeat, job ownership, retries and dead letters.</w:t>
            </w:r>
          </w:p>
        </w:tc>
      </w:tr>
      <w:tr>
        <w:trPr>
          <w:cantSplit/>
        </w:trPr>
        <w:tc>
          <w:tcPr>
            <w:tcW w:type="dxa" w:w="2448"/>
            <w:vAlign w:val="top"/>
          </w:tcPr>
          <w:p>
            <w:pPr>
              <w:spacing w:after="0"/>
            </w:pPr>
            <w:r>
              <w:rPr>
                <w:color w:val="1F2937"/>
                <w:sz w:val="17"/>
              </w:rPr>
              <w:t>Infrastructure evidence</w:t>
            </w:r>
          </w:p>
        </w:tc>
        <w:tc>
          <w:tcPr>
            <w:tcW w:type="dxa" w:w="7200"/>
            <w:vAlign w:val="top"/>
          </w:tcPr>
          <w:p>
            <w:pPr>
              <w:spacing w:after="0"/>
            </w:pPr>
            <w:r>
              <w:rPr>
                <w:color w:val="1F2937"/>
                <w:sz w:val="17"/>
              </w:rPr>
              <w:t>Terraform plan/apply identity, remote state and locks.</w:t>
            </w:r>
          </w:p>
        </w:tc>
      </w:tr>
      <w:tr>
        <w:trPr>
          <w:cantSplit/>
        </w:trPr>
        <w:tc>
          <w:tcPr>
            <w:tcW w:type="dxa" w:w="2448"/>
            <w:shd w:fill="F7F9FC"/>
            <w:vAlign w:val="top"/>
          </w:tcPr>
          <w:p>
            <w:pPr>
              <w:spacing w:after="0"/>
            </w:pPr>
            <w:r>
              <w:rPr>
                <w:color w:val="1F2937"/>
                <w:sz w:val="17"/>
              </w:rPr>
              <w:t>Cloud inventory</w:t>
            </w:r>
          </w:p>
        </w:tc>
        <w:tc>
          <w:tcPr>
            <w:tcW w:type="dxa" w:w="7200"/>
            <w:shd w:fill="F7F9FC"/>
            <w:vAlign w:val="top"/>
          </w:tcPr>
          <w:p>
            <w:pPr>
              <w:spacing w:after="0"/>
            </w:pPr>
            <w:r>
              <w:rPr>
                <w:color w:val="1F2937"/>
                <w:sz w:val="17"/>
              </w:rPr>
              <w:t>Observed AWS resources, ownership and freshness.</w:t>
            </w:r>
          </w:p>
        </w:tc>
      </w:tr>
      <w:tr>
        <w:trPr>
          <w:cantSplit/>
        </w:trPr>
        <w:tc>
          <w:tcPr>
            <w:tcW w:type="dxa" w:w="2448"/>
            <w:vAlign w:val="top"/>
          </w:tcPr>
          <w:p>
            <w:pPr>
              <w:spacing w:after="0"/>
            </w:pPr>
            <w:r>
              <w:rPr>
                <w:color w:val="1F2937"/>
                <w:sz w:val="17"/>
              </w:rPr>
              <w:t>Deletion diagnostics</w:t>
            </w:r>
          </w:p>
        </w:tc>
        <w:tc>
          <w:tcPr>
            <w:tcW w:type="dxa" w:w="7200"/>
            <w:vAlign w:val="top"/>
          </w:tcPr>
          <w:p>
            <w:pPr>
              <w:spacing w:after="0"/>
            </w:pPr>
            <w:r>
              <w:rPr>
                <w:color w:val="1F2937"/>
                <w:sz w:val="17"/>
              </w:rPr>
              <w:t>Destroy operation, state verification and delayed cloud records.</w:t>
            </w:r>
          </w:p>
        </w:tc>
      </w:tr>
      <w:tr>
        <w:trPr>
          <w:cantSplit/>
        </w:trPr>
        <w:tc>
          <w:tcPr>
            <w:tcW w:type="dxa" w:w="2448"/>
            <w:shd w:fill="F7F9FC"/>
            <w:vAlign w:val="top"/>
          </w:tcPr>
          <w:p>
            <w:pPr>
              <w:spacing w:after="0"/>
            </w:pPr>
            <w:r>
              <w:rPr>
                <w:color w:val="1F2937"/>
                <w:sz w:val="17"/>
              </w:rPr>
              <w:t>Audit and security</w:t>
            </w:r>
          </w:p>
        </w:tc>
        <w:tc>
          <w:tcPr>
            <w:tcW w:type="dxa" w:w="7200"/>
            <w:shd w:fill="F7F9FC"/>
            <w:vAlign w:val="top"/>
          </w:tcPr>
          <w:p>
            <w:pPr>
              <w:spacing w:after="0"/>
            </w:pPr>
            <w:r>
              <w:rPr>
                <w:color w:val="1F2937"/>
                <w:sz w:val="17"/>
              </w:rPr>
              <w:t>Detailed resource events, permissions and sensitive action evidence.</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E8F1FB"/>
            <w:tcBorders>
              <w:top w:val="single" w:sz="8" w:color="123B66"/>
              <w:left w:val="single" w:sz="8" w:color="123B66"/>
              <w:bottom w:val="single" w:sz="8" w:color="123B66"/>
              <w:right w:val="single" w:sz="8" w:color="123B66"/>
            </w:tcBorders>
          </w:tcPr>
          <w:p>
            <w:pPr>
              <w:spacing w:after="0"/>
            </w:pPr>
            <w:r>
              <w:rPr>
                <w:b/>
                <w:color w:val="123B66"/>
              </w:rPr>
              <w:t>UI rule</w:t>
              <w:br/>
            </w:r>
            <w:r>
              <w:t>No normal developer page may compute status from raw events or cloud resources. Every page renders the canonical current-state API.</w:t>
            </w:r>
          </w:p>
        </w:tc>
      </w:tr>
    </w:tbl>
    <w:p>
      <w:pPr>
        <w:spacing w:after="0"/>
      </w:pPr>
    </w:p>
    <w:p>
      <w:pPr>
        <w:pStyle w:val="Heading1"/>
        <w:spacing w:before="240" w:after="100"/>
        <w:keepNext/>
      </w:pPr>
      <w:r>
        <w:rPr>
          <w:color w:val="123B66"/>
        </w:rPr>
        <w:t>13. Implementation Roadmap</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1872"/>
            <w:shd w:fill="123B66"/>
            <w:vAlign w:val="center"/>
          </w:tcPr>
          <w:p>
            <w:pPr>
              <w:jc w:val="center"/>
            </w:pPr>
            <w:r>
              <w:rPr>
                <w:b/>
                <w:color w:val="FFFFFF"/>
                <w:sz w:val="15"/>
              </w:rPr>
              <w:t>Phase</w:t>
            </w:r>
          </w:p>
        </w:tc>
        <w:tc>
          <w:tcPr>
            <w:tcW w:type="dxa" w:w="5328"/>
            <w:shd w:fill="123B66"/>
            <w:vAlign w:val="center"/>
          </w:tcPr>
          <w:p>
            <w:pPr>
              <w:jc w:val="center"/>
            </w:pPr>
            <w:r>
              <w:rPr>
                <w:b/>
                <w:color w:val="FFFFFF"/>
                <w:sz w:val="15"/>
              </w:rPr>
              <w:t>Work</w:t>
            </w:r>
          </w:p>
        </w:tc>
        <w:tc>
          <w:tcPr>
            <w:tcW w:type="dxa" w:w="2880"/>
            <w:shd w:fill="123B66"/>
            <w:vAlign w:val="center"/>
          </w:tcPr>
          <w:p>
            <w:pPr>
              <w:jc w:val="center"/>
            </w:pPr>
            <w:r>
              <w:rPr>
                <w:b/>
                <w:color w:val="FFFFFF"/>
                <w:sz w:val="15"/>
              </w:rPr>
              <w:t>Exit criterion</w:t>
            </w:r>
          </w:p>
        </w:tc>
      </w:tr>
      <w:tr>
        <w:trPr>
          <w:cantSplit/>
        </w:trPr>
        <w:tc>
          <w:tcPr>
            <w:tcW w:type="dxa" w:w="1872"/>
            <w:vAlign w:val="top"/>
          </w:tcPr>
          <w:p>
            <w:pPr>
              <w:spacing w:after="0"/>
            </w:pPr>
            <w:r>
              <w:rPr>
                <w:color w:val="1F2937"/>
                <w:sz w:val="15"/>
              </w:rPr>
              <w:t>0. Freeze and baseline</w:t>
            </w:r>
          </w:p>
        </w:tc>
        <w:tc>
          <w:tcPr>
            <w:tcW w:type="dxa" w:w="5328"/>
            <w:vAlign w:val="top"/>
          </w:tcPr>
          <w:p>
            <w:pPr>
              <w:spacing w:after="0"/>
            </w:pPr>
            <w:r>
              <w:rPr>
                <w:color w:val="1F2937"/>
                <w:sz w:val="15"/>
              </w:rPr>
              <w:t>Disable unstable deploy/recovery actions, preserve DB/state/inventory, capture current behavior.</w:t>
            </w:r>
          </w:p>
        </w:tc>
        <w:tc>
          <w:tcPr>
            <w:tcW w:type="dxa" w:w="2880"/>
            <w:vAlign w:val="top"/>
          </w:tcPr>
          <w:p>
            <w:pPr>
              <w:spacing w:after="0"/>
            </w:pPr>
            <w:r>
              <w:rPr>
                <w:color w:val="1F2937"/>
                <w:sz w:val="15"/>
              </w:rPr>
              <w:t>No new conflicting runs during redesign.</w:t>
            </w:r>
          </w:p>
        </w:tc>
      </w:tr>
      <w:tr>
        <w:trPr>
          <w:cantSplit/>
        </w:trPr>
        <w:tc>
          <w:tcPr>
            <w:tcW w:type="dxa" w:w="1872"/>
            <w:shd w:fill="F7F9FC"/>
            <w:vAlign w:val="top"/>
          </w:tcPr>
          <w:p>
            <w:pPr>
              <w:spacing w:after="0"/>
            </w:pPr>
            <w:r>
              <w:rPr>
                <w:color w:val="1F2937"/>
                <w:sz w:val="15"/>
              </w:rPr>
              <w:t>1. Canonical state</w:t>
            </w:r>
          </w:p>
        </w:tc>
        <w:tc>
          <w:tcPr>
            <w:tcW w:type="dxa" w:w="5328"/>
            <w:shd w:fill="F7F9FC"/>
            <w:vAlign w:val="top"/>
          </w:tcPr>
          <w:p>
            <w:pPr>
              <w:spacing w:after="0"/>
            </w:pPr>
            <w:r>
              <w:rPr>
                <w:color w:val="1F2937"/>
                <w:sz w:val="15"/>
              </w:rPr>
              <w:t>Implement one state projection and state-proof diagnostics.</w:t>
            </w:r>
          </w:p>
        </w:tc>
        <w:tc>
          <w:tcPr>
            <w:tcW w:type="dxa" w:w="2880"/>
            <w:shd w:fill="F7F9FC"/>
            <w:vAlign w:val="top"/>
          </w:tcPr>
          <w:p>
            <w:pPr>
              <w:spacing w:after="0"/>
            </w:pPr>
            <w:r>
              <w:rPr>
                <w:color w:val="1F2937"/>
                <w:sz w:val="15"/>
              </w:rPr>
              <w:t>All pages show the same run, phase, owner and action.</w:t>
            </w:r>
          </w:p>
        </w:tc>
      </w:tr>
      <w:tr>
        <w:trPr>
          <w:cantSplit/>
        </w:trPr>
        <w:tc>
          <w:tcPr>
            <w:tcW w:type="dxa" w:w="1872"/>
            <w:vAlign w:val="top"/>
          </w:tcPr>
          <w:p>
            <w:pPr>
              <w:spacing w:after="0"/>
            </w:pPr>
            <w:r>
              <w:rPr>
                <w:color w:val="1F2937"/>
                <w:sz w:val="15"/>
              </w:rPr>
              <w:t>2. Execution safety</w:t>
            </w:r>
          </w:p>
        </w:tc>
        <w:tc>
          <w:tcPr>
            <w:tcW w:type="dxa" w:w="5328"/>
            <w:vAlign w:val="top"/>
          </w:tcPr>
          <w:p>
            <w:pPr>
              <w:spacing w:after="0"/>
            </w:pPr>
            <w:r>
              <w:rPr>
                <w:color w:val="1F2937"/>
                <w:sz w:val="15"/>
              </w:rPr>
              <w:t>Run workspaces, idempotency keys, project locks, worker compatibility and heartbeat.</w:t>
            </w:r>
          </w:p>
        </w:tc>
        <w:tc>
          <w:tcPr>
            <w:tcW w:type="dxa" w:w="2880"/>
            <w:vAlign w:val="top"/>
          </w:tcPr>
          <w:p>
            <w:pPr>
              <w:spacing w:after="0"/>
            </w:pPr>
            <w:r>
              <w:rPr>
                <w:color w:val="1F2937"/>
                <w:sz w:val="15"/>
              </w:rPr>
              <w:t>No duplicate apply, stale worker or file collision.</w:t>
            </w:r>
          </w:p>
        </w:tc>
      </w:tr>
      <w:tr>
        <w:trPr>
          <w:cantSplit/>
        </w:trPr>
        <w:tc>
          <w:tcPr>
            <w:tcW w:type="dxa" w:w="1872"/>
            <w:shd w:fill="F7F9FC"/>
            <w:vAlign w:val="top"/>
          </w:tcPr>
          <w:p>
            <w:pPr>
              <w:spacing w:after="0"/>
            </w:pPr>
            <w:r>
              <w:rPr>
                <w:color w:val="1F2937"/>
                <w:sz w:val="15"/>
              </w:rPr>
              <w:t>3. Event/time model</w:t>
            </w:r>
          </w:p>
        </w:tc>
        <w:tc>
          <w:tcPr>
            <w:tcW w:type="dxa" w:w="5328"/>
            <w:shd w:fill="F7F9FC"/>
            <w:vAlign w:val="top"/>
          </w:tcPr>
          <w:p>
            <w:pPr>
              <w:spacing w:after="0"/>
            </w:pPr>
            <w:r>
              <w:rPr>
                <w:color w:val="1F2937"/>
                <w:sz w:val="15"/>
              </w:rPr>
              <w:t>Explicit stage events, UTC timestamps, sequence numbers and persisted durations.</w:t>
            </w:r>
          </w:p>
        </w:tc>
        <w:tc>
          <w:tcPr>
            <w:tcW w:type="dxa" w:w="2880"/>
            <w:shd w:fill="F7F9FC"/>
            <w:vAlign w:val="top"/>
          </w:tcPr>
          <w:p>
            <w:pPr>
              <w:spacing w:after="0"/>
            </w:pPr>
            <w:r>
              <w:rPr>
                <w:color w:val="1F2937"/>
                <w:sz w:val="15"/>
              </w:rPr>
              <w:t>No contradictory stage status or time.</w:t>
            </w:r>
          </w:p>
        </w:tc>
      </w:tr>
      <w:tr>
        <w:trPr>
          <w:cantSplit/>
        </w:trPr>
        <w:tc>
          <w:tcPr>
            <w:tcW w:type="dxa" w:w="1872"/>
            <w:vAlign w:val="top"/>
          </w:tcPr>
          <w:p>
            <w:pPr>
              <w:spacing w:after="0"/>
            </w:pPr>
            <w:r>
              <w:rPr>
                <w:color w:val="1F2937"/>
                <w:sz w:val="15"/>
              </w:rPr>
              <w:t>4. One-click deploy API</w:t>
            </w:r>
          </w:p>
        </w:tc>
        <w:tc>
          <w:tcPr>
            <w:tcW w:type="dxa" w:w="5328"/>
            <w:vAlign w:val="top"/>
          </w:tcPr>
          <w:p>
            <w:pPr>
              <w:spacing w:after="0"/>
            </w:pPr>
            <w:r>
              <w:rPr>
                <w:color w:val="1F2937"/>
                <w:sz w:val="15"/>
              </w:rPr>
              <w:t>Single deploy command, internal preparation/approval policy, five user phases.</w:t>
            </w:r>
          </w:p>
        </w:tc>
        <w:tc>
          <w:tcPr>
            <w:tcW w:type="dxa" w:w="2880"/>
            <w:vAlign w:val="top"/>
          </w:tcPr>
          <w:p>
            <w:pPr>
              <w:spacing w:after="0"/>
            </w:pPr>
            <w:r>
              <w:rPr>
                <w:color w:val="1F2937"/>
                <w:sz w:val="15"/>
              </w:rPr>
              <w:t>Developer clicks Deploy once.</w:t>
            </w:r>
          </w:p>
        </w:tc>
      </w:tr>
      <w:tr>
        <w:trPr>
          <w:cantSplit/>
        </w:trPr>
        <w:tc>
          <w:tcPr>
            <w:tcW w:type="dxa" w:w="1872"/>
            <w:shd w:fill="F7F9FC"/>
            <w:vAlign w:val="top"/>
          </w:tcPr>
          <w:p>
            <w:pPr>
              <w:spacing w:after="0"/>
            </w:pPr>
            <w:r>
              <w:rPr>
                <w:color w:val="1F2937"/>
                <w:sz w:val="15"/>
              </w:rPr>
              <w:t>5. Recovery engine</w:t>
            </w:r>
          </w:p>
        </w:tc>
        <w:tc>
          <w:tcPr>
            <w:tcW w:type="dxa" w:w="5328"/>
            <w:shd w:fill="F7F9FC"/>
            <w:vAlign w:val="top"/>
          </w:tcPr>
          <w:p>
            <w:pPr>
              <w:spacing w:after="0"/>
            </w:pPr>
            <w:r>
              <w:rPr>
                <w:color w:val="1F2937"/>
                <w:sz w:val="15"/>
              </w:rPr>
              <w:t>Owner-based automatic retry, reconciliation and safe checkpoint reuse.</w:t>
            </w:r>
          </w:p>
        </w:tc>
        <w:tc>
          <w:tcPr>
            <w:tcW w:type="dxa" w:w="2880"/>
            <w:shd w:fill="F7F9FC"/>
            <w:vAlign w:val="top"/>
          </w:tcPr>
          <w:p>
            <w:pPr>
              <w:spacing w:after="0"/>
            </w:pPr>
            <w:r>
              <w:rPr>
                <w:color w:val="1F2937"/>
                <w:sz w:val="15"/>
              </w:rPr>
              <w:t>Platform errors do not become developer tasks.</w:t>
            </w:r>
          </w:p>
        </w:tc>
      </w:tr>
      <w:tr>
        <w:trPr>
          <w:cantSplit/>
        </w:trPr>
        <w:tc>
          <w:tcPr>
            <w:tcW w:type="dxa" w:w="1872"/>
            <w:vAlign w:val="top"/>
          </w:tcPr>
          <w:p>
            <w:pPr>
              <w:spacing w:after="0"/>
            </w:pPr>
            <w:r>
              <w:rPr>
                <w:color w:val="1F2937"/>
                <w:sz w:val="15"/>
              </w:rPr>
              <w:t>6. One-click deletion</w:t>
            </w:r>
          </w:p>
        </w:tc>
        <w:tc>
          <w:tcPr>
            <w:tcW w:type="dxa" w:w="5328"/>
            <w:vAlign w:val="top"/>
          </w:tcPr>
          <w:p>
            <w:pPr>
              <w:spacing w:after="0"/>
            </w:pPr>
            <w:r>
              <w:rPr>
                <w:color w:val="1F2937"/>
                <w:sz w:val="15"/>
              </w:rPr>
              <w:t>Durable deletion job, clear progress, step-up auth continuation and AWS verification.</w:t>
            </w:r>
          </w:p>
        </w:tc>
        <w:tc>
          <w:tcPr>
            <w:tcW w:type="dxa" w:w="2880"/>
            <w:vAlign w:val="top"/>
          </w:tcPr>
          <w:p>
            <w:pPr>
              <w:spacing w:after="0"/>
            </w:pPr>
            <w:r>
              <w:rPr>
                <w:color w:val="1F2937"/>
                <w:sz w:val="15"/>
              </w:rPr>
              <w:t>Developer deletes with one confirmation.</w:t>
            </w:r>
          </w:p>
        </w:tc>
      </w:tr>
      <w:tr>
        <w:trPr>
          <w:cantSplit/>
        </w:trPr>
        <w:tc>
          <w:tcPr>
            <w:tcW w:type="dxa" w:w="1872"/>
            <w:shd w:fill="F7F9FC"/>
            <w:vAlign w:val="top"/>
          </w:tcPr>
          <w:p>
            <w:pPr>
              <w:spacing w:after="0"/>
            </w:pPr>
            <w:r>
              <w:rPr>
                <w:color w:val="1F2937"/>
                <w:sz w:val="15"/>
              </w:rPr>
              <w:t>7. UI simplification</w:t>
            </w:r>
          </w:p>
        </w:tc>
        <w:tc>
          <w:tcPr>
            <w:tcW w:type="dxa" w:w="5328"/>
            <w:shd w:fill="F7F9FC"/>
            <w:vAlign w:val="top"/>
          </w:tcPr>
          <w:p>
            <w:pPr>
              <w:spacing w:after="0"/>
            </w:pPr>
            <w:r>
              <w:rPr>
                <w:color w:val="1F2937"/>
                <w:sz w:val="15"/>
              </w:rPr>
              <w:t>Separate developer and admin navigation; remove Terraform/cloud controls.</w:t>
            </w:r>
          </w:p>
        </w:tc>
        <w:tc>
          <w:tcPr>
            <w:tcW w:type="dxa" w:w="2880"/>
            <w:shd w:fill="F7F9FC"/>
            <w:vAlign w:val="top"/>
          </w:tcPr>
          <w:p>
            <w:pPr>
              <w:spacing w:after="0"/>
            </w:pPr>
            <w:r>
              <w:rPr>
                <w:color w:val="1F2937"/>
                <w:sz w:val="15"/>
              </w:rPr>
              <w:t>Railway-like experience.</w:t>
            </w:r>
          </w:p>
        </w:tc>
      </w:tr>
      <w:tr>
        <w:trPr>
          <w:cantSplit/>
        </w:trPr>
        <w:tc>
          <w:tcPr>
            <w:tcW w:type="dxa" w:w="1872"/>
            <w:vAlign w:val="top"/>
          </w:tcPr>
          <w:p>
            <w:pPr>
              <w:spacing w:after="0"/>
            </w:pPr>
            <w:r>
              <w:rPr>
                <w:color w:val="1F2937"/>
                <w:sz w:val="15"/>
              </w:rPr>
              <w:t>8. System verification</w:t>
            </w:r>
          </w:p>
        </w:tc>
        <w:tc>
          <w:tcPr>
            <w:tcW w:type="dxa" w:w="5328"/>
            <w:vAlign w:val="top"/>
          </w:tcPr>
          <w:p>
            <w:pPr>
              <w:spacing w:after="0"/>
            </w:pPr>
            <w:r>
              <w:rPr>
                <w:color w:val="1F2937"/>
                <w:sz w:val="15"/>
              </w:rPr>
              <w:t>Concurrency, restart, failure, deletion and controlled AWS tests.</w:t>
            </w:r>
          </w:p>
        </w:tc>
        <w:tc>
          <w:tcPr>
            <w:tcW w:type="dxa" w:w="2880"/>
            <w:vAlign w:val="top"/>
          </w:tcPr>
          <w:p>
            <w:pPr>
              <w:spacing w:after="0"/>
            </w:pPr>
            <w:r>
              <w:rPr>
                <w:color w:val="1F2937"/>
                <w:sz w:val="15"/>
              </w:rPr>
              <w:t>Release gate passes repeatedly.</w:t>
            </w:r>
          </w:p>
        </w:tc>
      </w:tr>
    </w:tbl>
    <w:p>
      <w:pPr>
        <w:spacing w:after="0"/>
      </w:pPr>
    </w:p>
    <w:p>
      <w:pPr>
        <w:pStyle w:val="Heading2"/>
        <w:spacing w:before="160" w:after="60"/>
        <w:keepNext/>
      </w:pPr>
      <w:r>
        <w:rPr>
          <w:color w:val="1D4ED8"/>
        </w:rPr>
        <w:t>13.1 Recommended engineering sequence</w:t>
      </w:r>
    </w:p>
    <w:tbl>
      <w:tblPr>
        <w:tblW w:type="auto" w:w="0"/>
        <w:jc w:val="center"/>
        <w:tblLayout w:type="autofit"/>
        <w:tblLook w:firstColumn="1" w:firstRow="1" w:lastColumn="0" w:lastRow="0" w:noHBand="0" w:noVBand="1" w:val="04A0"/>
      </w:tblPr>
      <w:tblGrid>
        <w:gridCol w:w="9972"/>
      </w:tblGrid>
      <w:tr>
        <w:trPr>
          <w:cantSplit/>
        </w:trPr>
        <w:tc>
          <w:tcPr>
            <w:tcW w:type="dxa" w:w="9972"/>
            <w:shd w:fill="F0FDF4"/>
            <w:tcBorders>
              <w:top w:val="single" w:sz="8" w:color="123B66"/>
              <w:left w:val="single" w:sz="8" w:color="123B66"/>
              <w:bottom w:val="single" w:sz="8" w:color="123B66"/>
              <w:right w:val="single" w:sz="8" w:color="123B66"/>
            </w:tcBorders>
          </w:tcPr>
          <w:p>
            <w:pPr>
              <w:spacing w:after="0"/>
            </w:pPr>
            <w:r>
              <w:rPr>
                <w:b/>
                <w:color w:val="123B66"/>
              </w:rPr>
              <w:t>Sequence</w:t>
              <w:br/>
            </w:r>
            <w:r>
              <w:t>Canonical state -&gt; execution safety -&gt; events/time -&gt; one-click deploy -&gt; recovery -&gt; one-click deletion -&gt; UI simplification -&gt; system proof.</w:t>
            </w:r>
          </w:p>
        </w:tc>
      </w:tr>
    </w:tbl>
    <w:p>
      <w:pPr>
        <w:spacing w:after="0"/>
      </w:pPr>
    </w:p>
    <w:p>
      <w:pPr>
        <w:pStyle w:val="Heading1"/>
        <w:spacing w:before="240" w:after="100"/>
        <w:keepNext/>
      </w:pPr>
      <w:r>
        <w:rPr>
          <w:color w:val="123B66"/>
        </w:rPr>
        <w:t>14. Acceptance Tests and Operational SLOs</w:t>
      </w:r>
    </w:p>
    <w:p>
      <w:pPr>
        <w:pStyle w:val="Heading2"/>
        <w:spacing w:before="160" w:after="60"/>
        <w:keepNext/>
      </w:pPr>
      <w:r>
        <w:rPr>
          <w:color w:val="1D4ED8"/>
        </w:rPr>
        <w:t>14.1 Mandatory system scenarios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2880"/>
            <w:shd w:fill="123B66"/>
            <w:vAlign w:val="center"/>
          </w:tcPr>
          <w:p>
            <w:pPr>
              <w:jc w:val="center"/>
            </w:pPr>
            <w:r>
              <w:rPr>
                <w:b/>
                <w:color w:val="FFFFFF"/>
                <w:sz w:val="16"/>
              </w:rPr>
              <w:t>Scenario</w:t>
            </w:r>
          </w:p>
        </w:tc>
        <w:tc>
          <w:tcPr>
            <w:tcW w:type="dxa" w:w="6768"/>
            <w:shd w:fill="123B66"/>
            <w:vAlign w:val="center"/>
          </w:tcPr>
          <w:p>
            <w:pPr>
              <w:jc w:val="center"/>
            </w:pPr>
            <w:r>
              <w:rPr>
                <w:b/>
                <w:color w:val="FFFFFF"/>
                <w:sz w:val="16"/>
              </w:rPr>
              <w:t>Required result</w:t>
            </w:r>
          </w:p>
        </w:tc>
      </w:tr>
      <w:tr>
        <w:trPr>
          <w:cantSplit/>
        </w:trPr>
        <w:tc>
          <w:tcPr>
            <w:tcW w:type="dxa" w:w="2880"/>
            <w:vAlign w:val="top"/>
          </w:tcPr>
          <w:p>
            <w:pPr>
              <w:spacing w:after="0"/>
            </w:pPr>
            <w:r>
              <w:rPr>
                <w:color w:val="1F2937"/>
                <w:sz w:val="16"/>
              </w:rPr>
              <w:t>Fresh deployment</w:t>
            </w:r>
          </w:p>
        </w:tc>
        <w:tc>
          <w:tcPr>
            <w:tcW w:type="dxa" w:w="6768"/>
            <w:vAlign w:val="top"/>
          </w:tcPr>
          <w:p>
            <w:pPr>
              <w:spacing w:after="0"/>
            </w:pPr>
            <w:r>
              <w:rPr>
                <w:color w:val="1F2937"/>
                <w:sz w:val="16"/>
              </w:rPr>
              <w:t>Repository to healthy live URL without technical user actions.</w:t>
            </w:r>
          </w:p>
        </w:tc>
      </w:tr>
      <w:tr>
        <w:trPr>
          <w:cantSplit/>
        </w:trPr>
        <w:tc>
          <w:tcPr>
            <w:tcW w:type="dxa" w:w="2880"/>
            <w:shd w:fill="F7F9FC"/>
            <w:vAlign w:val="top"/>
          </w:tcPr>
          <w:p>
            <w:pPr>
              <w:spacing w:after="0"/>
            </w:pPr>
            <w:r>
              <w:rPr>
                <w:color w:val="1F2937"/>
                <w:sz w:val="16"/>
              </w:rPr>
              <w:t>Double-click Deploy</w:t>
            </w:r>
          </w:p>
        </w:tc>
        <w:tc>
          <w:tcPr>
            <w:tcW w:type="dxa" w:w="6768"/>
            <w:shd w:fill="F7F9FC"/>
            <w:vAlign w:val="top"/>
          </w:tcPr>
          <w:p>
            <w:pPr>
              <w:spacing w:after="0"/>
            </w:pPr>
            <w:r>
              <w:rPr>
                <w:color w:val="1F2937"/>
                <w:sz w:val="16"/>
              </w:rPr>
              <w:t>One deployment ID; one apply.</w:t>
            </w:r>
          </w:p>
        </w:tc>
      </w:tr>
      <w:tr>
        <w:trPr>
          <w:cantSplit/>
        </w:trPr>
        <w:tc>
          <w:tcPr>
            <w:tcW w:type="dxa" w:w="2880"/>
            <w:vAlign w:val="top"/>
          </w:tcPr>
          <w:p>
            <w:pPr>
              <w:spacing w:after="0"/>
            </w:pPr>
            <w:r>
              <w:rPr>
                <w:color w:val="1F2937"/>
                <w:sz w:val="16"/>
              </w:rPr>
              <w:t>Two commits quickly</w:t>
            </w:r>
          </w:p>
        </w:tc>
        <w:tc>
          <w:tcPr>
            <w:tcW w:type="dxa" w:w="6768"/>
            <w:vAlign w:val="top"/>
          </w:tcPr>
          <w:p>
            <w:pPr>
              <w:spacing w:after="0"/>
            </w:pPr>
            <w:r>
              <w:rPr>
                <w:color w:val="1F2937"/>
                <w:sz w:val="16"/>
              </w:rPr>
              <w:t>Builds isolated; only latest candidate deploys.</w:t>
            </w:r>
          </w:p>
        </w:tc>
      </w:tr>
      <w:tr>
        <w:trPr>
          <w:cantSplit/>
        </w:trPr>
        <w:tc>
          <w:tcPr>
            <w:tcW w:type="dxa" w:w="2880"/>
            <w:shd w:fill="F7F9FC"/>
            <w:vAlign w:val="top"/>
          </w:tcPr>
          <w:p>
            <w:pPr>
              <w:spacing w:after="0"/>
            </w:pPr>
            <w:r>
              <w:rPr>
                <w:color w:val="1F2937"/>
                <w:sz w:val="16"/>
              </w:rPr>
              <w:t>New run during apply</w:t>
            </w:r>
          </w:p>
        </w:tc>
        <w:tc>
          <w:tcPr>
            <w:tcW w:type="dxa" w:w="6768"/>
            <w:shd w:fill="F7F9FC"/>
            <w:vAlign w:val="top"/>
          </w:tcPr>
          <w:p>
            <w:pPr>
              <w:spacing w:after="0"/>
            </w:pPr>
            <w:r>
              <w:rPr>
                <w:color w:val="1F2937"/>
                <w:sz w:val="16"/>
              </w:rPr>
              <w:t>New run waits and replans after reconciliation.</w:t>
            </w:r>
          </w:p>
        </w:tc>
      </w:tr>
      <w:tr>
        <w:trPr>
          <w:cantSplit/>
        </w:trPr>
        <w:tc>
          <w:tcPr>
            <w:tcW w:type="dxa" w:w="2880"/>
            <w:vAlign w:val="top"/>
          </w:tcPr>
          <w:p>
            <w:pPr>
              <w:spacing w:after="0"/>
            </w:pPr>
            <w:r>
              <w:rPr>
                <w:color w:val="1F2937"/>
                <w:sz w:val="16"/>
              </w:rPr>
              <w:t>BullMQ duplicate delivery</w:t>
            </w:r>
          </w:p>
        </w:tc>
        <w:tc>
          <w:tcPr>
            <w:tcW w:type="dxa" w:w="6768"/>
            <w:vAlign w:val="top"/>
          </w:tcPr>
          <w:p>
            <w:pPr>
              <w:spacing w:after="0"/>
            </w:pPr>
            <w:r>
              <w:rPr>
                <w:color w:val="1F2937"/>
                <w:sz w:val="16"/>
              </w:rPr>
              <w:t>No duplicate cloud mutation.</w:t>
            </w:r>
          </w:p>
        </w:tc>
      </w:tr>
      <w:tr>
        <w:trPr>
          <w:cantSplit/>
        </w:trPr>
        <w:tc>
          <w:tcPr>
            <w:tcW w:type="dxa" w:w="2880"/>
            <w:shd w:fill="F7F9FC"/>
            <w:vAlign w:val="top"/>
          </w:tcPr>
          <w:p>
            <w:pPr>
              <w:spacing w:after="0"/>
            </w:pPr>
            <w:r>
              <w:rPr>
                <w:color w:val="1F2937"/>
                <w:sz w:val="16"/>
              </w:rPr>
              <w:t>Worker restart</w:t>
            </w:r>
          </w:p>
        </w:tc>
        <w:tc>
          <w:tcPr>
            <w:tcW w:type="dxa" w:w="6768"/>
            <w:shd w:fill="F7F9FC"/>
            <w:vAlign w:val="top"/>
          </w:tcPr>
          <w:p>
            <w:pPr>
              <w:spacing w:after="0"/>
            </w:pPr>
            <w:r>
              <w:rPr>
                <w:color w:val="1F2937"/>
                <w:sz w:val="16"/>
              </w:rPr>
              <w:t>Durable resume from plan, apply claim and readiness checkpoints.</w:t>
            </w:r>
          </w:p>
        </w:tc>
      </w:tr>
      <w:tr>
        <w:trPr>
          <w:cantSplit/>
        </w:trPr>
        <w:tc>
          <w:tcPr>
            <w:tcW w:type="dxa" w:w="2880"/>
            <w:vAlign w:val="top"/>
          </w:tcPr>
          <w:p>
            <w:pPr>
              <w:spacing w:after="0"/>
            </w:pPr>
            <w:r>
              <w:rPr>
                <w:color w:val="1F2937"/>
                <w:sz w:val="16"/>
              </w:rPr>
              <w:t>Stale worker</w:t>
            </w:r>
          </w:p>
        </w:tc>
        <w:tc>
          <w:tcPr>
            <w:tcW w:type="dxa" w:w="6768"/>
            <w:vAlign w:val="top"/>
          </w:tcPr>
          <w:p>
            <w:pPr>
              <w:spacing w:after="0"/>
            </w:pPr>
            <w:r>
              <w:rPr>
                <w:color w:val="1F2937"/>
                <w:sz w:val="16"/>
              </w:rPr>
              <w:t>Rejected before job execution.</w:t>
            </w:r>
          </w:p>
        </w:tc>
      </w:tr>
      <w:tr>
        <w:trPr>
          <w:cantSplit/>
        </w:trPr>
        <w:tc>
          <w:tcPr>
            <w:tcW w:type="dxa" w:w="2880"/>
            <w:shd w:fill="F7F9FC"/>
            <w:vAlign w:val="top"/>
          </w:tcPr>
          <w:p>
            <w:pPr>
              <w:spacing w:after="0"/>
            </w:pPr>
            <w:r>
              <w:rPr>
                <w:color w:val="1F2937"/>
                <w:sz w:val="16"/>
              </w:rPr>
              <w:t>Configuration change after plan</w:t>
            </w:r>
          </w:p>
        </w:tc>
        <w:tc>
          <w:tcPr>
            <w:tcW w:type="dxa" w:w="6768"/>
            <w:shd w:fill="F7F9FC"/>
            <w:vAlign w:val="top"/>
          </w:tcPr>
          <w:p>
            <w:pPr>
              <w:spacing w:after="0"/>
            </w:pPr>
            <w:r>
              <w:rPr>
                <w:color w:val="1F2937"/>
                <w:sz w:val="16"/>
              </w:rPr>
              <w:t>Old plan superseded; no manual Terraform instruction.</w:t>
            </w:r>
          </w:p>
        </w:tc>
      </w:tr>
      <w:tr>
        <w:trPr>
          <w:cantSplit/>
        </w:trPr>
        <w:tc>
          <w:tcPr>
            <w:tcW w:type="dxa" w:w="2880"/>
            <w:vAlign w:val="top"/>
          </w:tcPr>
          <w:p>
            <w:pPr>
              <w:spacing w:after="0"/>
            </w:pPr>
            <w:r>
              <w:rPr>
                <w:color w:val="1F2937"/>
                <w:sz w:val="16"/>
              </w:rPr>
              <w:t>Application health failure</w:t>
            </w:r>
          </w:p>
        </w:tc>
        <w:tc>
          <w:tcPr>
            <w:tcW w:type="dxa" w:w="6768"/>
            <w:vAlign w:val="top"/>
          </w:tcPr>
          <w:p>
            <w:pPr>
              <w:spacing w:after="0"/>
            </w:pPr>
            <w:r>
              <w:rPr>
                <w:color w:val="1F2937"/>
                <w:sz w:val="16"/>
              </w:rPr>
              <w:t>Infrastructure preserved; developer receives app-level guidance.</w:t>
            </w:r>
          </w:p>
        </w:tc>
      </w:tr>
      <w:tr>
        <w:trPr>
          <w:cantSplit/>
        </w:trPr>
        <w:tc>
          <w:tcPr>
            <w:tcW w:type="dxa" w:w="2880"/>
            <w:shd w:fill="F7F9FC"/>
            <w:vAlign w:val="top"/>
          </w:tcPr>
          <w:p>
            <w:pPr>
              <w:spacing w:after="0"/>
            </w:pPr>
            <w:r>
              <w:rPr>
                <w:color w:val="1F2937"/>
                <w:sz w:val="16"/>
              </w:rPr>
              <w:t>Platform contract failure</w:t>
            </w:r>
          </w:p>
        </w:tc>
        <w:tc>
          <w:tcPr>
            <w:tcW w:type="dxa" w:w="6768"/>
            <w:shd w:fill="F7F9FC"/>
            <w:vAlign w:val="top"/>
          </w:tcPr>
          <w:p>
            <w:pPr>
              <w:spacing w:after="0"/>
            </w:pPr>
            <w:r>
              <w:rPr>
                <w:color w:val="1F2937"/>
                <w:sz w:val="16"/>
              </w:rPr>
              <w:t>Developer sees internal issue; admin receives exact evidence.</w:t>
            </w:r>
          </w:p>
        </w:tc>
      </w:tr>
      <w:tr>
        <w:trPr>
          <w:cantSplit/>
        </w:trPr>
        <w:tc>
          <w:tcPr>
            <w:tcW w:type="dxa" w:w="2880"/>
            <w:vAlign w:val="top"/>
          </w:tcPr>
          <w:p>
            <w:pPr>
              <w:spacing w:after="0"/>
            </w:pPr>
            <w:r>
              <w:rPr>
                <w:color w:val="1F2937"/>
                <w:sz w:val="16"/>
              </w:rPr>
              <w:t>Delete during queued run</w:t>
            </w:r>
          </w:p>
        </w:tc>
        <w:tc>
          <w:tcPr>
            <w:tcW w:type="dxa" w:w="6768"/>
            <w:vAlign w:val="top"/>
          </w:tcPr>
          <w:p>
            <w:pPr>
              <w:spacing w:after="0"/>
            </w:pPr>
            <w:r>
              <w:rPr>
                <w:color w:val="1F2937"/>
                <w:sz w:val="16"/>
              </w:rPr>
              <w:t>Queued run cancelled; one deletion job.</w:t>
            </w:r>
          </w:p>
        </w:tc>
      </w:tr>
      <w:tr>
        <w:trPr>
          <w:cantSplit/>
        </w:trPr>
        <w:tc>
          <w:tcPr>
            <w:tcW w:type="dxa" w:w="2880"/>
            <w:shd w:fill="F7F9FC"/>
            <w:vAlign w:val="top"/>
          </w:tcPr>
          <w:p>
            <w:pPr>
              <w:spacing w:after="0"/>
            </w:pPr>
            <w:r>
              <w:rPr>
                <w:color w:val="1F2937"/>
                <w:sz w:val="16"/>
              </w:rPr>
              <w:t>Delete during apply</w:t>
            </w:r>
          </w:p>
        </w:tc>
        <w:tc>
          <w:tcPr>
            <w:tcW w:type="dxa" w:w="6768"/>
            <w:shd w:fill="F7F9FC"/>
            <w:vAlign w:val="top"/>
          </w:tcPr>
          <w:p>
            <w:pPr>
              <w:spacing w:after="0"/>
            </w:pPr>
            <w:r>
              <w:rPr>
                <w:color w:val="1F2937"/>
                <w:sz w:val="16"/>
              </w:rPr>
              <w:t>Deletion reconciles safely, then proceeds.</w:t>
            </w:r>
          </w:p>
        </w:tc>
      </w:tr>
      <w:tr>
        <w:trPr>
          <w:cantSplit/>
        </w:trPr>
        <w:tc>
          <w:tcPr>
            <w:tcW w:type="dxa" w:w="2880"/>
            <w:vAlign w:val="top"/>
          </w:tcPr>
          <w:p>
            <w:pPr>
              <w:spacing w:after="0"/>
            </w:pPr>
            <w:r>
              <w:rPr>
                <w:color w:val="1F2937"/>
                <w:sz w:val="16"/>
              </w:rPr>
              <w:t>Deletion worker crash</w:t>
            </w:r>
          </w:p>
        </w:tc>
        <w:tc>
          <w:tcPr>
            <w:tcW w:type="dxa" w:w="6768"/>
            <w:vAlign w:val="top"/>
          </w:tcPr>
          <w:p>
            <w:pPr>
              <w:spacing w:after="0"/>
            </w:pPr>
            <w:r>
              <w:rPr>
                <w:color w:val="1F2937"/>
                <w:sz w:val="16"/>
              </w:rPr>
              <w:t>Same job resumes after restart.</w:t>
            </w:r>
          </w:p>
        </w:tc>
      </w:tr>
      <w:tr>
        <w:trPr>
          <w:cantSplit/>
        </w:trPr>
        <w:tc>
          <w:tcPr>
            <w:tcW w:type="dxa" w:w="2880"/>
            <w:shd w:fill="F7F9FC"/>
            <w:vAlign w:val="top"/>
          </w:tcPr>
          <w:p>
            <w:pPr>
              <w:spacing w:after="0"/>
            </w:pPr>
            <w:r>
              <w:rPr>
                <w:color w:val="1F2937"/>
                <w:sz w:val="16"/>
              </w:rPr>
              <w:t>Browser refresh</w:t>
            </w:r>
          </w:p>
        </w:tc>
        <w:tc>
          <w:tcPr>
            <w:tcW w:type="dxa" w:w="6768"/>
            <w:shd w:fill="F7F9FC"/>
            <w:vAlign w:val="top"/>
          </w:tcPr>
          <w:p>
            <w:pPr>
              <w:spacing w:after="0"/>
            </w:pPr>
            <w:r>
              <w:rPr>
                <w:color w:val="1F2937"/>
                <w:sz w:val="16"/>
              </w:rPr>
              <w:t>Same canonical state and operation.</w:t>
            </w:r>
          </w:p>
        </w:tc>
      </w:tr>
      <w:tr>
        <w:trPr>
          <w:cantSplit/>
        </w:trPr>
        <w:tc>
          <w:tcPr>
            <w:tcW w:type="dxa" w:w="2880"/>
            <w:vAlign w:val="top"/>
          </w:tcPr>
          <w:p>
            <w:pPr>
              <w:spacing w:after="0"/>
            </w:pPr>
            <w:r>
              <w:rPr>
                <w:color w:val="1F2937"/>
                <w:sz w:val="16"/>
              </w:rPr>
              <w:t>All pages</w:t>
            </w:r>
          </w:p>
        </w:tc>
        <w:tc>
          <w:tcPr>
            <w:tcW w:type="dxa" w:w="6768"/>
            <w:vAlign w:val="top"/>
          </w:tcPr>
          <w:p>
            <w:pPr>
              <w:spacing w:after="0"/>
            </w:pPr>
            <w:r>
              <w:rPr>
                <w:color w:val="1F2937"/>
                <w:sz w:val="16"/>
              </w:rPr>
              <w:t>Same run ID, phase, result, timestamps and action.</w:t>
            </w:r>
          </w:p>
        </w:tc>
      </w:tr>
    </w:tbl>
    <w:p>
      <w:pPr>
        <w:spacing w:after="0"/>
      </w:pPr>
    </w:p>
    <w:p>
      <w:pPr>
        <w:pStyle w:val="Heading2"/>
        <w:spacing w:before="160" w:after="60"/>
        <w:keepNext/>
      </w:pPr>
      <w:r>
        <w:rPr>
          <w:color w:val="1D4ED8"/>
        </w:rPr>
        <w:t>14.2 Release gate</w:t>
      </w:r>
    </w:p>
    <w:p>
      <w:pPr>
        <w:pStyle w:val="ListBullet"/>
        <w:spacing w:after="40"/>
      </w:pPr>
      <w:r>
        <w:t>Five consecutive clean deployments.</w:t>
      </w:r>
    </w:p>
    <w:p>
      <w:pPr>
        <w:pStyle w:val="ListBullet"/>
        <w:spacing w:after="40"/>
      </w:pPr>
      <w:r>
        <w:t>Two same-project concurrency tests.</w:t>
      </w:r>
    </w:p>
    <w:p>
      <w:pPr>
        <w:pStyle w:val="ListBullet"/>
        <w:spacing w:after="40"/>
      </w:pPr>
      <w:r>
        <w:t>Two worker-restart and two duplicate-delivery tests.</w:t>
      </w:r>
    </w:p>
    <w:p>
      <w:pPr>
        <w:pStyle w:val="ListBullet"/>
        <w:spacing w:after="40"/>
      </w:pPr>
      <w:r>
        <w:t>Two successful full project deletions and one interrupted deletion recovery.</w:t>
      </w:r>
    </w:p>
    <w:p>
      <w:pPr>
        <w:pStyle w:val="ListBullet"/>
        <w:spacing w:after="40"/>
      </w:pPr>
      <w:r>
        <w:t>One application-owned health failure, one platform-owned failure and one transient cloud failure.</w:t>
      </w:r>
    </w:p>
    <w:p>
      <w:pPr>
        <w:pStyle w:val="ListBullet"/>
        <w:spacing w:after="40"/>
      </w:pPr>
      <w:r>
        <w:t>Zero duplicate applies, state collisions, stale workers, false cleanup actions or contradictory pages.</w:t>
      </w:r>
    </w:p>
    <w:p>
      <w:pPr>
        <w:pStyle w:val="ListBullet"/>
        <w:spacing w:after="40"/>
      </w:pPr>
      <w:r>
        <w:t>No Terraform, ECS, state or cloud cleanup instruction shown to the normal developer.</w:t>
      </w:r>
    </w:p>
    <w:p>
      <w:pPr>
        <w:pStyle w:val="Heading2"/>
        <w:spacing w:before="160" w:after="60"/>
        <w:keepNext/>
      </w:pPr>
      <w:r>
        <w:rPr>
          <w:color w:val="1D4ED8"/>
        </w:rPr>
        <w:t>14.3 Suggested operational SLOs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312"/>
            <w:shd w:fill="123B66"/>
            <w:vAlign w:val="center"/>
          </w:tcPr>
          <w:p>
            <w:pPr>
              <w:jc w:val="center"/>
            </w:pPr>
            <w:r>
              <w:rPr>
                <w:b/>
                <w:color w:val="FFFFFF"/>
                <w:sz w:val="17"/>
              </w:rPr>
              <w:t>Measure</w:t>
            </w:r>
          </w:p>
        </w:tc>
        <w:tc>
          <w:tcPr>
            <w:tcW w:type="dxa" w:w="6336"/>
            <w:shd w:fill="123B66"/>
            <w:vAlign w:val="center"/>
          </w:tcPr>
          <w:p>
            <w:pPr>
              <w:jc w:val="center"/>
            </w:pPr>
            <w:r>
              <w:rPr>
                <w:b/>
                <w:color w:val="FFFFFF"/>
                <w:sz w:val="17"/>
              </w:rPr>
              <w:t>Initial target</w:t>
            </w:r>
          </w:p>
        </w:tc>
      </w:tr>
      <w:tr>
        <w:trPr>
          <w:cantSplit/>
        </w:trPr>
        <w:tc>
          <w:tcPr>
            <w:tcW w:type="dxa" w:w="3312"/>
            <w:vAlign w:val="top"/>
          </w:tcPr>
          <w:p>
            <w:pPr>
              <w:spacing w:after="0"/>
            </w:pPr>
            <w:r>
              <w:rPr>
                <w:color w:val="1F2937"/>
                <w:sz w:val="17"/>
              </w:rPr>
              <w:t>Command acknowledgement</w:t>
            </w:r>
          </w:p>
        </w:tc>
        <w:tc>
          <w:tcPr>
            <w:tcW w:type="dxa" w:w="6336"/>
            <w:vAlign w:val="top"/>
          </w:tcPr>
          <w:p>
            <w:pPr>
              <w:spacing w:after="0"/>
            </w:pPr>
            <w:r>
              <w:rPr>
                <w:color w:val="1F2937"/>
                <w:sz w:val="17"/>
              </w:rPr>
              <w:t>95% under 1 second.</w:t>
            </w:r>
          </w:p>
        </w:tc>
      </w:tr>
      <w:tr>
        <w:trPr>
          <w:cantSplit/>
        </w:trPr>
        <w:tc>
          <w:tcPr>
            <w:tcW w:type="dxa" w:w="3312"/>
            <w:shd w:fill="F7F9FC"/>
            <w:vAlign w:val="top"/>
          </w:tcPr>
          <w:p>
            <w:pPr>
              <w:spacing w:after="0"/>
            </w:pPr>
            <w:r>
              <w:rPr>
                <w:color w:val="1F2937"/>
                <w:sz w:val="17"/>
              </w:rPr>
              <w:t>Canonical status freshness</w:t>
            </w:r>
          </w:p>
        </w:tc>
        <w:tc>
          <w:tcPr>
            <w:tcW w:type="dxa" w:w="6336"/>
            <w:shd w:fill="F7F9FC"/>
            <w:vAlign w:val="top"/>
          </w:tcPr>
          <w:p>
            <w:pPr>
              <w:spacing w:after="0"/>
            </w:pPr>
            <w:r>
              <w:rPr>
                <w:color w:val="1F2937"/>
                <w:sz w:val="17"/>
              </w:rPr>
              <w:t>Under 5 seconds while active.</w:t>
            </w:r>
          </w:p>
        </w:tc>
      </w:tr>
      <w:tr>
        <w:trPr>
          <w:cantSplit/>
        </w:trPr>
        <w:tc>
          <w:tcPr>
            <w:tcW w:type="dxa" w:w="3312"/>
            <w:vAlign w:val="top"/>
          </w:tcPr>
          <w:p>
            <w:pPr>
              <w:spacing w:after="0"/>
            </w:pPr>
            <w:r>
              <w:rPr>
                <w:color w:val="1F2937"/>
                <w:sz w:val="17"/>
              </w:rPr>
              <w:t>Duplicate apply rate</w:t>
            </w:r>
          </w:p>
        </w:tc>
        <w:tc>
          <w:tcPr>
            <w:tcW w:type="dxa" w:w="6336"/>
            <w:vAlign w:val="top"/>
          </w:tcPr>
          <w:p>
            <w:pPr>
              <w:spacing w:after="0"/>
            </w:pPr>
            <w:r>
              <w:rPr>
                <w:color w:val="1F2937"/>
                <w:sz w:val="17"/>
              </w:rPr>
              <w:t>0.</w:t>
            </w:r>
          </w:p>
        </w:tc>
      </w:tr>
      <w:tr>
        <w:trPr>
          <w:cantSplit/>
        </w:trPr>
        <w:tc>
          <w:tcPr>
            <w:tcW w:type="dxa" w:w="3312"/>
            <w:shd w:fill="F7F9FC"/>
            <w:vAlign w:val="top"/>
          </w:tcPr>
          <w:p>
            <w:pPr>
              <w:spacing w:after="0"/>
            </w:pPr>
            <w:r>
              <w:rPr>
                <w:color w:val="1F2937"/>
                <w:sz w:val="17"/>
              </w:rPr>
              <w:t>Deployment state contradiction rate</w:t>
            </w:r>
          </w:p>
        </w:tc>
        <w:tc>
          <w:tcPr>
            <w:tcW w:type="dxa" w:w="6336"/>
            <w:shd w:fill="F7F9FC"/>
            <w:vAlign w:val="top"/>
          </w:tcPr>
          <w:p>
            <w:pPr>
              <w:spacing w:after="0"/>
            </w:pPr>
            <w:r>
              <w:rPr>
                <w:color w:val="1F2937"/>
                <w:sz w:val="17"/>
              </w:rPr>
              <w:t>0 in release acceptance suite.</w:t>
            </w:r>
          </w:p>
        </w:tc>
      </w:tr>
      <w:tr>
        <w:trPr>
          <w:cantSplit/>
        </w:trPr>
        <w:tc>
          <w:tcPr>
            <w:tcW w:type="dxa" w:w="3312"/>
            <w:vAlign w:val="top"/>
          </w:tcPr>
          <w:p>
            <w:pPr>
              <w:spacing w:after="0"/>
            </w:pPr>
            <w:r>
              <w:rPr>
                <w:color w:val="1F2937"/>
                <w:sz w:val="17"/>
              </w:rPr>
              <w:t>Worker heartbeat freshness</w:t>
            </w:r>
          </w:p>
        </w:tc>
        <w:tc>
          <w:tcPr>
            <w:tcW w:type="dxa" w:w="6336"/>
            <w:vAlign w:val="top"/>
          </w:tcPr>
          <w:p>
            <w:pPr>
              <w:spacing w:after="0"/>
            </w:pPr>
            <w:r>
              <w:rPr>
                <w:color w:val="1F2937"/>
                <w:sz w:val="17"/>
              </w:rPr>
              <w:t>Under 30 seconds.</w:t>
            </w:r>
          </w:p>
        </w:tc>
      </w:tr>
      <w:tr>
        <w:trPr>
          <w:cantSplit/>
        </w:trPr>
        <w:tc>
          <w:tcPr>
            <w:tcW w:type="dxa" w:w="3312"/>
            <w:shd w:fill="F7F9FC"/>
            <w:vAlign w:val="top"/>
          </w:tcPr>
          <w:p>
            <w:pPr>
              <w:spacing w:after="0"/>
            </w:pPr>
            <w:r>
              <w:rPr>
                <w:color w:val="1F2937"/>
                <w:sz w:val="17"/>
              </w:rPr>
              <w:t>Deletion acknowledgement</w:t>
            </w:r>
          </w:p>
        </w:tc>
        <w:tc>
          <w:tcPr>
            <w:tcW w:type="dxa" w:w="6336"/>
            <w:shd w:fill="F7F9FC"/>
            <w:vAlign w:val="top"/>
          </w:tcPr>
          <w:p>
            <w:pPr>
              <w:spacing w:after="0"/>
            </w:pPr>
            <w:r>
              <w:rPr>
                <w:color w:val="1F2937"/>
                <w:sz w:val="17"/>
              </w:rPr>
              <w:t>Under 1 second with persistent progress.</w:t>
            </w:r>
          </w:p>
        </w:tc>
      </w:tr>
      <w:tr>
        <w:trPr>
          <w:cantSplit/>
        </w:trPr>
        <w:tc>
          <w:tcPr>
            <w:tcW w:type="dxa" w:w="3312"/>
            <w:vAlign w:val="top"/>
          </w:tcPr>
          <w:p>
            <w:pPr>
              <w:spacing w:after="0"/>
            </w:pPr>
            <w:r>
              <w:rPr>
                <w:color w:val="1F2937"/>
                <w:sz w:val="17"/>
              </w:rPr>
              <w:t>Recovery from duplicate delivery</w:t>
            </w:r>
          </w:p>
        </w:tc>
        <w:tc>
          <w:tcPr>
            <w:tcW w:type="dxa" w:w="6336"/>
            <w:vAlign w:val="top"/>
          </w:tcPr>
          <w:p>
            <w:pPr>
              <w:spacing w:after="0"/>
            </w:pPr>
            <w:r>
              <w:rPr>
                <w:color w:val="1F2937"/>
                <w:sz w:val="17"/>
              </w:rPr>
              <w:t>Automatic; no user action.</w:t>
            </w:r>
          </w:p>
        </w:tc>
      </w:tr>
      <w:tr>
        <w:trPr>
          <w:cantSplit/>
        </w:trPr>
        <w:tc>
          <w:tcPr>
            <w:tcW w:type="dxa" w:w="3312"/>
            <w:shd w:fill="F7F9FC"/>
            <w:vAlign w:val="top"/>
          </w:tcPr>
          <w:p>
            <w:pPr>
              <w:spacing w:after="0"/>
            </w:pPr>
            <w:r>
              <w:rPr>
                <w:color w:val="1F2937"/>
                <w:sz w:val="17"/>
              </w:rPr>
              <w:t>Developer-visible platform errors</w:t>
            </w:r>
          </w:p>
        </w:tc>
        <w:tc>
          <w:tcPr>
            <w:tcW w:type="dxa" w:w="6336"/>
            <w:shd w:fill="F7F9FC"/>
            <w:vAlign w:val="top"/>
          </w:tcPr>
          <w:p>
            <w:pPr>
              <w:spacing w:after="0"/>
            </w:pPr>
            <w:r>
              <w:rPr>
                <w:color w:val="1F2937"/>
                <w:sz w:val="17"/>
              </w:rPr>
              <w:t>Clear internal-error message with no cloud/DevOps action.</w:t>
            </w:r>
          </w:p>
        </w:tc>
      </w:tr>
    </w:tbl>
    <w:p>
      <w:pPr>
        <w:spacing w:after="0"/>
      </w:pPr>
    </w:p>
    <w:p>
      <w:pPr>
        <w:pStyle w:val="Heading1"/>
        <w:spacing w:before="240" w:after="100"/>
        <w:keepNext/>
      </w:pPr>
      <w:r>
        <w:rPr>
          <w:color w:val="123B66"/>
        </w:rPr>
        <w:t>15. Risks and Migration Strategy</w:t>
      </w:r>
    </w:p>
    <w:p>
      <w:pPr>
        <w:pStyle w:val="Heading2"/>
        <w:spacing w:before="160" w:after="60"/>
        <w:keepNext/>
      </w:pPr>
      <w:r>
        <w:rPr>
          <w:color w:val="1D4ED8"/>
        </w:rPr>
        <w:t>15.1 Key risks</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3312"/>
            <w:shd w:fill="123B66"/>
            <w:vAlign w:val="center"/>
          </w:tcPr>
          <w:p>
            <w:pPr>
              <w:jc w:val="center"/>
            </w:pPr>
            <w:r>
              <w:rPr>
                <w:b/>
                <w:color w:val="FFFFFF"/>
                <w:sz w:val="16"/>
              </w:rPr>
              <w:t>Risk</w:t>
            </w:r>
          </w:p>
        </w:tc>
        <w:tc>
          <w:tcPr>
            <w:tcW w:type="dxa" w:w="6336"/>
            <w:shd w:fill="123B66"/>
            <w:vAlign w:val="center"/>
          </w:tcPr>
          <w:p>
            <w:pPr>
              <w:jc w:val="center"/>
            </w:pPr>
            <w:r>
              <w:rPr>
                <w:b/>
                <w:color w:val="FFFFFF"/>
                <w:sz w:val="16"/>
              </w:rPr>
              <w:t>Mitigation</w:t>
            </w:r>
          </w:p>
        </w:tc>
      </w:tr>
      <w:tr>
        <w:trPr>
          <w:cantSplit/>
        </w:trPr>
        <w:tc>
          <w:tcPr>
            <w:tcW w:type="dxa" w:w="3312"/>
            <w:vAlign w:val="top"/>
          </w:tcPr>
          <w:p>
            <w:pPr>
              <w:spacing w:after="0"/>
            </w:pPr>
            <w:r>
              <w:rPr>
                <w:color w:val="1F2937"/>
                <w:sz w:val="16"/>
              </w:rPr>
              <w:t>Multiple existing state interpretations</w:t>
            </w:r>
          </w:p>
        </w:tc>
        <w:tc>
          <w:tcPr>
            <w:tcW w:type="dxa" w:w="6336"/>
            <w:vAlign w:val="top"/>
          </w:tcPr>
          <w:p>
            <w:pPr>
              <w:spacing w:after="0"/>
            </w:pPr>
            <w:r>
              <w:rPr>
                <w:color w:val="1F2937"/>
                <w:sz w:val="16"/>
              </w:rPr>
              <w:t>Introduce canonical projection first; keep legacy views read-only until retired.</w:t>
            </w:r>
          </w:p>
        </w:tc>
      </w:tr>
      <w:tr>
        <w:trPr>
          <w:cantSplit/>
        </w:trPr>
        <w:tc>
          <w:tcPr>
            <w:tcW w:type="dxa" w:w="3312"/>
            <w:shd w:fill="F7F9FC"/>
            <w:vAlign w:val="top"/>
          </w:tcPr>
          <w:p>
            <w:pPr>
              <w:spacing w:after="0"/>
            </w:pPr>
            <w:r>
              <w:rPr>
                <w:color w:val="1F2937"/>
                <w:sz w:val="16"/>
              </w:rPr>
              <w:t>Historical runs and cleanup records</w:t>
            </w:r>
          </w:p>
        </w:tc>
        <w:tc>
          <w:tcPr>
            <w:tcW w:type="dxa" w:w="6336"/>
            <w:shd w:fill="F7F9FC"/>
            <w:vAlign w:val="top"/>
          </w:tcPr>
          <w:p>
            <w:pPr>
              <w:spacing w:after="0"/>
            </w:pPr>
            <w:r>
              <w:rPr>
                <w:color w:val="1F2937"/>
                <w:sz w:val="16"/>
              </w:rPr>
              <w:t>Preserve as audit evidence but exclude them from current-state decisions.</w:t>
            </w:r>
          </w:p>
        </w:tc>
      </w:tr>
      <w:tr>
        <w:trPr>
          <w:cantSplit/>
        </w:trPr>
        <w:tc>
          <w:tcPr>
            <w:tcW w:type="dxa" w:w="3312"/>
            <w:vAlign w:val="top"/>
          </w:tcPr>
          <w:p>
            <w:pPr>
              <w:spacing w:after="0"/>
            </w:pPr>
            <w:r>
              <w:rPr>
                <w:color w:val="1F2937"/>
                <w:sz w:val="16"/>
              </w:rPr>
              <w:t>Stale worker processes</w:t>
            </w:r>
          </w:p>
        </w:tc>
        <w:tc>
          <w:tcPr>
            <w:tcW w:type="dxa" w:w="6336"/>
            <w:vAlign w:val="top"/>
          </w:tcPr>
          <w:p>
            <w:pPr>
              <w:spacing w:after="0"/>
            </w:pPr>
            <w:r>
              <w:rPr>
                <w:color w:val="1F2937"/>
                <w:sz w:val="16"/>
              </w:rPr>
              <w:t>Version compatibility and heartbeat gate before job claim.</w:t>
            </w:r>
          </w:p>
        </w:tc>
      </w:tr>
      <w:tr>
        <w:trPr>
          <w:cantSplit/>
        </w:trPr>
        <w:tc>
          <w:tcPr>
            <w:tcW w:type="dxa" w:w="3312"/>
            <w:shd w:fill="F7F9FC"/>
            <w:vAlign w:val="top"/>
          </w:tcPr>
          <w:p>
            <w:pPr>
              <w:spacing w:after="0"/>
            </w:pPr>
            <w:r>
              <w:rPr>
                <w:color w:val="1F2937"/>
                <w:sz w:val="16"/>
              </w:rPr>
              <w:t>Terraform workspace collisions</w:t>
            </w:r>
          </w:p>
        </w:tc>
        <w:tc>
          <w:tcPr>
            <w:tcW w:type="dxa" w:w="6336"/>
            <w:shd w:fill="F7F9FC"/>
            <w:vAlign w:val="top"/>
          </w:tcPr>
          <w:p>
            <w:pPr>
              <w:spacing w:after="0"/>
            </w:pPr>
            <w:r>
              <w:rPr>
                <w:color w:val="1F2937"/>
                <w:sz w:val="16"/>
              </w:rPr>
              <w:t>Unique run workspace and exact plan-path identity.</w:t>
            </w:r>
          </w:p>
        </w:tc>
      </w:tr>
      <w:tr>
        <w:trPr>
          <w:cantSplit/>
        </w:trPr>
        <w:tc>
          <w:tcPr>
            <w:tcW w:type="dxa" w:w="3312"/>
            <w:vAlign w:val="top"/>
          </w:tcPr>
          <w:p>
            <w:pPr>
              <w:spacing w:after="0"/>
            </w:pPr>
            <w:r>
              <w:rPr>
                <w:color w:val="1F2937"/>
                <w:sz w:val="16"/>
              </w:rPr>
              <w:t>Existing infrastructure drift</w:t>
            </w:r>
          </w:p>
        </w:tc>
        <w:tc>
          <w:tcPr>
            <w:tcW w:type="dxa" w:w="6336"/>
            <w:vAlign w:val="top"/>
          </w:tcPr>
          <w:p>
            <w:pPr>
              <w:spacing w:after="0"/>
            </w:pPr>
            <w:r>
              <w:rPr>
                <w:color w:val="1F2937"/>
                <w:sz w:val="16"/>
              </w:rPr>
              <w:t>Reconciler compares database, state and observed AWS before any mutation.</w:t>
            </w:r>
          </w:p>
        </w:tc>
      </w:tr>
      <w:tr>
        <w:trPr>
          <w:cantSplit/>
        </w:trPr>
        <w:tc>
          <w:tcPr>
            <w:tcW w:type="dxa" w:w="3312"/>
            <w:shd w:fill="F7F9FC"/>
            <w:vAlign w:val="top"/>
          </w:tcPr>
          <w:p>
            <w:pPr>
              <w:spacing w:after="0"/>
            </w:pPr>
            <w:r>
              <w:rPr>
                <w:color w:val="1F2937"/>
                <w:sz w:val="16"/>
              </w:rPr>
              <w:t>Broad UI rewrite before backend correctness</w:t>
            </w:r>
          </w:p>
        </w:tc>
        <w:tc>
          <w:tcPr>
            <w:tcW w:type="dxa" w:w="6336"/>
            <w:shd w:fill="F7F9FC"/>
            <w:vAlign w:val="top"/>
          </w:tcPr>
          <w:p>
            <w:pPr>
              <w:spacing w:after="0"/>
            </w:pPr>
            <w:r>
              <w:rPr>
                <w:color w:val="1F2937"/>
                <w:sz w:val="16"/>
              </w:rPr>
              <w:t>Delay visual simplification until canonical state and actions are stable.</w:t>
            </w:r>
          </w:p>
        </w:tc>
      </w:tr>
      <w:tr>
        <w:trPr>
          <w:cantSplit/>
        </w:trPr>
        <w:tc>
          <w:tcPr>
            <w:tcW w:type="dxa" w:w="3312"/>
            <w:vAlign w:val="top"/>
          </w:tcPr>
          <w:p>
            <w:pPr>
              <w:spacing w:after="0"/>
            </w:pPr>
            <w:r>
              <w:rPr>
                <w:color w:val="1F2937"/>
                <w:sz w:val="16"/>
              </w:rPr>
              <w:t>Deletion data loss</w:t>
            </w:r>
          </w:p>
        </w:tc>
        <w:tc>
          <w:tcPr>
            <w:tcW w:type="dxa" w:w="6336"/>
            <w:vAlign w:val="top"/>
          </w:tcPr>
          <w:p>
            <w:pPr>
              <w:spacing w:after="0"/>
            </w:pPr>
            <w:r>
              <w:rPr>
                <w:color w:val="1F2937"/>
                <w:sz w:val="16"/>
              </w:rPr>
              <w:t>One confirmation clearly states managed database data removal; admin backup policy remains configurable.</w:t>
            </w:r>
          </w:p>
        </w:tc>
      </w:tr>
      <w:tr>
        <w:trPr>
          <w:cantSplit/>
        </w:trPr>
        <w:tc>
          <w:tcPr>
            <w:tcW w:type="dxa" w:w="3312"/>
            <w:shd w:fill="F7F9FC"/>
            <w:vAlign w:val="top"/>
          </w:tcPr>
          <w:p>
            <w:pPr>
              <w:spacing w:after="0"/>
            </w:pPr>
            <w:r>
              <w:rPr>
                <w:color w:val="1F2937"/>
                <w:sz w:val="16"/>
              </w:rPr>
              <w:t>False confidence from mocked tests</w:t>
            </w:r>
          </w:p>
        </w:tc>
        <w:tc>
          <w:tcPr>
            <w:tcW w:type="dxa" w:w="6336"/>
            <w:shd w:fill="F7F9FC"/>
            <w:vAlign w:val="top"/>
          </w:tcPr>
          <w:p>
            <w:pPr>
              <w:spacing w:after="0"/>
            </w:pPr>
            <w:r>
              <w:rPr>
                <w:color w:val="1F2937"/>
                <w:sz w:val="16"/>
              </w:rPr>
              <w:t>Require real PostgreSQL/Redis concurrency and controlled AWS end-to-end proof.</w:t>
            </w:r>
          </w:p>
        </w:tc>
      </w:tr>
    </w:tbl>
    <w:p>
      <w:pPr>
        <w:spacing w:after="0"/>
      </w:pPr>
    </w:p>
    <w:p>
      <w:pPr>
        <w:pStyle w:val="Heading2"/>
        <w:spacing w:before="160" w:after="60"/>
        <w:keepNext/>
      </w:pPr>
      <w:r>
        <w:rPr>
          <w:color w:val="1D4ED8"/>
        </w:rPr>
        <w:t>15.2 Migration approach</w:t>
      </w:r>
    </w:p>
    <w:p>
      <w:pPr>
        <w:spacing w:after="60"/>
        <w:ind w:left="259" w:hanging="259"/>
      </w:pPr>
      <w:r>
        <w:rPr>
          <w:b/>
        </w:rPr>
        <w:t xml:space="preserve">1. </w:t>
      </w:r>
      <w:r>
        <w:t>Freeze the existing developer deployment controls while preserving administrative investigation access.</w:t>
      </w:r>
    </w:p>
    <w:p>
      <w:pPr>
        <w:spacing w:after="60"/>
        <w:ind w:left="259" w:hanging="259"/>
      </w:pPr>
      <w:r>
        <w:rPr>
          <w:b/>
        </w:rPr>
        <w:t xml:space="preserve">2. </w:t>
      </w:r>
      <w:r>
        <w:t>Introduce canonical state alongside existing projections and compare results in shadow mode.</w:t>
      </w:r>
    </w:p>
    <w:p>
      <w:pPr>
        <w:spacing w:after="60"/>
        <w:ind w:left="259" w:hanging="259"/>
      </w:pPr>
      <w:r>
        <w:rPr>
          <w:b/>
        </w:rPr>
        <w:t xml:space="preserve">3. </w:t>
      </w:r>
      <w:r>
        <w:t>Move all pages to the canonical API after consistency tests pass.</w:t>
      </w:r>
    </w:p>
    <w:p>
      <w:pPr>
        <w:spacing w:after="60"/>
        <w:ind w:left="259" w:hanging="259"/>
      </w:pPr>
      <w:r>
        <w:rPr>
          <w:b/>
        </w:rPr>
        <w:t xml:space="preserve">4. </w:t>
      </w:r>
      <w:r>
        <w:t>Enforce worker versioning, idempotency and run-isolated workspaces.</w:t>
      </w:r>
    </w:p>
    <w:p>
      <w:pPr>
        <w:spacing w:after="60"/>
        <w:ind w:left="259" w:hanging="259"/>
      </w:pPr>
      <w:r>
        <w:rPr>
          <w:b/>
        </w:rPr>
        <w:t xml:space="preserve">5. </w:t>
      </w:r>
      <w:r>
        <w:t>Expose one-click deploy and deletion while keeping Terraform details admin-only.</w:t>
      </w:r>
    </w:p>
    <w:p>
      <w:pPr>
        <w:spacing w:after="60"/>
        <w:ind w:left="259" w:hanging="259"/>
      </w:pPr>
      <w:r>
        <w:rPr>
          <w:b/>
        </w:rPr>
        <w:t xml:space="preserve">6. </w:t>
      </w:r>
      <w:r>
        <w:t>Retire legacy recovery/cleanup actions only after the replacement workflows pass system tests.</w:t>
      </w:r>
    </w:p>
    <w:p>
      <w:pPr>
        <w:spacing w:after="60"/>
        <w:ind w:left="259" w:hanging="259"/>
      </w:pPr>
      <w:r>
        <w:rPr>
          <w:b/>
        </w:rPr>
        <w:t xml:space="preserve">7. </w:t>
      </w:r>
      <w:r>
        <w:t>Re-enable general deployments after the release gate succeeds.</w:t>
      </w:r>
    </w:p>
    <w:p>
      <w:pPr>
        <w:pStyle w:val="Heading1"/>
        <w:spacing w:before="240" w:after="100"/>
        <w:keepNext/>
      </w:pPr>
      <w:r>
        <w:rPr>
          <w:color w:val="123B66"/>
        </w:rPr>
        <w:t>16. Final Target State</w:t>
      </w:r>
    </w:p>
    <w:tbl>
      <w:tblPr>
        <w:tblW w:type="auto" w:w="0"/>
        <w:jc w:val="center"/>
        <w:tblLayout w:type="autofit"/>
        <w:tblLook w:firstColumn="1" w:firstRow="1" w:lastColumn="0" w:lastRow="0" w:noHBand="0" w:noVBand="1" w:val="04A0"/>
      </w:tblPr>
      <w:tblGrid>
        <w:gridCol w:w="9972"/>
      </w:tblGrid>
      <w:tr>
        <w:trPr>
          <w:cantSplit/>
        </w:trPr>
        <w:tc>
          <w:tcPr>
            <w:tcW w:type="dxa" w:w="9972"/>
            <w:shd w:fill="EAF7EF"/>
            <w:tcBorders>
              <w:top w:val="single" w:sz="8" w:color="123B66"/>
              <w:left w:val="single" w:sz="8" w:color="123B66"/>
              <w:bottom w:val="single" w:sz="8" w:color="123B66"/>
              <w:right w:val="single" w:sz="8" w:color="123B66"/>
            </w:tcBorders>
          </w:tcPr>
          <w:p>
            <w:pPr>
              <w:spacing w:after="0"/>
            </w:pPr>
            <w:r>
              <w:rPr>
                <w:b/>
                <w:color w:val="123B66"/>
              </w:rPr>
              <w:t>Developer experience</w:t>
              <w:br/>
            </w:r>
            <w:r>
              <w:t>Connect repository -&gt; provide unresolved application value -&gt; click Deploy -&gt; see five understandable phases -&gt; receive live URL.</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E8F1FB"/>
            <w:tcBorders>
              <w:top w:val="single" w:sz="8" w:color="123B66"/>
              <w:left w:val="single" w:sz="8" w:color="123B66"/>
              <w:bottom w:val="single" w:sz="8" w:color="123B66"/>
              <w:right w:val="single" w:sz="8" w:color="123B66"/>
            </w:tcBorders>
          </w:tcPr>
          <w:p>
            <w:pPr>
              <w:spacing w:after="0"/>
            </w:pPr>
            <w:r>
              <w:rPr>
                <w:b/>
                <w:color w:val="123B66"/>
              </w:rPr>
              <w:t>Platform responsibility</w:t>
              <w:br/>
            </w:r>
            <w:r>
              <w:t>DeployGuard owns configuration resolution, build, security, Terraform, state, concurrency, managed PostgreSQL, ECS, health verification, recovery, deletion and cloud reconciliation.</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FFF7ED"/>
            <w:tcBorders>
              <w:top w:val="single" w:sz="8" w:color="123B66"/>
              <w:left w:val="single" w:sz="8" w:color="123B66"/>
              <w:bottom w:val="single" w:sz="8" w:color="123B66"/>
              <w:right w:val="single" w:sz="8" w:color="123B66"/>
            </w:tcBorders>
          </w:tcPr>
          <w:p>
            <w:pPr>
              <w:spacing w:after="0"/>
            </w:pPr>
            <w:r>
              <w:rPr>
                <w:b/>
                <w:color w:val="123B66"/>
              </w:rPr>
              <w:t>Failure boundary</w:t>
              <w:br/>
            </w:r>
            <w:r>
              <w:t>When the application is wrong, show the developer an application-level correction. When DeployGuard or AWS is wrong, preserve resources and resolve or escalate internally without exposing DevOps operations.</w:t>
            </w:r>
          </w:p>
        </w:tc>
      </w:tr>
    </w:tbl>
    <w:p>
      <w:pPr>
        <w:spacing w:after="0"/>
      </w:pPr>
    </w:p>
    <w:p>
      <w:pPr>
        <w:spacing w:after="100" w:line="259" w:lineRule="auto"/>
      </w:pPr>
      <w:r>
        <w:t>The resulting platform remains technically sophisticated underneath, but the normal developer experience is intentionally simple. This is the correct boundary for a Railway-like PaaS and the necessary direction for DeployGuard to become predictable, supportable and appropriate for developers with no cloud or DevOps experience.</w:t>
      </w:r>
    </w:p>
    <w:p>
      <w:pPr>
        <w:spacing w:before="360"/>
        <w:jc w:val="center"/>
      </w:pPr>
      <w:r>
        <w:rPr>
          <w:i/>
          <w:color w:val="5B6573"/>
        </w:rPr>
        <w:t>End of report</w:t>
      </w:r>
    </w:p>
    <w:sectPr w:rsidR="00FC693F" w:rsidRPr="0006063C"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DeployGuard | Railway-Like Clean Backend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6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DeployGuard Railway-Like Clean Backend Architecture Report</dc:title>
  <dc:subject>One-click PaaS backend architecture and implementation roadmap</dc:subject>
  <dc:creator>DeployGuard Architecture Team</dc:creator>
  <cp:keywords>DeployGuard, PaaS, Railway-like, Terraform, ECS, architecture, DevOps, one-click deploy</cp:keywords>
  <dc:description>generated by python-docx</dc:description>
  <cp:lastModifiedBy/>
  <cp:revision>1</cp:revision>
  <dcterms:created xsi:type="dcterms:W3CDTF">2013-12-23T23:15:00Z</dcterms:created>
  <dcterms:modified xsi:type="dcterms:W3CDTF">2013-12-23T23:15:00Z</dcterms:modified>
  <cp:category/>
</cp:coreProperties>
</file>