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Caps"/>
        <w:jc w:val="center"/>
      </w:pPr>
      <w:r>
        <w:t>ARCHITECTURE AND IMPLEMENTATION REPORT</w:t>
      </w:r>
    </w:p>
    <w:p>
      <w:pPr>
        <w:pStyle w:val="CoverTitle"/>
        <w:jc w:val="center"/>
      </w:pPr>
      <w:r>
        <w:t>DeployGuard Railway-Like</w:t>
        <w:br/>
        <w:t>Two-Lane PaaS Architecture</w:t>
      </w:r>
    </w:p>
    <w:p>
      <w:pPr>
        <w:pStyle w:val="CoverSubtitle"/>
        <w:jc w:val="center"/>
      </w:pPr>
      <w:r>
        <w:t>One-click deployment for developers, fast releases for every push, and Terraform only for genuine infrastructure changes</w:t>
      </w:r>
    </w:p>
    <w:p/>
    <w:p>
      <w:pPr>
        <w:jc w:val="center"/>
      </w:pPr>
      <w:r>
        <w:rPr>
          <w:b/>
        </w:rPr>
        <w:t>Version 2.0  |  July 2026</w:t>
      </w:r>
    </w:p>
    <w:p>
      <w:r>
        <w:drawing>
          <wp:inline xmlns:a="http://schemas.openxmlformats.org/drawingml/2006/main" xmlns:pic="http://schemas.openxmlformats.org/drawingml/2006/picture">
            <wp:extent cx="6446520" cy="4388048"/>
            <wp:docPr id="1" name="Picture 1"/>
            <wp:cNvGraphicFramePr>
              <a:graphicFrameLocks noChangeAspect="1"/>
            </wp:cNvGraphicFramePr>
            <a:graphic>
              <a:graphicData uri="http://schemas.openxmlformats.org/drawingml/2006/picture">
                <pic:pic>
                  <pic:nvPicPr>
                    <pic:cNvPr id="0" name="deployguard_two_lane_architecture.png"/>
                    <pic:cNvPicPr/>
                  </pic:nvPicPr>
                  <pic:blipFill>
                    <a:blip r:embed="rId11"/>
                    <a:stretch>
                      <a:fillRect/>
                    </a:stretch>
                  </pic:blipFill>
                  <pic:spPr>
                    <a:xfrm>
                      <a:off x="0" y="0"/>
                      <a:ext cx="6446520" cy="4388048"/>
                    </a:xfrm>
                    <a:prstGeom prst="rect"/>
                  </pic:spPr>
                </pic:pic>
              </a:graphicData>
            </a:graphic>
          </wp:inline>
        </w:drawing>
      </w:r>
    </w:p>
    <w:p>
      <w:pPr>
        <w:jc w:val="center"/>
      </w:pPr>
      <w:r>
        <w:rPr>
          <w:i/>
          <w:color w:val="667085"/>
          <w:sz w:val="17"/>
        </w:rPr>
        <w:t>Figure 1. Target DeployGuard architecture with separate release and infrastructure lanes.</w:t>
      </w:r>
    </w:p>
    <w:tbl>
      <w:tblPr>
        <w:tblW w:type="auto" w:w="0"/>
        <w:jc w:val="center"/>
        <w:tblLook w:firstColumn="1" w:firstRow="1" w:lastColumn="0" w:lastRow="0" w:noHBand="0" w:noVBand="1" w:val="04A0"/>
      </w:tblPr>
      <w:tblGrid>
        <w:gridCol w:w="10166"/>
      </w:tblGrid>
      <w:tr>
        <w:tc>
          <w:tcPr>
            <w:tcW w:type="dxa" w:w="10166"/>
            <w:shd w:fill="EAF8F4"/>
            <w:tcBorders>
              <w:top w:val="single" w:sz="8" w:color="0F766E"/>
              <w:left w:val="single" w:sz="8" w:color="0F766E"/>
              <w:bottom w:val="single" w:sz="8" w:color="0F766E"/>
              <w:right w:val="single" w:sz="8" w:color="0F766E"/>
              <w:insideH w:val="single" w:sz="8" w:color="0F766E"/>
              <w:insideV w:val="single" w:sz="8" w:color="0F766E"/>
            </w:tcBorders>
          </w:tcPr>
          <w:p>
            <w:pPr>
              <w:spacing w:after="0"/>
            </w:pPr>
            <w:r>
              <w:rPr>
                <w:b/>
                <w:color w:val="0F766E"/>
              </w:rPr>
              <w:t>Core product promise</w:t>
              <w:br/>
            </w:r>
            <w:r>
              <w:t>A developer connects a repository, supplies only unresolved application-owned values, clicks Deploy, and receives a live URL. Terraform, ECS, networking, cloud state, retries, and cleanup remain platform-owned.</w:t>
            </w:r>
          </w:p>
        </w:tc>
      </w:tr>
    </w:tbl>
    <w:p>
      <w:pPr>
        <w:spacing w:after="0"/>
      </w:pPr>
    </w:p>
    <w:p>
      <w:r>
        <w:br w:type="page"/>
      </w:r>
    </w:p>
    <w:p>
      <w:pPr>
        <w:pStyle w:val="Heading1"/>
        <w:keepNext/>
      </w:pPr>
      <w:r>
        <w:rPr>
          <w:color w:val="102A43"/>
        </w:rPr>
        <w:t>1. Executive Summary</w:t>
      </w:r>
    </w:p>
    <w:p>
      <w:r>
        <w:t>DeployGuard should operate as a Railway-like platform rather than a visible Terraform workflow. The central architectural decision is to split deployment into two internal lanes: a frequent release lane for ordinary code pushes and a rare infrastructure lane for genuine cloud topology changes. Both lanes converge on a long-lived ECS service, but only the infrastructure lane uses Terraform.</w:t>
      </w:r>
    </w:p>
    <w:tbl>
      <w:tblPr>
        <w:tblW w:type="auto" w:w="0"/>
        <w:jc w:val="center"/>
        <w:tblLook w:firstColumn="1" w:firstRow="1" w:lastColumn="0" w:lastRow="0" w:noHBand="0" w:noVBand="1" w:val="04A0"/>
      </w:tblPr>
      <w:tblGrid>
        <w:gridCol w:w="10166"/>
      </w:tblGrid>
      <w:tr>
        <w:tc>
          <w:tcPr>
            <w:tcW w:type="dxa" w:w="10166"/>
            <w:shd w:fill="ECFDF3"/>
            <w:tcBorders>
              <w:top w:val="single" w:sz="8" w:color="15803D"/>
              <w:left w:val="single" w:sz="8" w:color="15803D"/>
              <w:bottom w:val="single" w:sz="8" w:color="15803D"/>
              <w:right w:val="single" w:sz="8" w:color="15803D"/>
              <w:insideH w:val="single" w:sz="8" w:color="15803D"/>
              <w:insideV w:val="single" w:sz="8" w:color="15803D"/>
            </w:tcBorders>
          </w:tcPr>
          <w:p>
            <w:pPr>
              <w:spacing w:after="0"/>
            </w:pPr>
            <w:r>
              <w:rPr>
                <w:b/>
                <w:color w:val="15803D"/>
              </w:rPr>
              <w:t>Architecture decision</w:t>
              <w:br/>
            </w:r>
            <w:r>
              <w:t>Do not run Terraform for every commit. A normal release builds an image, pushes it to ECR, registers a new task-definition revision, updates the existing ECS service, verifies health, and promotes the release. Terraform runs only when the desired infrastructure changes.</w:t>
            </w:r>
          </w:p>
        </w:tc>
      </w:tr>
    </w:tbl>
    <w:p>
      <w:pPr>
        <w:spacing w:after="0"/>
      </w:pPr>
    </w:p>
    <w:p>
      <w:pPr>
        <w:pStyle w:val="Heading2"/>
        <w:keepNext/>
      </w:pPr>
      <w:r>
        <w:rPr>
          <w:color w:val="0F766E"/>
        </w:rPr>
        <w:t>Expected outcome</w:t>
      </w:r>
    </w:p>
    <w:p>
      <w:pPr>
        <w:pStyle w:val="ListBullet"/>
        <w:spacing w:after="40"/>
      </w:pPr>
      <w:r>
        <w:t>Code pushes become fast and predictable because they avoid full infrastructure planning and state locking.</w:t>
      </w:r>
    </w:p>
    <w:p>
      <w:pPr>
        <w:pStyle w:val="ListBullet"/>
        <w:spacing w:after="40"/>
      </w:pPr>
      <w:r>
        <w:t>Frequent builds may run concurrently, while release promotion is serialized per project and environment.</w:t>
      </w:r>
    </w:p>
    <w:p>
      <w:pPr>
        <w:pStyle w:val="ListBullet"/>
        <w:spacing w:after="40"/>
      </w:pPr>
      <w:r>
        <w:t>The developer never sees Terraform plans, state refreshes, residue, ECS task definitions, Cloud Map, or cleanup internals.</w:t>
      </w:r>
    </w:p>
    <w:p>
      <w:pPr>
        <w:pStyle w:val="ListBullet"/>
        <w:spacing w:after="40"/>
      </w:pPr>
      <w:r>
        <w:t>Infrastructure remains safely managed through an exclusive infrastructure lane with exact-plan identity and remote-state locking.</w:t>
      </w:r>
    </w:p>
    <w:p>
      <w:pPr>
        <w:pStyle w:val="ListBullet"/>
        <w:spacing w:after="40"/>
      </w:pPr>
      <w:r>
        <w:t>All pages consume one canonical deployment state, preventing contradictory statuses and false recovery actions.</w:t>
      </w:r>
    </w:p>
    <w:p>
      <w:pPr>
        <w:pStyle w:val="Heading1"/>
        <w:keepNext/>
      </w:pPr>
      <w:r>
        <w:rPr>
          <w:color w:val="102A43"/>
        </w:rPr>
        <w:t>2. Design Goals and Non-Goals</w:t>
      </w:r>
    </w:p>
    <w:p>
      <w:pPr>
        <w:pStyle w:val="Heading2"/>
        <w:keepNext/>
      </w:pPr>
      <w:r>
        <w:rPr>
          <w:color w:val="0F766E"/>
        </w:rPr>
        <w:t>Primary goals</w:t>
      </w:r>
    </w:p>
    <w:p>
      <w:pPr>
        <w:pStyle w:val="ListBullet"/>
        <w:spacing w:after="40"/>
      </w:pPr>
      <w:r>
        <w:t>One-click deployment for a developer with zero cloud or DevOps experience.</w:t>
      </w:r>
    </w:p>
    <w:p>
      <w:pPr>
        <w:pStyle w:val="ListBullet"/>
        <w:spacing w:after="40"/>
      </w:pPr>
      <w:r>
        <w:t>Fast release path for normal code changes.</w:t>
      </w:r>
    </w:p>
    <w:p>
      <w:pPr>
        <w:pStyle w:val="ListBullet"/>
        <w:spacing w:after="40"/>
      </w:pPr>
      <w:r>
        <w:t>Deterministic classification of release-only, infrastructure, and no-op changes.</w:t>
      </w:r>
    </w:p>
    <w:p>
      <w:pPr>
        <w:pStyle w:val="ListBullet"/>
        <w:spacing w:after="40"/>
      </w:pPr>
      <w:r>
        <w:t>Safe concurrency: parallel builds, one release promotion, one infrastructure mutation.</w:t>
      </w:r>
    </w:p>
    <w:p>
      <w:pPr>
        <w:pStyle w:val="ListBullet"/>
        <w:spacing w:after="40"/>
      </w:pPr>
      <w:r>
        <w:t>Automatic recovery for platform-owned failures.</w:t>
      </w:r>
    </w:p>
    <w:p>
      <w:pPr>
        <w:pStyle w:val="ListBullet"/>
        <w:spacing w:after="40"/>
      </w:pPr>
      <w:r>
        <w:t>One-click project deletion with durable progress and backend verification.</w:t>
      </w:r>
    </w:p>
    <w:p>
      <w:pPr>
        <w:pStyle w:val="ListBullet"/>
        <w:spacing w:after="40"/>
      </w:pPr>
      <w:r>
        <w:t>Consistent status, progress, timestamps, and actions across the entire UI.</w:t>
      </w:r>
    </w:p>
    <w:p>
      <w:pPr>
        <w:pStyle w:val="Heading2"/>
        <w:keepNext/>
      </w:pPr>
      <w:r>
        <w:rPr>
          <w:color w:val="0F766E"/>
        </w:rPr>
        <w:t>Explicit non-goals</w:t>
      </w:r>
    </w:p>
    <w:p>
      <w:pPr>
        <w:pStyle w:val="ListBullet"/>
        <w:spacing w:after="40"/>
      </w:pPr>
      <w:r>
        <w:t>Exposing Terraform or AWS operations to the normal developer.</w:t>
      </w:r>
    </w:p>
    <w:p>
      <w:pPr>
        <w:pStyle w:val="ListBullet"/>
        <w:spacing w:after="40"/>
      </w:pPr>
      <w:r>
        <w:t>Requiring users to approve technical infrastructure plans for ordinary deployment.</w:t>
      </w:r>
    </w:p>
    <w:p>
      <w:pPr>
        <w:pStyle w:val="ListBullet"/>
        <w:spacing w:after="40"/>
      </w:pPr>
      <w:r>
        <w:t>Using stage count as user-facing progress.</w:t>
      </w:r>
    </w:p>
    <w:p>
      <w:pPr>
        <w:pStyle w:val="ListBullet"/>
        <w:spacing w:after="40"/>
      </w:pPr>
      <w:r>
        <w:t>Allowing independent UI pages to infer status from partial events.</w:t>
      </w:r>
    </w:p>
    <w:p>
      <w:pPr>
        <w:pStyle w:val="ListBullet"/>
        <w:spacing w:after="40"/>
      </w:pPr>
      <w:r>
        <w:t>Treating a build artifact as proof that current infrastructure and runtime configuration are valid.</w:t>
      </w:r>
    </w:p>
    <w:p>
      <w:r>
        <w:br w:type="page"/>
      </w:r>
    </w:p>
    <w:p>
      <w:pPr>
        <w:pStyle w:val="Heading1"/>
        <w:keepNext/>
      </w:pPr>
      <w:r>
        <w:rPr>
          <w:color w:val="102A43"/>
        </w:rPr>
        <w:t>3. Developer Experience Model</w:t>
      </w:r>
    </w:p>
    <w:tbl>
      <w:tblPr>
        <w:tblW w:type="auto" w:w="0"/>
        <w:jc w:val="center"/>
        <w:tblLook w:firstColumn="1" w:firstRow="1" w:lastColumn="0" w:lastRow="0" w:noHBand="0" w:noVBand="1" w:val="04A0"/>
      </w:tblPr>
      <w:tblGrid>
        <w:gridCol w:w="1130"/>
        <w:gridCol w:w="1130"/>
        <w:gridCol w:w="1130"/>
        <w:gridCol w:w="1130"/>
        <w:gridCol w:w="1130"/>
        <w:gridCol w:w="1130"/>
        <w:gridCol w:w="1130"/>
        <w:gridCol w:w="1130"/>
        <w:gridCol w:w="1130"/>
      </w:tblGrid>
      <w:tr>
        <w:tc>
          <w:tcPr>
            <w:tcW w:type="dxa" w:w="1130"/>
            <w:shd w:fill="EAF2FF"/>
            <w:tcBorders>
              <w:top w:val="single" w:sz="6" w:color="D0D5DD"/>
              <w:left w:val="single" w:sz="6" w:color="D0D5DD"/>
              <w:bottom w:val="single" w:sz="6" w:color="D0D5DD"/>
              <w:right w:val="single" w:sz="6" w:color="D0D5DD"/>
              <w:insideH w:val="single" w:sz="6" w:color="D0D5DD"/>
              <w:insideV w:val="single" w:sz="6" w:color="D0D5DD"/>
            </w:tcBorders>
            <w:vAlign w:val="center"/>
          </w:tcPr>
          <w:p>
            <w:pPr>
              <w:spacing w:after="0"/>
              <w:jc w:val="center"/>
            </w:pPr>
            <w:r>
              <w:rPr>
                <w:b/>
                <w:sz w:val="18"/>
              </w:rPr>
              <w:t>Connect repository</w:t>
            </w:r>
          </w:p>
        </w:tc>
        <w:tc>
          <w:tcPr>
            <w:tcW w:type="dxa" w:w="1130"/>
            <w:vAlign w:val="center"/>
          </w:tcPr>
          <w:p>
            <w:pPr>
              <w:spacing w:after="0"/>
              <w:jc w:val="center"/>
            </w:pPr>
            <w:r>
              <w:rPr>
                <w:b/>
                <w:color w:val="475569"/>
                <w:sz w:val="28"/>
              </w:rPr>
              <w:t>→</w:t>
            </w:r>
          </w:p>
        </w:tc>
        <w:tc>
          <w:tcPr>
            <w:tcW w:type="dxa" w:w="1130"/>
            <w:shd w:fill="EAF2FF"/>
            <w:tcBorders>
              <w:top w:val="single" w:sz="6" w:color="D0D5DD"/>
              <w:left w:val="single" w:sz="6" w:color="D0D5DD"/>
              <w:bottom w:val="single" w:sz="6" w:color="D0D5DD"/>
              <w:right w:val="single" w:sz="6" w:color="D0D5DD"/>
              <w:insideH w:val="single" w:sz="6" w:color="D0D5DD"/>
              <w:insideV w:val="single" w:sz="6" w:color="D0D5DD"/>
            </w:tcBorders>
            <w:vAlign w:val="center"/>
          </w:tcPr>
          <w:p>
            <w:pPr>
              <w:spacing w:after="0"/>
              <w:jc w:val="center"/>
            </w:pPr>
            <w:r>
              <w:rPr>
                <w:b/>
                <w:sz w:val="18"/>
              </w:rPr>
              <w:t>Add app values</w:t>
            </w:r>
          </w:p>
        </w:tc>
        <w:tc>
          <w:tcPr>
            <w:tcW w:type="dxa" w:w="1130"/>
            <w:vAlign w:val="center"/>
          </w:tcPr>
          <w:p>
            <w:pPr>
              <w:spacing w:after="0"/>
              <w:jc w:val="center"/>
            </w:pPr>
            <w:r>
              <w:rPr>
                <w:b/>
                <w:color w:val="475569"/>
                <w:sz w:val="28"/>
              </w:rPr>
              <w:t>→</w:t>
            </w:r>
          </w:p>
        </w:tc>
        <w:tc>
          <w:tcPr>
            <w:tcW w:type="dxa" w:w="1130"/>
            <w:shd w:fill="EAF8F4"/>
            <w:tcBorders>
              <w:top w:val="single" w:sz="6" w:color="D0D5DD"/>
              <w:left w:val="single" w:sz="6" w:color="D0D5DD"/>
              <w:bottom w:val="single" w:sz="6" w:color="D0D5DD"/>
              <w:right w:val="single" w:sz="6" w:color="D0D5DD"/>
              <w:insideH w:val="single" w:sz="6" w:color="D0D5DD"/>
              <w:insideV w:val="single" w:sz="6" w:color="D0D5DD"/>
            </w:tcBorders>
            <w:vAlign w:val="center"/>
          </w:tcPr>
          <w:p>
            <w:pPr>
              <w:spacing w:after="0"/>
              <w:jc w:val="center"/>
            </w:pPr>
            <w:r>
              <w:rPr>
                <w:b/>
                <w:sz w:val="18"/>
              </w:rPr>
              <w:t>Deploy</w:t>
            </w:r>
          </w:p>
        </w:tc>
        <w:tc>
          <w:tcPr>
            <w:tcW w:type="dxa" w:w="1130"/>
            <w:vAlign w:val="center"/>
          </w:tcPr>
          <w:p>
            <w:pPr>
              <w:spacing w:after="0"/>
              <w:jc w:val="center"/>
            </w:pPr>
            <w:r>
              <w:rPr>
                <w:b/>
                <w:color w:val="475569"/>
                <w:sz w:val="28"/>
              </w:rPr>
              <w:t>→</w:t>
            </w:r>
          </w:p>
        </w:tc>
        <w:tc>
          <w:tcPr>
            <w:tcW w:type="dxa" w:w="1130"/>
            <w:shd w:fill="ECFDF3"/>
            <w:tcBorders>
              <w:top w:val="single" w:sz="6" w:color="D0D5DD"/>
              <w:left w:val="single" w:sz="6" w:color="D0D5DD"/>
              <w:bottom w:val="single" w:sz="6" w:color="D0D5DD"/>
              <w:right w:val="single" w:sz="6" w:color="D0D5DD"/>
              <w:insideH w:val="single" w:sz="6" w:color="D0D5DD"/>
              <w:insideV w:val="single" w:sz="6" w:color="D0D5DD"/>
            </w:tcBorders>
            <w:vAlign w:val="center"/>
          </w:tcPr>
          <w:p>
            <w:pPr>
              <w:spacing w:after="0"/>
              <w:jc w:val="center"/>
            </w:pPr>
            <w:r>
              <w:rPr>
                <w:b/>
                <w:sz w:val="18"/>
              </w:rPr>
              <w:t>View status</w:t>
            </w:r>
          </w:p>
        </w:tc>
        <w:tc>
          <w:tcPr>
            <w:tcW w:type="dxa" w:w="1130"/>
            <w:vAlign w:val="center"/>
          </w:tcPr>
          <w:p>
            <w:pPr>
              <w:spacing w:after="0"/>
              <w:jc w:val="center"/>
            </w:pPr>
            <w:r>
              <w:rPr>
                <w:b/>
                <w:color w:val="475569"/>
                <w:sz w:val="28"/>
              </w:rPr>
              <w:t>→</w:t>
            </w:r>
          </w:p>
        </w:tc>
        <w:tc>
          <w:tcPr>
            <w:tcW w:type="dxa" w:w="1130"/>
            <w:shd w:fill="ECFDF3"/>
            <w:tcBorders>
              <w:top w:val="single" w:sz="6" w:color="D0D5DD"/>
              <w:left w:val="single" w:sz="6" w:color="D0D5DD"/>
              <w:bottom w:val="single" w:sz="6" w:color="D0D5DD"/>
              <w:right w:val="single" w:sz="6" w:color="D0D5DD"/>
              <w:insideH w:val="single" w:sz="6" w:color="D0D5DD"/>
              <w:insideV w:val="single" w:sz="6" w:color="D0D5DD"/>
            </w:tcBorders>
            <w:vAlign w:val="center"/>
          </w:tcPr>
          <w:p>
            <w:pPr>
              <w:spacing w:after="0"/>
              <w:jc w:val="center"/>
            </w:pPr>
            <w:r>
              <w:rPr>
                <w:b/>
                <w:sz w:val="18"/>
              </w:rPr>
              <w:t>Live URL</w:t>
            </w:r>
          </w:p>
        </w:tc>
      </w:tr>
    </w:tbl>
    <w:p>
      <w:pPr>
        <w:spacing w:after="0"/>
      </w:pPr>
    </w:p>
    <w:p>
      <w:r>
        <w:t>The normal developer experience contains no plan generation, infrastructure approval, state refresh, residue cleanup, selective stage recovery, or AWS resource navigation. DeployGuard performs those operations internally and exposes only actions the developer can understand.</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944"/>
            <w:shd w:fill="102A43"/>
            <w:vAlign w:val="center"/>
          </w:tcPr>
          <w:p>
            <w:pPr>
              <w:spacing w:after="0"/>
              <w:jc w:val="center"/>
            </w:pPr>
            <w:r>
              <w:rPr>
                <w:b/>
                <w:color w:val="FFFFFF"/>
                <w:sz w:val="17"/>
              </w:rPr>
              <w:t>Developer action</w:t>
            </w:r>
          </w:p>
        </w:tc>
        <w:tc>
          <w:tcPr>
            <w:tcW w:type="dxa" w:w="4896"/>
            <w:shd w:fill="102A43"/>
            <w:vAlign w:val="center"/>
          </w:tcPr>
          <w:p>
            <w:pPr>
              <w:spacing w:after="0"/>
              <w:jc w:val="center"/>
            </w:pPr>
            <w:r>
              <w:rPr>
                <w:b/>
                <w:color w:val="FFFFFF"/>
                <w:sz w:val="17"/>
              </w:rPr>
              <w:t>Platform responsibility</w:t>
            </w:r>
          </w:p>
        </w:tc>
        <w:tc>
          <w:tcPr>
            <w:tcW w:type="dxa" w:w="2952"/>
            <w:shd w:fill="102A43"/>
            <w:vAlign w:val="center"/>
          </w:tcPr>
          <w:p>
            <w:pPr>
              <w:spacing w:after="0"/>
              <w:jc w:val="center"/>
            </w:pPr>
            <w:r>
              <w:rPr>
                <w:b/>
                <w:color w:val="FFFFFF"/>
                <w:sz w:val="17"/>
              </w:rPr>
              <w:t>Developer sees</w:t>
            </w:r>
          </w:p>
        </w:tc>
      </w:tr>
      <w:tr>
        <w:trPr>
          <w:cantSplit/>
        </w:trPr>
        <w:tc>
          <w:tcPr>
            <w:tcW w:type="dxa" w:w="1944"/>
            <w:vAlign w:val="top"/>
          </w:tcPr>
          <w:p>
            <w:pPr>
              <w:spacing w:after="0"/>
            </w:pPr>
            <w:r>
              <w:rPr>
                <w:color w:val="1F2937"/>
                <w:sz w:val="17"/>
              </w:rPr>
              <w:t>Connect repository</w:t>
            </w:r>
          </w:p>
        </w:tc>
        <w:tc>
          <w:tcPr>
            <w:tcW w:type="dxa" w:w="4896"/>
            <w:vAlign w:val="top"/>
          </w:tcPr>
          <w:p>
            <w:pPr>
              <w:spacing w:after="0"/>
            </w:pPr>
            <w:r>
              <w:rPr>
                <w:color w:val="1F2937"/>
                <w:sz w:val="17"/>
              </w:rPr>
              <w:t>Authenticate GitHub, inspect repository, identify branch and commit</w:t>
            </w:r>
          </w:p>
        </w:tc>
        <w:tc>
          <w:tcPr>
            <w:tcW w:type="dxa" w:w="2952"/>
            <w:vAlign w:val="top"/>
          </w:tcPr>
          <w:p>
            <w:pPr>
              <w:spacing w:after="0"/>
            </w:pPr>
            <w:r>
              <w:rPr>
                <w:color w:val="1F2937"/>
                <w:sz w:val="17"/>
              </w:rPr>
              <w:t>Repository connected</w:t>
            </w:r>
          </w:p>
        </w:tc>
      </w:tr>
      <w:tr>
        <w:trPr>
          <w:cantSplit/>
        </w:trPr>
        <w:tc>
          <w:tcPr>
            <w:tcW w:type="dxa" w:w="1944"/>
            <w:vAlign w:val="top"/>
            <w:shd w:fill="F8FAFC"/>
          </w:tcPr>
          <w:p>
            <w:pPr>
              <w:spacing w:after="0"/>
            </w:pPr>
            <w:r>
              <w:rPr>
                <w:color w:val="1F2937"/>
                <w:sz w:val="17"/>
              </w:rPr>
              <w:t>Provide missing values</w:t>
            </w:r>
          </w:p>
        </w:tc>
        <w:tc>
          <w:tcPr>
            <w:tcW w:type="dxa" w:w="4896"/>
            <w:vAlign w:val="top"/>
            <w:shd w:fill="F8FAFC"/>
          </w:tcPr>
          <w:p>
            <w:pPr>
              <w:spacing w:after="0"/>
            </w:pPr>
            <w:r>
              <w:rPr>
                <w:color w:val="1F2937"/>
                <w:sz w:val="17"/>
              </w:rPr>
              <w:t>Request only unresolved application-owned configuration; generate managed bindings</w:t>
            </w:r>
          </w:p>
        </w:tc>
        <w:tc>
          <w:tcPr>
            <w:tcW w:type="dxa" w:w="2952"/>
            <w:vAlign w:val="top"/>
            <w:shd w:fill="F8FAFC"/>
          </w:tcPr>
          <w:p>
            <w:pPr>
              <w:spacing w:after="0"/>
            </w:pPr>
            <w:r>
              <w:rPr>
                <w:color w:val="1F2937"/>
                <w:sz w:val="17"/>
              </w:rPr>
              <w:t>JWT_SECRET or another app-owned input</w:t>
            </w:r>
          </w:p>
        </w:tc>
      </w:tr>
      <w:tr>
        <w:trPr>
          <w:cantSplit/>
        </w:trPr>
        <w:tc>
          <w:tcPr>
            <w:tcW w:type="dxa" w:w="1944"/>
            <w:vAlign w:val="top"/>
          </w:tcPr>
          <w:p>
            <w:pPr>
              <w:spacing w:after="0"/>
            </w:pPr>
            <w:r>
              <w:rPr>
                <w:color w:val="1F2937"/>
                <w:sz w:val="17"/>
              </w:rPr>
              <w:t>Deploy</w:t>
            </w:r>
          </w:p>
        </w:tc>
        <w:tc>
          <w:tcPr>
            <w:tcW w:type="dxa" w:w="4896"/>
            <w:vAlign w:val="top"/>
          </w:tcPr>
          <w:p>
            <w:pPr>
              <w:spacing w:after="0"/>
            </w:pPr>
            <w:r>
              <w:rPr>
                <w:color w:val="1F2937"/>
                <w:sz w:val="17"/>
              </w:rPr>
              <w:t>Classify change, build, provision when needed, release, verify</w:t>
            </w:r>
          </w:p>
        </w:tc>
        <w:tc>
          <w:tcPr>
            <w:tcW w:type="dxa" w:w="2952"/>
            <w:vAlign w:val="top"/>
          </w:tcPr>
          <w:p>
            <w:pPr>
              <w:spacing w:after="0"/>
            </w:pPr>
            <w:r>
              <w:rPr>
                <w:color w:val="1F2937"/>
                <w:sz w:val="17"/>
              </w:rPr>
              <w:t>Analyzing, Building, Deploying, Verifying</w:t>
            </w:r>
          </w:p>
        </w:tc>
      </w:tr>
      <w:tr>
        <w:trPr>
          <w:cantSplit/>
        </w:trPr>
        <w:tc>
          <w:tcPr>
            <w:tcW w:type="dxa" w:w="1944"/>
            <w:vAlign w:val="top"/>
            <w:shd w:fill="F8FAFC"/>
          </w:tcPr>
          <w:p>
            <w:pPr>
              <w:spacing w:after="0"/>
            </w:pPr>
            <w:r>
              <w:rPr>
                <w:color w:val="1F2937"/>
                <w:sz w:val="17"/>
              </w:rPr>
              <w:t>Redeploy</w:t>
            </w:r>
          </w:p>
        </w:tc>
        <w:tc>
          <w:tcPr>
            <w:tcW w:type="dxa" w:w="4896"/>
            <w:vAlign w:val="top"/>
            <w:shd w:fill="F8FAFC"/>
          </w:tcPr>
          <w:p>
            <w:pPr>
              <w:spacing w:after="0"/>
            </w:pPr>
            <w:r>
              <w:rPr>
                <w:color w:val="1F2937"/>
                <w:sz w:val="17"/>
              </w:rPr>
              <w:t>Reuse infrastructure; create a new release candidate</w:t>
            </w:r>
          </w:p>
        </w:tc>
        <w:tc>
          <w:tcPr>
            <w:tcW w:type="dxa" w:w="2952"/>
            <w:vAlign w:val="top"/>
            <w:shd w:fill="F8FAFC"/>
          </w:tcPr>
          <w:p>
            <w:pPr>
              <w:spacing w:after="0"/>
            </w:pPr>
            <w:r>
              <w:rPr>
                <w:color w:val="1F2937"/>
                <w:sz w:val="17"/>
              </w:rPr>
              <w:t>New deployment in progress</w:t>
            </w:r>
          </w:p>
        </w:tc>
      </w:tr>
      <w:tr>
        <w:trPr>
          <w:cantSplit/>
        </w:trPr>
        <w:tc>
          <w:tcPr>
            <w:tcW w:type="dxa" w:w="1944"/>
            <w:vAlign w:val="top"/>
          </w:tcPr>
          <w:p>
            <w:pPr>
              <w:spacing w:after="0"/>
            </w:pPr>
            <w:r>
              <w:rPr>
                <w:color w:val="1F2937"/>
                <w:sz w:val="17"/>
              </w:rPr>
              <w:t>Delete project</w:t>
            </w:r>
          </w:p>
        </w:tc>
        <w:tc>
          <w:tcPr>
            <w:tcW w:type="dxa" w:w="4896"/>
            <w:vAlign w:val="top"/>
          </w:tcPr>
          <w:p>
            <w:pPr>
              <w:spacing w:after="0"/>
            </w:pPr>
            <w:r>
              <w:rPr>
                <w:color w:val="1F2937"/>
                <w:sz w:val="17"/>
              </w:rPr>
              <w:t>Block new work, destroy scoped resources, verify, archive</w:t>
            </w:r>
          </w:p>
        </w:tc>
        <w:tc>
          <w:tcPr>
            <w:tcW w:type="dxa" w:w="2952"/>
            <w:vAlign w:val="top"/>
          </w:tcPr>
          <w:p>
            <w:pPr>
              <w:spacing w:after="0"/>
            </w:pPr>
            <w:r>
              <w:rPr>
                <w:color w:val="1F2937"/>
                <w:sz w:val="17"/>
              </w:rPr>
              <w:t>Clear deletion progress</w:t>
            </w:r>
          </w:p>
        </w:tc>
      </w:tr>
    </w:tbl>
    <w:p>
      <w:pPr>
        <w:spacing w:after="0"/>
      </w:pPr>
    </w:p>
    <w:tbl>
      <w:tblPr>
        <w:tblW w:type="auto" w:w="0"/>
        <w:jc w:val="center"/>
        <w:tblLook w:firstColumn="1" w:firstRow="1" w:lastColumn="0" w:lastRow="0" w:noHBand="0" w:noVBand="1" w:val="04A0"/>
      </w:tblPr>
      <w:tblGrid>
        <w:gridCol w:w="10166"/>
      </w:tblGrid>
      <w:tr>
        <w:tc>
          <w:tcPr>
            <w:tcW w:type="dxa" w:w="10166"/>
            <w:shd w:fill="FFF3E8"/>
            <w:tcBorders>
              <w:top w:val="single" w:sz="8" w:color="C2410C"/>
              <w:left w:val="single" w:sz="8" w:color="C2410C"/>
              <w:bottom w:val="single" w:sz="8" w:color="C2410C"/>
              <w:right w:val="single" w:sz="8" w:color="C2410C"/>
              <w:insideH w:val="single" w:sz="8" w:color="C2410C"/>
              <w:insideV w:val="single" w:sz="8" w:color="C2410C"/>
            </w:tcBorders>
          </w:tcPr>
          <w:p>
            <w:pPr>
              <w:spacing w:after="0"/>
            </w:pPr>
            <w:r>
              <w:rPr>
                <w:b/>
                <w:color w:val="C2410C"/>
              </w:rPr>
              <w:t>Developer boundary</w:t>
              <w:br/>
            </w:r>
            <w:r>
              <w:t>A platform-owned error must never become a Terraform instruction for the developer. The user may be asked to fix application code or supply an application-owned value, but never to refresh state, unlock Terraform, inspect an ARN, or clean residue.</w:t>
            </w:r>
          </w:p>
        </w:tc>
      </w:tr>
    </w:tbl>
    <w:p>
      <w:pPr>
        <w:spacing w:after="0"/>
      </w:pPr>
    </w:p>
    <w:p>
      <w:pPr>
        <w:pStyle w:val="Heading1"/>
        <w:keepNext/>
      </w:pPr>
      <w:r>
        <w:rPr>
          <w:color w:val="102A43"/>
        </w:rPr>
        <w:t>4. Logical Architecture</w:t>
      </w:r>
    </w:p>
    <w:p>
      <w:r>
        <w:t>The platform is organized into six responsibilities: developer experience, platform control plane, release lane, infrastructure lane, long-lived runtime, and safety/operations. The Change Classifier is the routing decision between the two execution lanes.</w:t>
      </w:r>
    </w:p>
    <w:p>
      <w:r>
        <w:drawing>
          <wp:inline xmlns:a="http://schemas.openxmlformats.org/drawingml/2006/main" xmlns:pic="http://schemas.openxmlformats.org/drawingml/2006/picture">
            <wp:extent cx="6446520" cy="4388048"/>
            <wp:docPr id="2" name="Picture 2"/>
            <wp:cNvGraphicFramePr>
              <a:graphicFrameLocks noChangeAspect="1"/>
            </wp:cNvGraphicFramePr>
            <a:graphic>
              <a:graphicData uri="http://schemas.openxmlformats.org/drawingml/2006/picture">
                <pic:pic>
                  <pic:nvPicPr>
                    <pic:cNvPr id="0" name="deployguard_two_lane_architecture.png"/>
                    <pic:cNvPicPr/>
                  </pic:nvPicPr>
                  <pic:blipFill>
                    <a:blip r:embed="rId11"/>
                    <a:stretch>
                      <a:fillRect/>
                    </a:stretch>
                  </pic:blipFill>
                  <pic:spPr>
                    <a:xfrm>
                      <a:off x="0" y="0"/>
                      <a:ext cx="6446520" cy="4388048"/>
                    </a:xfrm>
                    <a:prstGeom prst="rect"/>
                  </pic:spPr>
                </pic:pic>
              </a:graphicData>
            </a:graphic>
          </wp:inline>
        </w:drawing>
      </w:r>
    </w:p>
    <w:p>
      <w:pPr>
        <w:jc w:val="center"/>
      </w:pPr>
      <w:r>
        <w:rPr>
          <w:i/>
          <w:color w:val="667085"/>
          <w:sz w:val="17"/>
        </w:rPr>
        <w:t>Figure 2. Logical architecture and convergence on the long-lived ECS service.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944"/>
            <w:shd w:fill="102A43"/>
            <w:vAlign w:val="center"/>
          </w:tcPr>
          <w:p>
            <w:pPr>
              <w:spacing w:after="0"/>
              <w:jc w:val="center"/>
            </w:pPr>
            <w:r>
              <w:rPr>
                <w:b/>
                <w:color w:val="FFFFFF"/>
                <w:sz w:val="16"/>
              </w:rPr>
              <w:t>Component</w:t>
            </w:r>
          </w:p>
        </w:tc>
        <w:tc>
          <w:tcPr>
            <w:tcW w:type="dxa" w:w="4968"/>
            <w:shd w:fill="102A43"/>
            <w:vAlign w:val="center"/>
          </w:tcPr>
          <w:p>
            <w:pPr>
              <w:spacing w:after="0"/>
              <w:jc w:val="center"/>
            </w:pPr>
            <w:r>
              <w:rPr>
                <w:b/>
                <w:color w:val="FFFFFF"/>
                <w:sz w:val="16"/>
              </w:rPr>
              <w:t>Responsibility</w:t>
            </w:r>
          </w:p>
        </w:tc>
        <w:tc>
          <w:tcPr>
            <w:tcW w:type="dxa" w:w="2880"/>
            <w:shd w:fill="102A43"/>
            <w:vAlign w:val="center"/>
          </w:tcPr>
          <w:p>
            <w:pPr>
              <w:spacing w:after="0"/>
              <w:jc w:val="center"/>
            </w:pPr>
            <w:r>
              <w:rPr>
                <w:b/>
                <w:color w:val="FFFFFF"/>
                <w:sz w:val="16"/>
              </w:rPr>
              <w:t>Key invariant</w:t>
            </w:r>
          </w:p>
        </w:tc>
      </w:tr>
      <w:tr>
        <w:trPr>
          <w:cantSplit/>
        </w:trPr>
        <w:tc>
          <w:tcPr>
            <w:tcW w:type="dxa" w:w="1944"/>
            <w:vAlign w:val="top"/>
          </w:tcPr>
          <w:p>
            <w:pPr>
              <w:spacing w:after="0"/>
            </w:pPr>
            <w:r>
              <w:rPr>
                <w:color w:val="1F2937"/>
                <w:sz w:val="16"/>
              </w:rPr>
              <w:t>NestJS API / Orchestrator</w:t>
            </w:r>
          </w:p>
        </w:tc>
        <w:tc>
          <w:tcPr>
            <w:tcW w:type="dxa" w:w="4968"/>
            <w:vAlign w:val="top"/>
          </w:tcPr>
          <w:p>
            <w:pPr>
              <w:spacing w:after="0"/>
            </w:pPr>
            <w:r>
              <w:rPr>
                <w:color w:val="1F2937"/>
                <w:sz w:val="16"/>
              </w:rPr>
              <w:t>Accept idempotent deployment, redeploy, and delete commands</w:t>
            </w:r>
          </w:p>
        </w:tc>
        <w:tc>
          <w:tcPr>
            <w:tcW w:type="dxa" w:w="2880"/>
            <w:vAlign w:val="top"/>
          </w:tcPr>
          <w:p>
            <w:pPr>
              <w:spacing w:after="0"/>
            </w:pPr>
            <w:r>
              <w:rPr>
                <w:color w:val="1F2937"/>
                <w:sz w:val="16"/>
              </w:rPr>
              <w:t>Duplicate requests return the existing operation</w:t>
            </w:r>
          </w:p>
        </w:tc>
      </w:tr>
      <w:tr>
        <w:trPr>
          <w:cantSplit/>
        </w:trPr>
        <w:tc>
          <w:tcPr>
            <w:tcW w:type="dxa" w:w="1944"/>
            <w:vAlign w:val="top"/>
            <w:shd w:fill="F8FAFC"/>
          </w:tcPr>
          <w:p>
            <w:pPr>
              <w:spacing w:after="0"/>
            </w:pPr>
            <w:r>
              <w:rPr>
                <w:color w:val="1F2937"/>
                <w:sz w:val="16"/>
              </w:rPr>
              <w:t>Configuration Resolver</w:t>
            </w:r>
          </w:p>
        </w:tc>
        <w:tc>
          <w:tcPr>
            <w:tcW w:type="dxa" w:w="4968"/>
            <w:vAlign w:val="top"/>
            <w:shd w:fill="F8FAFC"/>
          </w:tcPr>
          <w:p>
            <w:pPr>
              <w:spacing w:after="0"/>
            </w:pPr>
            <w:r>
              <w:rPr>
                <w:color w:val="1F2937"/>
                <w:sz w:val="16"/>
              </w:rPr>
              <w:t>Combine repository evidence, developer input, and managed service bindings</w:t>
            </w:r>
          </w:p>
        </w:tc>
        <w:tc>
          <w:tcPr>
            <w:tcW w:type="dxa" w:w="2880"/>
            <w:vAlign w:val="top"/>
            <w:shd w:fill="F8FAFC"/>
          </w:tcPr>
          <w:p>
            <w:pPr>
              <w:spacing w:after="0"/>
            </w:pPr>
            <w:r>
              <w:rPr>
                <w:color w:val="1F2937"/>
                <w:sz w:val="16"/>
              </w:rPr>
              <w:t>Same semantic input produces the same normalized configuration</w:t>
            </w:r>
          </w:p>
        </w:tc>
      </w:tr>
      <w:tr>
        <w:trPr>
          <w:cantSplit/>
        </w:trPr>
        <w:tc>
          <w:tcPr>
            <w:tcW w:type="dxa" w:w="1944"/>
            <w:vAlign w:val="top"/>
          </w:tcPr>
          <w:p>
            <w:pPr>
              <w:spacing w:after="0"/>
            </w:pPr>
            <w:r>
              <w:rPr>
                <w:color w:val="1F2937"/>
                <w:sz w:val="16"/>
              </w:rPr>
              <w:t>Change Classifier</w:t>
            </w:r>
          </w:p>
        </w:tc>
        <w:tc>
          <w:tcPr>
            <w:tcW w:type="dxa" w:w="4968"/>
            <w:vAlign w:val="top"/>
          </w:tcPr>
          <w:p>
            <w:pPr>
              <w:spacing w:after="0"/>
            </w:pPr>
            <w:r>
              <w:rPr>
                <w:color w:val="1F2937"/>
                <w:sz w:val="16"/>
              </w:rPr>
              <w:t>Route to release-only, infrastructure, or no-op</w:t>
            </w:r>
          </w:p>
        </w:tc>
        <w:tc>
          <w:tcPr>
            <w:tcW w:type="dxa" w:w="2880"/>
            <w:vAlign w:val="top"/>
          </w:tcPr>
          <w:p>
            <w:pPr>
              <w:spacing w:after="0"/>
            </w:pPr>
            <w:r>
              <w:rPr>
                <w:color w:val="1F2937"/>
                <w:sz w:val="16"/>
              </w:rPr>
              <w:t>Developer never chooses a lane</w:t>
            </w:r>
          </w:p>
        </w:tc>
      </w:tr>
      <w:tr>
        <w:trPr>
          <w:cantSplit/>
        </w:trPr>
        <w:tc>
          <w:tcPr>
            <w:tcW w:type="dxa" w:w="1944"/>
            <w:vAlign w:val="top"/>
            <w:shd w:fill="F8FAFC"/>
          </w:tcPr>
          <w:p>
            <w:pPr>
              <w:spacing w:after="0"/>
            </w:pPr>
            <w:r>
              <w:rPr>
                <w:color w:val="1F2937"/>
                <w:sz w:val="16"/>
              </w:rPr>
              <w:t>Canonical State Machine</w:t>
            </w:r>
          </w:p>
        </w:tc>
        <w:tc>
          <w:tcPr>
            <w:tcW w:type="dxa" w:w="4968"/>
            <w:vAlign w:val="top"/>
            <w:shd w:fill="F8FAFC"/>
          </w:tcPr>
          <w:p>
            <w:pPr>
              <w:spacing w:after="0"/>
            </w:pPr>
            <w:r>
              <w:rPr>
                <w:color w:val="1F2937"/>
                <w:sz w:val="16"/>
              </w:rPr>
              <w:t>Produce one authoritative status for every page</w:t>
            </w:r>
          </w:p>
        </w:tc>
        <w:tc>
          <w:tcPr>
            <w:tcW w:type="dxa" w:w="2880"/>
            <w:vAlign w:val="top"/>
            <w:shd w:fill="F8FAFC"/>
          </w:tcPr>
          <w:p>
            <w:pPr>
              <w:spacing w:after="0"/>
            </w:pPr>
            <w:r>
              <w:rPr>
                <w:color w:val="1F2937"/>
                <w:sz w:val="16"/>
              </w:rPr>
              <w:t>No page independently infers deployment state</w:t>
            </w:r>
          </w:p>
        </w:tc>
      </w:tr>
      <w:tr>
        <w:trPr>
          <w:cantSplit/>
        </w:trPr>
        <w:tc>
          <w:tcPr>
            <w:tcW w:type="dxa" w:w="1944"/>
            <w:vAlign w:val="top"/>
          </w:tcPr>
          <w:p>
            <w:pPr>
              <w:spacing w:after="0"/>
            </w:pPr>
            <w:r>
              <w:rPr>
                <w:color w:val="1F2937"/>
                <w:sz w:val="16"/>
              </w:rPr>
              <w:t>BullMQ / Workers</w:t>
            </w:r>
          </w:p>
        </w:tc>
        <w:tc>
          <w:tcPr>
            <w:tcW w:type="dxa" w:w="4968"/>
            <w:vAlign w:val="top"/>
          </w:tcPr>
          <w:p>
            <w:pPr>
              <w:spacing w:after="0"/>
            </w:pPr>
            <w:r>
              <w:rPr>
                <w:color w:val="1F2937"/>
                <w:sz w:val="16"/>
              </w:rPr>
              <w:t>Execute durable jobs and retries</w:t>
            </w:r>
          </w:p>
        </w:tc>
        <w:tc>
          <w:tcPr>
            <w:tcW w:type="dxa" w:w="2880"/>
            <w:vAlign w:val="top"/>
          </w:tcPr>
          <w:p>
            <w:pPr>
              <w:spacing w:after="0"/>
            </w:pPr>
            <w:r>
              <w:rPr>
                <w:color w:val="1F2937"/>
                <w:sz w:val="16"/>
              </w:rPr>
              <w:t>Only compatible worker versions process jobs</w:t>
            </w:r>
          </w:p>
        </w:tc>
      </w:tr>
      <w:tr>
        <w:trPr>
          <w:cantSplit/>
        </w:trPr>
        <w:tc>
          <w:tcPr>
            <w:tcW w:type="dxa" w:w="1944"/>
            <w:vAlign w:val="top"/>
            <w:shd w:fill="F8FAFC"/>
          </w:tcPr>
          <w:p>
            <w:pPr>
              <w:spacing w:after="0"/>
            </w:pPr>
            <w:r>
              <w:rPr>
                <w:color w:val="1F2937"/>
                <w:sz w:val="16"/>
              </w:rPr>
              <w:t>Release Lane</w:t>
            </w:r>
          </w:p>
        </w:tc>
        <w:tc>
          <w:tcPr>
            <w:tcW w:type="dxa" w:w="4968"/>
            <w:vAlign w:val="top"/>
            <w:shd w:fill="F8FAFC"/>
          </w:tcPr>
          <w:p>
            <w:pPr>
              <w:spacing w:after="0"/>
            </w:pPr>
            <w:r>
              <w:rPr>
                <w:color w:val="1F2937"/>
                <w:sz w:val="16"/>
              </w:rPr>
              <w:t>Build and promote application revisions</w:t>
            </w:r>
          </w:p>
        </w:tc>
        <w:tc>
          <w:tcPr>
            <w:tcW w:type="dxa" w:w="2880"/>
            <w:vAlign w:val="top"/>
            <w:shd w:fill="F8FAFC"/>
          </w:tcPr>
          <w:p>
            <w:pPr>
              <w:spacing w:after="0"/>
            </w:pPr>
            <w:r>
              <w:rPr>
                <w:color w:val="1F2937"/>
                <w:sz w:val="16"/>
              </w:rPr>
              <w:t>No Terraform for normal code pushes</w:t>
            </w:r>
          </w:p>
        </w:tc>
      </w:tr>
      <w:tr>
        <w:trPr>
          <w:cantSplit/>
        </w:trPr>
        <w:tc>
          <w:tcPr>
            <w:tcW w:type="dxa" w:w="1944"/>
            <w:vAlign w:val="top"/>
          </w:tcPr>
          <w:p>
            <w:pPr>
              <w:spacing w:after="0"/>
            </w:pPr>
            <w:r>
              <w:rPr>
                <w:color w:val="1F2937"/>
                <w:sz w:val="16"/>
              </w:rPr>
              <w:t>Infrastructure Lane</w:t>
            </w:r>
          </w:p>
        </w:tc>
        <w:tc>
          <w:tcPr>
            <w:tcW w:type="dxa" w:w="4968"/>
            <w:vAlign w:val="top"/>
          </w:tcPr>
          <w:p>
            <w:pPr>
              <w:spacing w:after="0"/>
            </w:pPr>
            <w:r>
              <w:rPr>
                <w:color w:val="1F2937"/>
                <w:sz w:val="16"/>
              </w:rPr>
              <w:t>Create or modify cloud topology</w:t>
            </w:r>
          </w:p>
        </w:tc>
        <w:tc>
          <w:tcPr>
            <w:tcW w:type="dxa" w:w="2880"/>
            <w:vAlign w:val="top"/>
          </w:tcPr>
          <w:p>
            <w:pPr>
              <w:spacing w:after="0"/>
            </w:pPr>
            <w:r>
              <w:rPr>
                <w:color w:val="1F2937"/>
                <w:sz w:val="16"/>
              </w:rPr>
              <w:t>Exact-plan apply under infrastructure lock</w:t>
            </w:r>
          </w:p>
        </w:tc>
      </w:tr>
      <w:tr>
        <w:trPr>
          <w:cantSplit/>
        </w:trPr>
        <w:tc>
          <w:tcPr>
            <w:tcW w:type="dxa" w:w="1944"/>
            <w:vAlign w:val="top"/>
            <w:shd w:fill="F8FAFC"/>
          </w:tcPr>
          <w:p>
            <w:pPr>
              <w:spacing w:after="0"/>
            </w:pPr>
            <w:r>
              <w:rPr>
                <w:color w:val="1F2937"/>
                <w:sz w:val="16"/>
              </w:rPr>
              <w:t>Long-Lived Runtime</w:t>
            </w:r>
          </w:p>
        </w:tc>
        <w:tc>
          <w:tcPr>
            <w:tcW w:type="dxa" w:w="4968"/>
            <w:vAlign w:val="top"/>
            <w:shd w:fill="F8FAFC"/>
          </w:tcPr>
          <w:p>
            <w:pPr>
              <w:spacing w:after="0"/>
            </w:pPr>
            <w:r>
              <w:rPr>
                <w:color w:val="1F2937"/>
                <w:sz w:val="16"/>
              </w:rPr>
              <w:t>Run the current stable task-definition revision</w:t>
            </w:r>
          </w:p>
        </w:tc>
        <w:tc>
          <w:tcPr>
            <w:tcW w:type="dxa" w:w="2880"/>
            <w:vAlign w:val="top"/>
            <w:shd w:fill="F8FAFC"/>
          </w:tcPr>
          <w:p>
            <w:pPr>
              <w:spacing w:after="0"/>
            </w:pPr>
            <w:r>
              <w:rPr>
                <w:color w:val="1F2937"/>
                <w:sz w:val="16"/>
              </w:rPr>
              <w:t>Infrastructure persists across releases</w:t>
            </w:r>
          </w:p>
        </w:tc>
      </w:tr>
      <w:tr>
        <w:trPr>
          <w:cantSplit/>
        </w:trPr>
        <w:tc>
          <w:tcPr>
            <w:tcW w:type="dxa" w:w="1944"/>
            <w:vAlign w:val="top"/>
          </w:tcPr>
          <w:p>
            <w:pPr>
              <w:spacing w:after="0"/>
            </w:pPr>
            <w:r>
              <w:rPr>
                <w:color w:val="1F2937"/>
                <w:sz w:val="16"/>
              </w:rPr>
              <w:t>Reconciler</w:t>
            </w:r>
          </w:p>
        </w:tc>
        <w:tc>
          <w:tcPr>
            <w:tcW w:type="dxa" w:w="4968"/>
            <w:vAlign w:val="top"/>
          </w:tcPr>
          <w:p>
            <w:pPr>
              <w:spacing w:after="0"/>
            </w:pPr>
            <w:r>
              <w:rPr>
                <w:color w:val="1F2937"/>
                <w:sz w:val="16"/>
              </w:rPr>
              <w:t>Compare intended state, Terraform state, AWS state, and runtime health</w:t>
            </w:r>
          </w:p>
        </w:tc>
        <w:tc>
          <w:tcPr>
            <w:tcW w:type="dxa" w:w="2880"/>
            <w:vAlign w:val="top"/>
          </w:tcPr>
          <w:p>
            <w:pPr>
              <w:spacing w:after="0"/>
            </w:pPr>
            <w:r>
              <w:rPr>
                <w:color w:val="1F2937"/>
                <w:sz w:val="16"/>
              </w:rPr>
              <w:t>Uncertainty is displayed as verifying, not a false confident status</w:t>
            </w:r>
          </w:p>
        </w:tc>
      </w:tr>
    </w:tbl>
    <w:p>
      <w:pPr>
        <w:spacing w:after="0"/>
      </w:pPr>
    </w:p>
    <w:p>
      <w:r>
        <w:br w:type="page"/>
      </w:r>
    </w:p>
    <w:p>
      <w:pPr>
        <w:pStyle w:val="Heading1"/>
        <w:keepNext/>
      </w:pPr>
      <w:r>
        <w:rPr>
          <w:color w:val="102A43"/>
        </w:rPr>
        <w:t>5. Change Classifier</w:t>
      </w:r>
    </w:p>
    <w:p>
      <w:r>
        <w:drawing>
          <wp:inline xmlns:a="http://schemas.openxmlformats.org/drawingml/2006/main" xmlns:pic="http://schemas.openxmlformats.org/drawingml/2006/picture">
            <wp:extent cx="6446520" cy="1113204"/>
            <wp:docPr id="3" name="Picture 3"/>
            <wp:cNvGraphicFramePr>
              <a:graphicFrameLocks noChangeAspect="1"/>
            </wp:cNvGraphicFramePr>
            <a:graphic>
              <a:graphicData uri="http://schemas.openxmlformats.org/drawingml/2006/picture">
                <pic:pic>
                  <pic:nvPicPr>
                    <pic:cNvPr id="0" name="deployguard_change_classifier.png"/>
                    <pic:cNvPicPr/>
                  </pic:nvPicPr>
                  <pic:blipFill>
                    <a:blip r:embed="rId12"/>
                    <a:stretch>
                      <a:fillRect/>
                    </a:stretch>
                  </pic:blipFill>
                  <pic:spPr>
                    <a:xfrm>
                      <a:off x="0" y="0"/>
                      <a:ext cx="6446520" cy="1113204"/>
                    </a:xfrm>
                    <a:prstGeom prst="rect"/>
                  </pic:spPr>
                </pic:pic>
              </a:graphicData>
            </a:graphic>
          </wp:inline>
        </w:drawing>
      </w:r>
    </w:p>
    <w:p>
      <w:pPr>
        <w:jc w:val="center"/>
      </w:pPr>
      <w:r>
        <w:rPr>
          <w:i/>
          <w:color w:val="667085"/>
          <w:sz w:val="17"/>
        </w:rPr>
        <w:t>Figure 3. Automatic routing of each change.</w:t>
      </w:r>
    </w:p>
    <w:p>
      <w:r>
        <w:t>The classifier compares the new desired state with the last stable infrastructure and release revisions. It must use normalized semantic values, not timestamps, database row order, activity events, health observations, or other volatile metadata.</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744"/>
            <w:shd w:fill="102A43"/>
            <w:vAlign w:val="center"/>
          </w:tcPr>
          <w:p>
            <w:pPr>
              <w:spacing w:after="0"/>
              <w:jc w:val="center"/>
            </w:pPr>
            <w:r>
              <w:rPr>
                <w:b/>
                <w:color w:val="FFFFFF"/>
                <w:sz w:val="16"/>
              </w:rPr>
              <w:t>Change example</w:t>
            </w:r>
          </w:p>
        </w:tc>
        <w:tc>
          <w:tcPr>
            <w:tcW w:type="dxa" w:w="1800"/>
            <w:shd w:fill="102A43"/>
            <w:vAlign w:val="center"/>
          </w:tcPr>
          <w:p>
            <w:pPr>
              <w:spacing w:after="0"/>
              <w:jc w:val="center"/>
            </w:pPr>
            <w:r>
              <w:rPr>
                <w:b/>
                <w:color w:val="FFFFFF"/>
                <w:sz w:val="16"/>
              </w:rPr>
              <w:t>Lane</w:t>
            </w:r>
          </w:p>
        </w:tc>
        <w:tc>
          <w:tcPr>
            <w:tcW w:type="dxa" w:w="4320"/>
            <w:shd w:fill="102A43"/>
            <w:vAlign w:val="center"/>
          </w:tcPr>
          <w:p>
            <w:pPr>
              <w:spacing w:after="0"/>
              <w:jc w:val="center"/>
            </w:pPr>
            <w:r>
              <w:rPr>
                <w:b/>
                <w:color w:val="FFFFFF"/>
                <w:sz w:val="16"/>
              </w:rPr>
              <w:t>Reason</w:t>
            </w:r>
          </w:p>
        </w:tc>
      </w:tr>
      <w:tr>
        <w:trPr>
          <w:cantSplit/>
        </w:trPr>
        <w:tc>
          <w:tcPr>
            <w:tcW w:type="dxa" w:w="3744"/>
            <w:vAlign w:val="top"/>
          </w:tcPr>
          <w:p>
            <w:pPr>
              <w:spacing w:after="0"/>
            </w:pPr>
            <w:r>
              <w:rPr>
                <w:color w:val="1F2937"/>
                <w:sz w:val="16"/>
              </w:rPr>
              <w:t>Application source or Docker image</w:t>
            </w:r>
          </w:p>
        </w:tc>
        <w:tc>
          <w:tcPr>
            <w:tcW w:type="dxa" w:w="1800"/>
            <w:vAlign w:val="top"/>
          </w:tcPr>
          <w:p>
            <w:pPr>
              <w:spacing w:after="0"/>
            </w:pPr>
            <w:r>
              <w:rPr>
                <w:color w:val="1F2937"/>
                <w:sz w:val="16"/>
              </w:rPr>
              <w:t>Release-only</w:t>
            </w:r>
          </w:p>
        </w:tc>
        <w:tc>
          <w:tcPr>
            <w:tcW w:type="dxa" w:w="4320"/>
            <w:vAlign w:val="top"/>
          </w:tcPr>
          <w:p>
            <w:pPr>
              <w:spacing w:after="0"/>
            </w:pPr>
            <w:r>
              <w:rPr>
                <w:color w:val="1F2937"/>
                <w:sz w:val="16"/>
              </w:rPr>
              <w:t>Produces a new image and task-definition revision</w:t>
            </w:r>
          </w:p>
        </w:tc>
      </w:tr>
      <w:tr>
        <w:trPr>
          <w:cantSplit/>
        </w:trPr>
        <w:tc>
          <w:tcPr>
            <w:tcW w:type="dxa" w:w="3744"/>
            <w:vAlign w:val="top"/>
            <w:shd w:fill="F8FAFC"/>
          </w:tcPr>
          <w:p>
            <w:pPr>
              <w:spacing w:after="0"/>
            </w:pPr>
            <w:r>
              <w:rPr>
                <w:color w:val="1F2937"/>
                <w:sz w:val="16"/>
              </w:rPr>
              <w:t>Application command or start command</w:t>
            </w:r>
          </w:p>
        </w:tc>
        <w:tc>
          <w:tcPr>
            <w:tcW w:type="dxa" w:w="1800"/>
            <w:vAlign w:val="top"/>
            <w:shd w:fill="F8FAFC"/>
          </w:tcPr>
          <w:p>
            <w:pPr>
              <w:spacing w:after="0"/>
            </w:pPr>
            <w:r>
              <w:rPr>
                <w:color w:val="1F2937"/>
                <w:sz w:val="16"/>
              </w:rPr>
              <w:t>Release-only</w:t>
            </w:r>
          </w:p>
        </w:tc>
        <w:tc>
          <w:tcPr>
            <w:tcW w:type="dxa" w:w="4320"/>
            <w:vAlign w:val="top"/>
            <w:shd w:fill="F8FAFC"/>
          </w:tcPr>
          <w:p>
            <w:pPr>
              <w:spacing w:after="0"/>
            </w:pPr>
            <w:r>
              <w:rPr>
                <w:color w:val="1F2937"/>
                <w:sz w:val="16"/>
              </w:rPr>
              <w:t>Task-definition configuration only</w:t>
            </w:r>
          </w:p>
        </w:tc>
      </w:tr>
      <w:tr>
        <w:trPr>
          <w:cantSplit/>
        </w:trPr>
        <w:tc>
          <w:tcPr>
            <w:tcW w:type="dxa" w:w="3744"/>
            <w:vAlign w:val="top"/>
          </w:tcPr>
          <w:p>
            <w:pPr>
              <w:spacing w:after="0"/>
            </w:pPr>
            <w:r>
              <w:rPr>
                <w:color w:val="1F2937"/>
                <w:sz w:val="16"/>
              </w:rPr>
              <w:t>Existing environment or secret value changed</w:t>
            </w:r>
          </w:p>
        </w:tc>
        <w:tc>
          <w:tcPr>
            <w:tcW w:type="dxa" w:w="1800"/>
            <w:vAlign w:val="top"/>
          </w:tcPr>
          <w:p>
            <w:pPr>
              <w:spacing w:after="0"/>
            </w:pPr>
            <w:r>
              <w:rPr>
                <w:color w:val="1F2937"/>
                <w:sz w:val="16"/>
              </w:rPr>
              <w:t>Release-only</w:t>
            </w:r>
          </w:p>
        </w:tc>
        <w:tc>
          <w:tcPr>
            <w:tcW w:type="dxa" w:w="4320"/>
            <w:vAlign w:val="top"/>
          </w:tcPr>
          <w:p>
            <w:pPr>
              <w:spacing w:after="0"/>
            </w:pPr>
            <w:r>
              <w:rPr>
                <w:color w:val="1F2937"/>
                <w:sz w:val="16"/>
              </w:rPr>
              <w:t>Update secret version or task-definition runtime reference</w:t>
            </w:r>
          </w:p>
        </w:tc>
      </w:tr>
      <w:tr>
        <w:trPr>
          <w:cantSplit/>
        </w:trPr>
        <w:tc>
          <w:tcPr>
            <w:tcW w:type="dxa" w:w="3744"/>
            <w:vAlign w:val="top"/>
            <w:shd w:fill="F8FAFC"/>
          </w:tcPr>
          <w:p>
            <w:pPr>
              <w:spacing w:after="0"/>
            </w:pPr>
            <w:r>
              <w:rPr>
                <w:color w:val="1F2937"/>
                <w:sz w:val="16"/>
              </w:rPr>
              <w:t>CPU or memory within existing ECS model</w:t>
            </w:r>
          </w:p>
        </w:tc>
        <w:tc>
          <w:tcPr>
            <w:tcW w:type="dxa" w:w="1800"/>
            <w:vAlign w:val="top"/>
            <w:shd w:fill="F8FAFC"/>
          </w:tcPr>
          <w:p>
            <w:pPr>
              <w:spacing w:after="0"/>
            </w:pPr>
            <w:r>
              <w:rPr>
                <w:color w:val="1F2937"/>
                <w:sz w:val="16"/>
              </w:rPr>
              <w:t>Release-only</w:t>
            </w:r>
          </w:p>
        </w:tc>
        <w:tc>
          <w:tcPr>
            <w:tcW w:type="dxa" w:w="4320"/>
            <w:vAlign w:val="top"/>
            <w:shd w:fill="F8FAFC"/>
          </w:tcPr>
          <w:p>
            <w:pPr>
              <w:spacing w:after="0"/>
            </w:pPr>
            <w:r>
              <w:rPr>
                <w:color w:val="1F2937"/>
                <w:sz w:val="16"/>
              </w:rPr>
              <w:t>New task-definition revision</w:t>
            </w:r>
          </w:p>
        </w:tc>
      </w:tr>
      <w:tr>
        <w:trPr>
          <w:cantSplit/>
        </w:trPr>
        <w:tc>
          <w:tcPr>
            <w:tcW w:type="dxa" w:w="3744"/>
            <w:vAlign w:val="top"/>
          </w:tcPr>
          <w:p>
            <w:pPr>
              <w:spacing w:after="0"/>
            </w:pPr>
            <w:r>
              <w:rPr>
                <w:color w:val="1F2937"/>
                <w:sz w:val="16"/>
              </w:rPr>
              <w:t>Port or health path with no ALB structural change</w:t>
            </w:r>
          </w:p>
        </w:tc>
        <w:tc>
          <w:tcPr>
            <w:tcW w:type="dxa" w:w="1800"/>
            <w:vAlign w:val="top"/>
          </w:tcPr>
          <w:p>
            <w:pPr>
              <w:spacing w:after="0"/>
            </w:pPr>
            <w:r>
              <w:rPr>
                <w:color w:val="1F2937"/>
                <w:sz w:val="16"/>
              </w:rPr>
              <w:t>Release-only</w:t>
            </w:r>
          </w:p>
        </w:tc>
        <w:tc>
          <w:tcPr>
            <w:tcW w:type="dxa" w:w="4320"/>
            <w:vAlign w:val="top"/>
          </w:tcPr>
          <w:p>
            <w:pPr>
              <w:spacing w:after="0"/>
            </w:pPr>
            <w:r>
              <w:rPr>
                <w:color w:val="1F2937"/>
                <w:sz w:val="16"/>
              </w:rPr>
              <w:t>Task definition and target-group runtime settings only if supported safely</w:t>
            </w:r>
          </w:p>
        </w:tc>
      </w:tr>
      <w:tr>
        <w:trPr>
          <w:cantSplit/>
        </w:trPr>
        <w:tc>
          <w:tcPr>
            <w:tcW w:type="dxa" w:w="3744"/>
            <w:vAlign w:val="top"/>
            <w:shd w:fill="F8FAFC"/>
          </w:tcPr>
          <w:p>
            <w:pPr>
              <w:spacing w:after="0"/>
            </w:pPr>
            <w:r>
              <w:rPr>
                <w:color w:val="1F2937"/>
                <w:sz w:val="16"/>
              </w:rPr>
              <w:t>First deployment</w:t>
            </w:r>
          </w:p>
        </w:tc>
        <w:tc>
          <w:tcPr>
            <w:tcW w:type="dxa" w:w="1800"/>
            <w:vAlign w:val="top"/>
            <w:shd w:fill="F8FAFC"/>
          </w:tcPr>
          <w:p>
            <w:pPr>
              <w:spacing w:after="0"/>
            </w:pPr>
            <w:r>
              <w:rPr>
                <w:color w:val="1F2937"/>
                <w:sz w:val="16"/>
              </w:rPr>
              <w:t>Infrastructure</w:t>
            </w:r>
          </w:p>
        </w:tc>
        <w:tc>
          <w:tcPr>
            <w:tcW w:type="dxa" w:w="4320"/>
            <w:vAlign w:val="top"/>
            <w:shd w:fill="F8FAFC"/>
          </w:tcPr>
          <w:p>
            <w:pPr>
              <w:spacing w:after="0"/>
            </w:pPr>
            <w:r>
              <w:rPr>
                <w:color w:val="1F2937"/>
                <w:sz w:val="16"/>
              </w:rPr>
              <w:t>Cloud resources do not yet exist</w:t>
            </w:r>
          </w:p>
        </w:tc>
      </w:tr>
      <w:tr>
        <w:trPr>
          <w:cantSplit/>
        </w:trPr>
        <w:tc>
          <w:tcPr>
            <w:tcW w:type="dxa" w:w="3744"/>
            <w:vAlign w:val="top"/>
          </w:tcPr>
          <w:p>
            <w:pPr>
              <w:spacing w:after="0"/>
            </w:pPr>
            <w:r>
              <w:rPr>
                <w:color w:val="1F2937"/>
                <w:sz w:val="16"/>
              </w:rPr>
              <w:t>Add or remove PostgreSQL, Redis, storage, or another service</w:t>
            </w:r>
          </w:p>
        </w:tc>
        <w:tc>
          <w:tcPr>
            <w:tcW w:type="dxa" w:w="1800"/>
            <w:vAlign w:val="top"/>
          </w:tcPr>
          <w:p>
            <w:pPr>
              <w:spacing w:after="0"/>
            </w:pPr>
            <w:r>
              <w:rPr>
                <w:color w:val="1F2937"/>
                <w:sz w:val="16"/>
              </w:rPr>
              <w:t>Infrastructure</w:t>
            </w:r>
          </w:p>
        </w:tc>
        <w:tc>
          <w:tcPr>
            <w:tcW w:type="dxa" w:w="4320"/>
            <w:vAlign w:val="top"/>
          </w:tcPr>
          <w:p>
            <w:pPr>
              <w:spacing w:after="0"/>
            </w:pPr>
            <w:r>
              <w:rPr>
                <w:color w:val="1F2937"/>
                <w:sz w:val="16"/>
              </w:rPr>
              <w:t>Creates or removes managed resources and bindings</w:t>
            </w:r>
          </w:p>
        </w:tc>
      </w:tr>
      <w:tr>
        <w:trPr>
          <w:cantSplit/>
        </w:trPr>
        <w:tc>
          <w:tcPr>
            <w:tcW w:type="dxa" w:w="3744"/>
            <w:vAlign w:val="top"/>
            <w:shd w:fill="F8FAFC"/>
          </w:tcPr>
          <w:p>
            <w:pPr>
              <w:spacing w:after="0"/>
            </w:pPr>
            <w:r>
              <w:rPr>
                <w:color w:val="1F2937"/>
                <w:sz w:val="16"/>
              </w:rPr>
              <w:t>VPC, subnet, security group, ALB listener, TLS, domain, IAM structure</w:t>
            </w:r>
          </w:p>
        </w:tc>
        <w:tc>
          <w:tcPr>
            <w:tcW w:type="dxa" w:w="1800"/>
            <w:vAlign w:val="top"/>
            <w:shd w:fill="F8FAFC"/>
          </w:tcPr>
          <w:p>
            <w:pPr>
              <w:spacing w:after="0"/>
            </w:pPr>
            <w:r>
              <w:rPr>
                <w:color w:val="1F2937"/>
                <w:sz w:val="16"/>
              </w:rPr>
              <w:t>Infrastructure</w:t>
            </w:r>
          </w:p>
        </w:tc>
        <w:tc>
          <w:tcPr>
            <w:tcW w:type="dxa" w:w="4320"/>
            <w:vAlign w:val="top"/>
            <w:shd w:fill="F8FAFC"/>
          </w:tcPr>
          <w:p>
            <w:pPr>
              <w:spacing w:after="0"/>
            </w:pPr>
            <w:r>
              <w:rPr>
                <w:color w:val="1F2937"/>
                <w:sz w:val="16"/>
              </w:rPr>
              <w:t>Changes cloud topology or policy</w:t>
            </w:r>
          </w:p>
        </w:tc>
      </w:tr>
      <w:tr>
        <w:trPr>
          <w:cantSplit/>
        </w:trPr>
        <w:tc>
          <w:tcPr>
            <w:tcW w:type="dxa" w:w="3744"/>
            <w:vAlign w:val="top"/>
          </w:tcPr>
          <w:p>
            <w:pPr>
              <w:spacing w:after="0"/>
            </w:pPr>
            <w:r>
              <w:rPr>
                <w:color w:val="1F2937"/>
                <w:sz w:val="16"/>
              </w:rPr>
              <w:t>Database class, storage, backup policy, region</w:t>
            </w:r>
          </w:p>
        </w:tc>
        <w:tc>
          <w:tcPr>
            <w:tcW w:type="dxa" w:w="1800"/>
            <w:vAlign w:val="top"/>
          </w:tcPr>
          <w:p>
            <w:pPr>
              <w:spacing w:after="0"/>
            </w:pPr>
            <w:r>
              <w:rPr>
                <w:color w:val="1F2937"/>
                <w:sz w:val="16"/>
              </w:rPr>
              <w:t>Infrastructure</w:t>
            </w:r>
          </w:p>
        </w:tc>
        <w:tc>
          <w:tcPr>
            <w:tcW w:type="dxa" w:w="4320"/>
            <w:vAlign w:val="top"/>
          </w:tcPr>
          <w:p>
            <w:pPr>
              <w:spacing w:after="0"/>
            </w:pPr>
            <w:r>
              <w:rPr>
                <w:color w:val="1F2937"/>
                <w:sz w:val="16"/>
              </w:rPr>
              <w:t>Changes persistent infrastructure</w:t>
            </w:r>
          </w:p>
        </w:tc>
      </w:tr>
      <w:tr>
        <w:trPr>
          <w:cantSplit/>
        </w:trPr>
        <w:tc>
          <w:tcPr>
            <w:tcW w:type="dxa" w:w="3744"/>
            <w:vAlign w:val="top"/>
            <w:shd w:fill="F8FAFC"/>
          </w:tcPr>
          <w:p>
            <w:pPr>
              <w:spacing w:after="0"/>
            </w:pPr>
            <w:r>
              <w:rPr>
                <w:color w:val="1F2937"/>
                <w:sz w:val="16"/>
              </w:rPr>
              <w:t>Project display name, description, UI preference, notification setting</w:t>
            </w:r>
          </w:p>
        </w:tc>
        <w:tc>
          <w:tcPr>
            <w:tcW w:type="dxa" w:w="1800"/>
            <w:vAlign w:val="top"/>
            <w:shd w:fill="F8FAFC"/>
          </w:tcPr>
          <w:p>
            <w:pPr>
              <w:spacing w:after="0"/>
            </w:pPr>
            <w:r>
              <w:rPr>
                <w:color w:val="1F2937"/>
                <w:sz w:val="16"/>
              </w:rPr>
              <w:t>No-op</w:t>
            </w:r>
          </w:p>
        </w:tc>
        <w:tc>
          <w:tcPr>
            <w:tcW w:type="dxa" w:w="4320"/>
            <w:vAlign w:val="top"/>
            <w:shd w:fill="F8FAFC"/>
          </w:tcPr>
          <w:p>
            <w:pPr>
              <w:spacing w:after="0"/>
            </w:pPr>
            <w:r>
              <w:rPr>
                <w:color w:val="1F2937"/>
                <w:sz w:val="16"/>
              </w:rPr>
              <w:t>Does not affect deployment</w:t>
            </w:r>
          </w:p>
        </w:tc>
      </w:tr>
      <w:tr>
        <w:trPr>
          <w:cantSplit/>
        </w:trPr>
        <w:tc>
          <w:tcPr>
            <w:tcW w:type="dxa" w:w="3744"/>
            <w:vAlign w:val="top"/>
          </w:tcPr>
          <w:p>
            <w:pPr>
              <w:spacing w:after="0"/>
            </w:pPr>
            <w:r>
              <w:rPr>
                <w:color w:val="1F2937"/>
                <w:sz w:val="16"/>
              </w:rPr>
              <w:t>Inventory refresh, health observation, timestamps, audit writes</w:t>
            </w:r>
          </w:p>
        </w:tc>
        <w:tc>
          <w:tcPr>
            <w:tcW w:type="dxa" w:w="1800"/>
            <w:vAlign w:val="top"/>
          </w:tcPr>
          <w:p>
            <w:pPr>
              <w:spacing w:after="0"/>
            </w:pPr>
            <w:r>
              <w:rPr>
                <w:color w:val="1F2937"/>
                <w:sz w:val="16"/>
              </w:rPr>
              <w:t>No-op</w:t>
            </w:r>
          </w:p>
        </w:tc>
        <w:tc>
          <w:tcPr>
            <w:tcW w:type="dxa" w:w="4320"/>
            <w:vAlign w:val="top"/>
          </w:tcPr>
          <w:p>
            <w:pPr>
              <w:spacing w:after="0"/>
            </w:pPr>
            <w:r>
              <w:rPr>
                <w:color w:val="1F2937"/>
                <w:sz w:val="16"/>
              </w:rPr>
              <w:t>Operational evidence only</w:t>
            </w:r>
          </w:p>
        </w:tc>
      </w:tr>
    </w:tbl>
    <w:p>
      <w:pPr>
        <w:spacing w:after="0"/>
      </w:pPr>
    </w:p>
    <w:tbl>
      <w:tblPr>
        <w:tblW w:type="auto" w:w="0"/>
        <w:jc w:val="center"/>
        <w:tblLook w:firstColumn="1" w:firstRow="1" w:lastColumn="0" w:lastRow="0" w:noHBand="0" w:noVBand="1" w:val="04A0"/>
      </w:tblPr>
      <w:tblGrid>
        <w:gridCol w:w="10166"/>
      </w:tblGrid>
      <w:tr>
        <w:tc>
          <w:tcPr>
            <w:tcW w:type="dxa" w:w="10166"/>
            <w:shd w:fill="EAF8F4"/>
            <w:tcBorders>
              <w:top w:val="single" w:sz="8" w:color="0F766E"/>
              <w:left w:val="single" w:sz="8" w:color="0F766E"/>
              <w:bottom w:val="single" w:sz="8" w:color="0F766E"/>
              <w:right w:val="single" w:sz="8" w:color="0F766E"/>
              <w:insideH w:val="single" w:sz="8" w:color="0F766E"/>
              <w:insideV w:val="single" w:sz="8" w:color="0F766E"/>
            </w:tcBorders>
          </w:tcPr>
          <w:p>
            <w:pPr>
              <w:spacing w:after="0"/>
            </w:pPr>
            <w:r>
              <w:rPr>
                <w:b/>
                <w:color w:val="0F766E"/>
              </w:rPr>
              <w:t>Classifier output contract</w:t>
              <w:br/>
            </w:r>
            <w:r>
              <w:t>The classifier should return lane, reasons, affected revision domains, required locks, whether a new plan is needed, whether the current image can be reused, and whether the active release remains valid.</w:t>
            </w:r>
          </w:p>
        </w:tc>
      </w:tr>
    </w:tbl>
    <w:p>
      <w:pPr>
        <w:spacing w:after="0"/>
      </w:pPr>
    </w:p>
    <w:p>
      <w:pPr>
        <w:pStyle w:val="Heading1"/>
        <w:keepNext/>
      </w:pPr>
      <w:r>
        <w:rPr>
          <w:color w:val="102A43"/>
        </w:rPr>
        <w:t>6. Release Lane - Every Push</w:t>
      </w:r>
    </w:p>
    <w:tbl>
      <w:tblPr>
        <w:tblW w:type="auto" w:w="0"/>
        <w:jc w:val="center"/>
        <w:tblLook w:firstColumn="1" w:firstRow="1" w:lastColumn="0" w:lastRow="0" w:noHBand="0" w:noVBand="1" w:val="04A0"/>
      </w:tblPr>
      <w:tblGrid>
        <w:gridCol w:w="678"/>
        <w:gridCol w:w="678"/>
        <w:gridCol w:w="678"/>
        <w:gridCol w:w="678"/>
        <w:gridCol w:w="678"/>
        <w:gridCol w:w="678"/>
        <w:gridCol w:w="678"/>
        <w:gridCol w:w="678"/>
        <w:gridCol w:w="678"/>
        <w:gridCol w:w="678"/>
        <w:gridCol w:w="678"/>
        <w:gridCol w:w="678"/>
        <w:gridCol w:w="678"/>
        <w:gridCol w:w="678"/>
        <w:gridCol w:w="678"/>
      </w:tblGrid>
      <w:tr>
        <w:tc>
          <w:tcPr>
            <w:tcW w:type="dxa" w:w="678"/>
            <w:shd w:fill="EAF2FF"/>
            <w:tcBorders>
              <w:top w:val="single" w:sz="6" w:color="D0D5DD"/>
              <w:left w:val="single" w:sz="6" w:color="D0D5DD"/>
              <w:bottom w:val="single" w:sz="6" w:color="D0D5DD"/>
              <w:right w:val="single" w:sz="6" w:color="D0D5DD"/>
              <w:insideH w:val="single" w:sz="6" w:color="D0D5DD"/>
              <w:insideV w:val="single" w:sz="6" w:color="D0D5DD"/>
            </w:tcBorders>
            <w:vAlign w:val="center"/>
          </w:tcPr>
          <w:p>
            <w:pPr>
              <w:spacing w:after="0"/>
              <w:jc w:val="center"/>
            </w:pPr>
            <w:r>
              <w:rPr>
                <w:b/>
                <w:sz w:val="18"/>
              </w:rPr>
              <w:t>Git push</w:t>
            </w:r>
          </w:p>
        </w:tc>
        <w:tc>
          <w:tcPr>
            <w:tcW w:type="dxa" w:w="678"/>
            <w:vAlign w:val="center"/>
          </w:tcPr>
          <w:p>
            <w:pPr>
              <w:spacing w:after="0"/>
              <w:jc w:val="center"/>
            </w:pPr>
            <w:r>
              <w:rPr>
                <w:b/>
                <w:color w:val="475569"/>
                <w:sz w:val="28"/>
              </w:rPr>
              <w:t>→</w:t>
            </w:r>
          </w:p>
        </w:tc>
        <w:tc>
          <w:tcPr>
            <w:tcW w:type="dxa" w:w="678"/>
            <w:shd w:fill="EAF2FF"/>
            <w:tcBorders>
              <w:top w:val="single" w:sz="6" w:color="D0D5DD"/>
              <w:left w:val="single" w:sz="6" w:color="D0D5DD"/>
              <w:bottom w:val="single" w:sz="6" w:color="D0D5DD"/>
              <w:right w:val="single" w:sz="6" w:color="D0D5DD"/>
              <w:insideH w:val="single" w:sz="6" w:color="D0D5DD"/>
              <w:insideV w:val="single" w:sz="6" w:color="D0D5DD"/>
            </w:tcBorders>
            <w:vAlign w:val="center"/>
          </w:tcPr>
          <w:p>
            <w:pPr>
              <w:spacing w:after="0"/>
              <w:jc w:val="center"/>
            </w:pPr>
            <w:r>
              <w:rPr>
                <w:b/>
                <w:sz w:val="18"/>
              </w:rPr>
              <w:t>Analyze</w:t>
            </w:r>
          </w:p>
        </w:tc>
        <w:tc>
          <w:tcPr>
            <w:tcW w:type="dxa" w:w="678"/>
            <w:vAlign w:val="center"/>
          </w:tcPr>
          <w:p>
            <w:pPr>
              <w:spacing w:after="0"/>
              <w:jc w:val="center"/>
            </w:pPr>
            <w:r>
              <w:rPr>
                <w:b/>
                <w:color w:val="475569"/>
                <w:sz w:val="28"/>
              </w:rPr>
              <w:t>→</w:t>
            </w:r>
          </w:p>
        </w:tc>
        <w:tc>
          <w:tcPr>
            <w:tcW w:type="dxa" w:w="678"/>
            <w:shd w:fill="ECFDF3"/>
            <w:tcBorders>
              <w:top w:val="single" w:sz="6" w:color="D0D5DD"/>
              <w:left w:val="single" w:sz="6" w:color="D0D5DD"/>
              <w:bottom w:val="single" w:sz="6" w:color="D0D5DD"/>
              <w:right w:val="single" w:sz="6" w:color="D0D5DD"/>
              <w:insideH w:val="single" w:sz="6" w:color="D0D5DD"/>
              <w:insideV w:val="single" w:sz="6" w:color="D0D5DD"/>
            </w:tcBorders>
            <w:vAlign w:val="center"/>
          </w:tcPr>
          <w:p>
            <w:pPr>
              <w:spacing w:after="0"/>
              <w:jc w:val="center"/>
            </w:pPr>
            <w:r>
              <w:rPr>
                <w:b/>
                <w:sz w:val="18"/>
              </w:rPr>
              <w:t>Build + scan</w:t>
            </w:r>
          </w:p>
        </w:tc>
        <w:tc>
          <w:tcPr>
            <w:tcW w:type="dxa" w:w="678"/>
            <w:vAlign w:val="center"/>
          </w:tcPr>
          <w:p>
            <w:pPr>
              <w:spacing w:after="0"/>
              <w:jc w:val="center"/>
            </w:pPr>
            <w:r>
              <w:rPr>
                <w:b/>
                <w:color w:val="475569"/>
                <w:sz w:val="28"/>
              </w:rPr>
              <w:t>→</w:t>
            </w:r>
          </w:p>
        </w:tc>
        <w:tc>
          <w:tcPr>
            <w:tcW w:type="dxa" w:w="678"/>
            <w:shd w:fill="ECFDF3"/>
            <w:tcBorders>
              <w:top w:val="single" w:sz="6" w:color="D0D5DD"/>
              <w:left w:val="single" w:sz="6" w:color="D0D5DD"/>
              <w:bottom w:val="single" w:sz="6" w:color="D0D5DD"/>
              <w:right w:val="single" w:sz="6" w:color="D0D5DD"/>
              <w:insideH w:val="single" w:sz="6" w:color="D0D5DD"/>
              <w:insideV w:val="single" w:sz="6" w:color="D0D5DD"/>
            </w:tcBorders>
            <w:vAlign w:val="center"/>
          </w:tcPr>
          <w:p>
            <w:pPr>
              <w:spacing w:after="0"/>
              <w:jc w:val="center"/>
            </w:pPr>
            <w:r>
              <w:rPr>
                <w:b/>
                <w:sz w:val="18"/>
              </w:rPr>
              <w:t>Push ECR</w:t>
            </w:r>
          </w:p>
        </w:tc>
        <w:tc>
          <w:tcPr>
            <w:tcW w:type="dxa" w:w="678"/>
            <w:vAlign w:val="center"/>
          </w:tcPr>
          <w:p>
            <w:pPr>
              <w:spacing w:after="0"/>
              <w:jc w:val="center"/>
            </w:pPr>
            <w:r>
              <w:rPr>
                <w:b/>
                <w:color w:val="475569"/>
                <w:sz w:val="28"/>
              </w:rPr>
              <w:t>→</w:t>
            </w:r>
          </w:p>
        </w:tc>
        <w:tc>
          <w:tcPr>
            <w:tcW w:type="dxa" w:w="678"/>
            <w:shd w:fill="ECFDF3"/>
            <w:tcBorders>
              <w:top w:val="single" w:sz="6" w:color="D0D5DD"/>
              <w:left w:val="single" w:sz="6" w:color="D0D5DD"/>
              <w:bottom w:val="single" w:sz="6" w:color="D0D5DD"/>
              <w:right w:val="single" w:sz="6" w:color="D0D5DD"/>
              <w:insideH w:val="single" w:sz="6" w:color="D0D5DD"/>
              <w:insideV w:val="single" w:sz="6" w:color="D0D5DD"/>
            </w:tcBorders>
            <w:vAlign w:val="center"/>
          </w:tcPr>
          <w:p>
            <w:pPr>
              <w:spacing w:after="0"/>
              <w:jc w:val="center"/>
            </w:pPr>
            <w:r>
              <w:rPr>
                <w:b/>
                <w:sz w:val="18"/>
              </w:rPr>
              <w:t>Task revision</w:t>
            </w:r>
          </w:p>
        </w:tc>
        <w:tc>
          <w:tcPr>
            <w:tcW w:type="dxa" w:w="678"/>
            <w:vAlign w:val="center"/>
          </w:tcPr>
          <w:p>
            <w:pPr>
              <w:spacing w:after="0"/>
              <w:jc w:val="center"/>
            </w:pPr>
            <w:r>
              <w:rPr>
                <w:b/>
                <w:color w:val="475569"/>
                <w:sz w:val="28"/>
              </w:rPr>
              <w:t>→</w:t>
            </w:r>
          </w:p>
        </w:tc>
        <w:tc>
          <w:tcPr>
            <w:tcW w:type="dxa" w:w="678"/>
            <w:shd w:fill="ECFDF3"/>
            <w:tcBorders>
              <w:top w:val="single" w:sz="6" w:color="D0D5DD"/>
              <w:left w:val="single" w:sz="6" w:color="D0D5DD"/>
              <w:bottom w:val="single" w:sz="6" w:color="D0D5DD"/>
              <w:right w:val="single" w:sz="6" w:color="D0D5DD"/>
              <w:insideH w:val="single" w:sz="6" w:color="D0D5DD"/>
              <w:insideV w:val="single" w:sz="6" w:color="D0D5DD"/>
            </w:tcBorders>
            <w:vAlign w:val="center"/>
          </w:tcPr>
          <w:p>
            <w:pPr>
              <w:spacing w:after="0"/>
              <w:jc w:val="center"/>
            </w:pPr>
            <w:r>
              <w:rPr>
                <w:b/>
                <w:sz w:val="18"/>
              </w:rPr>
              <w:t>ECS update</w:t>
            </w:r>
          </w:p>
        </w:tc>
        <w:tc>
          <w:tcPr>
            <w:tcW w:type="dxa" w:w="678"/>
            <w:vAlign w:val="center"/>
          </w:tcPr>
          <w:p>
            <w:pPr>
              <w:spacing w:after="0"/>
              <w:jc w:val="center"/>
            </w:pPr>
            <w:r>
              <w:rPr>
                <w:b/>
                <w:color w:val="475569"/>
                <w:sz w:val="28"/>
              </w:rPr>
              <w:t>→</w:t>
            </w:r>
          </w:p>
        </w:tc>
        <w:tc>
          <w:tcPr>
            <w:tcW w:type="dxa" w:w="678"/>
            <w:shd w:fill="F3EEFF"/>
            <w:tcBorders>
              <w:top w:val="single" w:sz="6" w:color="D0D5DD"/>
              <w:left w:val="single" w:sz="6" w:color="D0D5DD"/>
              <w:bottom w:val="single" w:sz="6" w:color="D0D5DD"/>
              <w:right w:val="single" w:sz="6" w:color="D0D5DD"/>
              <w:insideH w:val="single" w:sz="6" w:color="D0D5DD"/>
              <w:insideV w:val="single" w:sz="6" w:color="D0D5DD"/>
            </w:tcBorders>
            <w:vAlign w:val="center"/>
          </w:tcPr>
          <w:p>
            <w:pPr>
              <w:spacing w:after="0"/>
              <w:jc w:val="center"/>
            </w:pPr>
            <w:r>
              <w:rPr>
                <w:b/>
                <w:sz w:val="18"/>
              </w:rPr>
              <w:t>Health</w:t>
            </w:r>
          </w:p>
        </w:tc>
        <w:tc>
          <w:tcPr>
            <w:tcW w:type="dxa" w:w="678"/>
            <w:vAlign w:val="center"/>
          </w:tcPr>
          <w:p>
            <w:pPr>
              <w:spacing w:after="0"/>
              <w:jc w:val="center"/>
            </w:pPr>
            <w:r>
              <w:rPr>
                <w:b/>
                <w:color w:val="475569"/>
                <w:sz w:val="28"/>
              </w:rPr>
              <w:t>→</w:t>
            </w:r>
          </w:p>
        </w:tc>
        <w:tc>
          <w:tcPr>
            <w:tcW w:type="dxa" w:w="678"/>
            <w:shd w:fill="ECFDF3"/>
            <w:tcBorders>
              <w:top w:val="single" w:sz="6" w:color="D0D5DD"/>
              <w:left w:val="single" w:sz="6" w:color="D0D5DD"/>
              <w:bottom w:val="single" w:sz="6" w:color="D0D5DD"/>
              <w:right w:val="single" w:sz="6" w:color="D0D5DD"/>
              <w:insideH w:val="single" w:sz="6" w:color="D0D5DD"/>
              <w:insideV w:val="single" w:sz="6" w:color="D0D5DD"/>
            </w:tcBorders>
            <w:vAlign w:val="center"/>
          </w:tcPr>
          <w:p>
            <w:pPr>
              <w:spacing w:after="0"/>
              <w:jc w:val="center"/>
            </w:pPr>
            <w:r>
              <w:rPr>
                <w:b/>
                <w:sz w:val="18"/>
              </w:rPr>
              <w:t>Live</w:t>
            </w:r>
          </w:p>
        </w:tc>
      </w:tr>
    </w:tbl>
    <w:p>
      <w:pPr>
        <w:spacing w:after="0"/>
      </w:pPr>
    </w:p>
    <w:p>
      <w:r>
        <w:t>The release lane is the default path for normal development. It reuses long-lived infrastructure and changes only the application release identity.</w:t>
      </w:r>
    </w:p>
    <w:p>
      <w:pPr>
        <w:pStyle w:val="Heading2"/>
        <w:keepNext/>
      </w:pPr>
      <w:r>
        <w:rPr>
          <w:color w:val="0F766E"/>
        </w:rPr>
        <w:t>Release sequence</w:t>
      </w:r>
    </w:p>
    <w:p>
      <w:pPr>
        <w:ind w:left="317" w:hanging="317"/>
      </w:pPr>
      <w:r>
        <w:rPr>
          <w:b/>
        </w:rPr>
        <w:t xml:space="preserve">1. </w:t>
      </w:r>
      <w:r>
        <w:t>Create an immutable release candidate for the new commit.</w:t>
      </w:r>
    </w:p>
    <w:p>
      <w:pPr>
        <w:ind w:left="317" w:hanging="317"/>
      </w:pPr>
      <w:r>
        <w:rPr>
          <w:b/>
        </w:rPr>
        <w:t xml:space="preserve">2. </w:t>
      </w:r>
      <w:r>
        <w:t>Analyze the repository and resolve current application-owned runtime requirements.</w:t>
      </w:r>
    </w:p>
    <w:p>
      <w:pPr>
        <w:ind w:left="317" w:hanging="317"/>
      </w:pPr>
      <w:r>
        <w:rPr>
          <w:b/>
        </w:rPr>
        <w:t xml:space="preserve">3. </w:t>
      </w:r>
      <w:r>
        <w:t>Build the container image, scan it, and push an immutable digest to ECR.</w:t>
      </w:r>
    </w:p>
    <w:p>
      <w:pPr>
        <w:ind w:left="317" w:hanging="317"/>
      </w:pPr>
      <w:r>
        <w:rPr>
          <w:b/>
        </w:rPr>
        <w:t xml:space="preserve">4. </w:t>
      </w:r>
      <w:r>
        <w:t>Render and validate a new ECS task-definition revision from the active infrastructure revision and release configuration.</w:t>
      </w:r>
    </w:p>
    <w:p>
      <w:pPr>
        <w:ind w:left="317" w:hanging="317"/>
      </w:pPr>
      <w:r>
        <w:rPr>
          <w:b/>
        </w:rPr>
        <w:t xml:space="preserve">5. </w:t>
      </w:r>
      <w:r>
        <w:t>Acquire the release lock for project and environment.</w:t>
      </w:r>
    </w:p>
    <w:p>
      <w:pPr>
        <w:ind w:left="317" w:hanging="317"/>
      </w:pPr>
      <w:r>
        <w:rPr>
          <w:b/>
        </w:rPr>
        <w:t xml:space="preserve">6. </w:t>
      </w:r>
      <w:r>
        <w:t>Update the long-lived ECS service to the exact new task-definition revision.</w:t>
      </w:r>
    </w:p>
    <w:p>
      <w:pPr>
        <w:ind w:left="317" w:hanging="317"/>
      </w:pPr>
      <w:r>
        <w:rPr>
          <w:b/>
        </w:rPr>
        <w:t xml:space="preserve">7. </w:t>
      </w:r>
      <w:r>
        <w:t>Wait for ECS rollout, ALB target health, and application health endpoint success.</w:t>
      </w:r>
    </w:p>
    <w:p>
      <w:pPr>
        <w:ind w:left="317" w:hanging="317"/>
      </w:pPr>
      <w:r>
        <w:rPr>
          <w:b/>
        </w:rPr>
        <w:t xml:space="preserve">8. </w:t>
      </w:r>
      <w:r>
        <w:t>Mark the release stable and update the live URL/status.</w:t>
      </w:r>
    </w:p>
    <w:p>
      <w:pPr>
        <w:pStyle w:val="Heading2"/>
        <w:keepNext/>
      </w:pPr>
      <w:r>
        <w:rPr>
          <w:color w:val="0F766E"/>
        </w:rPr>
        <w:t>Release-lane invariants</w:t>
      </w:r>
    </w:p>
    <w:p>
      <w:pPr>
        <w:pStyle w:val="ListBullet"/>
        <w:spacing w:after="40"/>
      </w:pPr>
      <w:r>
        <w:t>Terraform is not initialized, planned, or applied for a release-only change.</w:t>
      </w:r>
    </w:p>
    <w:p>
      <w:pPr>
        <w:pStyle w:val="ListBullet"/>
        <w:spacing w:after="40"/>
      </w:pPr>
      <w:r>
        <w:t>Multiple commits may build concurrently, but only one release promotion may update the ECS service at a time.</w:t>
      </w:r>
    </w:p>
    <w:p>
      <w:pPr>
        <w:pStyle w:val="ListBullet"/>
        <w:spacing w:after="40"/>
      </w:pPr>
      <w:r>
        <w:t>The newest successful valid build becomes the deployment candidate; superseded builds remain historical.</w:t>
      </w:r>
    </w:p>
    <w:p>
      <w:pPr>
        <w:pStyle w:val="ListBullet"/>
        <w:spacing w:after="40"/>
      </w:pPr>
      <w:r>
        <w:t>A release references the exact infrastructure revision it expects.</w:t>
      </w:r>
    </w:p>
    <w:p>
      <w:pPr>
        <w:pStyle w:val="ListBullet"/>
        <w:spacing w:after="40"/>
      </w:pPr>
      <w:r>
        <w:t>A failed health check preserves the infrastructure and previous stable release.</w:t>
      </w:r>
    </w:p>
    <w:p>
      <w:pPr>
        <w:pStyle w:val="ListBullet"/>
        <w:spacing w:after="40"/>
      </w:pPr>
      <w:r>
        <w:t>Rollback means repointing the ECS service to a previously stable task-definition revision.</w:t>
      </w:r>
    </w:p>
    <w:p>
      <w:pPr>
        <w:pStyle w:val="Heading1"/>
        <w:keepNext/>
      </w:pPr>
      <w:r>
        <w:rPr>
          <w:color w:val="102A43"/>
        </w:rPr>
        <w:t>7. Infrastructure Lane - Rare Changes</w:t>
      </w:r>
    </w:p>
    <w:tbl>
      <w:tblPr>
        <w:tblW w:type="auto" w:w="0"/>
        <w:jc w:val="center"/>
        <w:tblLook w:firstColumn="1" w:firstRow="1" w:lastColumn="0" w:lastRow="0" w:noHBand="0" w:noVBand="1" w:val="04A0"/>
      </w:tblPr>
      <w:tblGrid>
        <w:gridCol w:w="924"/>
        <w:gridCol w:w="924"/>
        <w:gridCol w:w="924"/>
        <w:gridCol w:w="924"/>
        <w:gridCol w:w="924"/>
        <w:gridCol w:w="924"/>
        <w:gridCol w:w="924"/>
        <w:gridCol w:w="924"/>
        <w:gridCol w:w="924"/>
        <w:gridCol w:w="924"/>
        <w:gridCol w:w="924"/>
      </w:tblGrid>
      <w:tr>
        <w:tc>
          <w:tcPr>
            <w:tcW w:type="dxa" w:w="924"/>
            <w:shd w:fill="FFF3E8"/>
            <w:tcBorders>
              <w:top w:val="single" w:sz="6" w:color="D0D5DD"/>
              <w:left w:val="single" w:sz="6" w:color="D0D5DD"/>
              <w:bottom w:val="single" w:sz="6" w:color="D0D5DD"/>
              <w:right w:val="single" w:sz="6" w:color="D0D5DD"/>
              <w:insideH w:val="single" w:sz="6" w:color="D0D5DD"/>
              <w:insideV w:val="single" w:sz="6" w:color="D0D5DD"/>
            </w:tcBorders>
            <w:vAlign w:val="center"/>
          </w:tcPr>
          <w:p>
            <w:pPr>
              <w:spacing w:after="0"/>
              <w:jc w:val="center"/>
            </w:pPr>
            <w:r>
              <w:rPr>
                <w:b/>
                <w:sz w:val="18"/>
              </w:rPr>
              <w:t>Classify infra</w:t>
            </w:r>
          </w:p>
        </w:tc>
        <w:tc>
          <w:tcPr>
            <w:tcW w:type="dxa" w:w="924"/>
            <w:vAlign w:val="center"/>
          </w:tcPr>
          <w:p>
            <w:pPr>
              <w:spacing w:after="0"/>
              <w:jc w:val="center"/>
            </w:pPr>
            <w:r>
              <w:rPr>
                <w:b/>
                <w:color w:val="475569"/>
                <w:sz w:val="28"/>
              </w:rPr>
              <w:t>→</w:t>
            </w:r>
          </w:p>
        </w:tc>
        <w:tc>
          <w:tcPr>
            <w:tcW w:type="dxa" w:w="924"/>
            <w:shd w:fill="FFF3E8"/>
            <w:tcBorders>
              <w:top w:val="single" w:sz="6" w:color="D0D5DD"/>
              <w:left w:val="single" w:sz="6" w:color="D0D5DD"/>
              <w:bottom w:val="single" w:sz="6" w:color="D0D5DD"/>
              <w:right w:val="single" w:sz="6" w:color="D0D5DD"/>
              <w:insideH w:val="single" w:sz="6" w:color="D0D5DD"/>
              <w:insideV w:val="single" w:sz="6" w:color="D0D5DD"/>
            </w:tcBorders>
            <w:vAlign w:val="center"/>
          </w:tcPr>
          <w:p>
            <w:pPr>
              <w:spacing w:after="0"/>
              <w:jc w:val="center"/>
            </w:pPr>
            <w:r>
              <w:rPr>
                <w:b/>
                <w:sz w:val="18"/>
              </w:rPr>
              <w:t>Terraform plan</w:t>
            </w:r>
          </w:p>
        </w:tc>
        <w:tc>
          <w:tcPr>
            <w:tcW w:type="dxa" w:w="924"/>
            <w:vAlign w:val="center"/>
          </w:tcPr>
          <w:p>
            <w:pPr>
              <w:spacing w:after="0"/>
              <w:jc w:val="center"/>
            </w:pPr>
            <w:r>
              <w:rPr>
                <w:b/>
                <w:color w:val="475569"/>
                <w:sz w:val="28"/>
              </w:rPr>
              <w:t>→</w:t>
            </w:r>
          </w:p>
        </w:tc>
        <w:tc>
          <w:tcPr>
            <w:tcW w:type="dxa" w:w="924"/>
            <w:shd w:fill="FFF3E8"/>
            <w:tcBorders>
              <w:top w:val="single" w:sz="6" w:color="D0D5DD"/>
              <w:left w:val="single" w:sz="6" w:color="D0D5DD"/>
              <w:bottom w:val="single" w:sz="6" w:color="D0D5DD"/>
              <w:right w:val="single" w:sz="6" w:color="D0D5DD"/>
              <w:insideH w:val="single" w:sz="6" w:color="D0D5DD"/>
              <w:insideV w:val="single" w:sz="6" w:color="D0D5DD"/>
            </w:tcBorders>
            <w:vAlign w:val="center"/>
          </w:tcPr>
          <w:p>
            <w:pPr>
              <w:spacing w:after="0"/>
              <w:jc w:val="center"/>
            </w:pPr>
            <w:r>
              <w:rPr>
                <w:b/>
                <w:sz w:val="18"/>
              </w:rPr>
              <w:t>Policy</w:t>
            </w:r>
          </w:p>
        </w:tc>
        <w:tc>
          <w:tcPr>
            <w:tcW w:type="dxa" w:w="924"/>
            <w:vAlign w:val="center"/>
          </w:tcPr>
          <w:p>
            <w:pPr>
              <w:spacing w:after="0"/>
              <w:jc w:val="center"/>
            </w:pPr>
            <w:r>
              <w:rPr>
                <w:b/>
                <w:color w:val="475569"/>
                <w:sz w:val="28"/>
              </w:rPr>
              <w:t>→</w:t>
            </w:r>
          </w:p>
        </w:tc>
        <w:tc>
          <w:tcPr>
            <w:tcW w:type="dxa" w:w="924"/>
            <w:shd w:fill="FFF3E8"/>
            <w:tcBorders>
              <w:top w:val="single" w:sz="6" w:color="D0D5DD"/>
              <w:left w:val="single" w:sz="6" w:color="D0D5DD"/>
              <w:bottom w:val="single" w:sz="6" w:color="D0D5DD"/>
              <w:right w:val="single" w:sz="6" w:color="D0D5DD"/>
              <w:insideH w:val="single" w:sz="6" w:color="D0D5DD"/>
              <w:insideV w:val="single" w:sz="6" w:color="D0D5DD"/>
            </w:tcBorders>
            <w:vAlign w:val="center"/>
          </w:tcPr>
          <w:p>
            <w:pPr>
              <w:spacing w:after="0"/>
              <w:jc w:val="center"/>
            </w:pPr>
            <w:r>
              <w:rPr>
                <w:b/>
                <w:sz w:val="18"/>
              </w:rPr>
              <w:t>Exact apply</w:t>
            </w:r>
          </w:p>
        </w:tc>
        <w:tc>
          <w:tcPr>
            <w:tcW w:type="dxa" w:w="924"/>
            <w:vAlign w:val="center"/>
          </w:tcPr>
          <w:p>
            <w:pPr>
              <w:spacing w:after="0"/>
              <w:jc w:val="center"/>
            </w:pPr>
            <w:r>
              <w:rPr>
                <w:b/>
                <w:color w:val="475569"/>
                <w:sz w:val="28"/>
              </w:rPr>
              <w:t>→</w:t>
            </w:r>
          </w:p>
        </w:tc>
        <w:tc>
          <w:tcPr>
            <w:tcW w:type="dxa" w:w="924"/>
            <w:shd w:fill="FFF3E8"/>
            <w:tcBorders>
              <w:top w:val="single" w:sz="6" w:color="D0D5DD"/>
              <w:left w:val="single" w:sz="6" w:color="D0D5DD"/>
              <w:bottom w:val="single" w:sz="6" w:color="D0D5DD"/>
              <w:right w:val="single" w:sz="6" w:color="D0D5DD"/>
              <w:insideH w:val="single" w:sz="6" w:color="D0D5DD"/>
              <w:insideV w:val="single" w:sz="6" w:color="D0D5DD"/>
            </w:tcBorders>
            <w:vAlign w:val="center"/>
          </w:tcPr>
          <w:p>
            <w:pPr>
              <w:spacing w:after="0"/>
              <w:jc w:val="center"/>
            </w:pPr>
            <w:r>
              <w:rPr>
                <w:b/>
                <w:sz w:val="18"/>
              </w:rPr>
              <w:t>Reconcile</w:t>
            </w:r>
          </w:p>
        </w:tc>
        <w:tc>
          <w:tcPr>
            <w:tcW w:type="dxa" w:w="924"/>
            <w:vAlign w:val="center"/>
          </w:tcPr>
          <w:p>
            <w:pPr>
              <w:spacing w:after="0"/>
              <w:jc w:val="center"/>
            </w:pPr>
            <w:r>
              <w:rPr>
                <w:b/>
                <w:color w:val="475569"/>
                <w:sz w:val="28"/>
              </w:rPr>
              <w:t>→</w:t>
            </w:r>
          </w:p>
        </w:tc>
        <w:tc>
          <w:tcPr>
            <w:tcW w:type="dxa" w:w="924"/>
            <w:shd w:fill="ECFDF3"/>
            <w:tcBorders>
              <w:top w:val="single" w:sz="6" w:color="D0D5DD"/>
              <w:left w:val="single" w:sz="6" w:color="D0D5DD"/>
              <w:bottom w:val="single" w:sz="6" w:color="D0D5DD"/>
              <w:right w:val="single" w:sz="6" w:color="D0D5DD"/>
              <w:insideH w:val="single" w:sz="6" w:color="D0D5DD"/>
              <w:insideV w:val="single" w:sz="6" w:color="D0D5DD"/>
            </w:tcBorders>
            <w:vAlign w:val="center"/>
          </w:tcPr>
          <w:p>
            <w:pPr>
              <w:spacing w:after="0"/>
              <w:jc w:val="center"/>
            </w:pPr>
            <w:r>
              <w:rPr>
                <w:b/>
                <w:sz w:val="18"/>
              </w:rPr>
              <w:t>Release lane</w:t>
            </w:r>
          </w:p>
        </w:tc>
      </w:tr>
    </w:tbl>
    <w:p>
      <w:pPr>
        <w:spacing w:after="0"/>
      </w:pPr>
    </w:p>
    <w:p>
      <w:r>
        <w:t>Terraform remains the infrastructure source of truth, but it is reserved for first deployment and genuine infrastructure changes. The lane is internal to DeployGuard and is not a developer workflow.</w:t>
      </w:r>
    </w:p>
    <w:p>
      <w:pPr>
        <w:pStyle w:val="Heading2"/>
        <w:keepNext/>
      </w:pPr>
      <w:r>
        <w:rPr>
          <w:color w:val="0F766E"/>
        </w:rPr>
        <w:t>Infrastructure sequence</w:t>
      </w:r>
    </w:p>
    <w:p>
      <w:pPr>
        <w:ind w:left="317" w:hanging="317"/>
      </w:pPr>
      <w:r>
        <w:rPr>
          <w:b/>
        </w:rPr>
        <w:t xml:space="preserve">1. </w:t>
      </w:r>
      <w:r>
        <w:t>Acquire the infrastructure lock for the project and environment.</w:t>
      </w:r>
    </w:p>
    <w:p>
      <w:pPr>
        <w:ind w:left="317" w:hanging="317"/>
      </w:pPr>
      <w:r>
        <w:rPr>
          <w:b/>
        </w:rPr>
        <w:t xml:space="preserve">2. </w:t>
      </w:r>
      <w:r>
        <w:t>Freeze the infrastructure desired-state revision and generate run-isolated Terraform inputs.</w:t>
      </w:r>
    </w:p>
    <w:p>
      <w:pPr>
        <w:ind w:left="317" w:hanging="317"/>
      </w:pPr>
      <w:r>
        <w:rPr>
          <w:b/>
        </w:rPr>
        <w:t xml:space="preserve">3. </w:t>
      </w:r>
      <w:r>
        <w:t>Create a saved Terraform plan using the stable remote-state key.</w:t>
      </w:r>
    </w:p>
    <w:p>
      <w:pPr>
        <w:ind w:left="317" w:hanging="317"/>
      </w:pPr>
      <w:r>
        <w:rPr>
          <w:b/>
        </w:rPr>
        <w:t xml:space="preserve">4. </w:t>
      </w:r>
      <w:r>
        <w:t>Evaluate policy, cost limits, persistent-resource impact, and destructive changes internally.</w:t>
      </w:r>
    </w:p>
    <w:p>
      <w:pPr>
        <w:ind w:left="317" w:hanging="317"/>
      </w:pPr>
      <w:r>
        <w:rPr>
          <w:b/>
        </w:rPr>
        <w:t xml:space="preserve">5. </w:t>
      </w:r>
      <w:r>
        <w:t>Apply the exact verified plan once under the S3 remote-state lock.</w:t>
      </w:r>
    </w:p>
    <w:p>
      <w:pPr>
        <w:ind w:left="317" w:hanging="317"/>
      </w:pPr>
      <w:r>
        <w:rPr>
          <w:b/>
        </w:rPr>
        <w:t xml:space="preserve">6. </w:t>
      </w:r>
      <w:r>
        <w:t>Reconcile Terraform state with observed AWS resources and managed-service readiness.</w:t>
      </w:r>
    </w:p>
    <w:p>
      <w:pPr>
        <w:ind w:left="317" w:hanging="317"/>
      </w:pPr>
      <w:r>
        <w:rPr>
          <w:b/>
        </w:rPr>
        <w:t xml:space="preserve">7. </w:t>
      </w:r>
      <w:r>
        <w:t>Publish the new active infrastructure revision.</w:t>
      </w:r>
    </w:p>
    <w:p>
      <w:pPr>
        <w:ind w:left="317" w:hanging="317"/>
      </w:pPr>
      <w:r>
        <w:rPr>
          <w:b/>
        </w:rPr>
        <w:t xml:space="preserve">8. </w:t>
      </w:r>
      <w:r>
        <w:t>Regenerate the newest valid release manifest against that revision and continue through the release lane.</w:t>
      </w:r>
    </w:p>
    <w:tbl>
      <w:tblPr>
        <w:tblW w:type="auto" w:w="0"/>
        <w:jc w:val="center"/>
        <w:tblLook w:firstColumn="1" w:firstRow="1" w:lastColumn="0" w:lastRow="0" w:noHBand="0" w:noVBand="1" w:val="04A0"/>
      </w:tblPr>
      <w:tblGrid>
        <w:gridCol w:w="10166"/>
      </w:tblGrid>
      <w:tr>
        <w:tc>
          <w:tcPr>
            <w:tcW w:type="dxa" w:w="10166"/>
            <w:shd w:fill="FFF3E8"/>
            <w:tcBorders>
              <w:top w:val="single" w:sz="8" w:color="C2410C"/>
              <w:left w:val="single" w:sz="8" w:color="C2410C"/>
              <w:bottom w:val="single" w:sz="8" w:color="C2410C"/>
              <w:right w:val="single" w:sz="8" w:color="C2410C"/>
              <w:insideH w:val="single" w:sz="8" w:color="C2410C"/>
              <w:insideV w:val="single" w:sz="8" w:color="C2410C"/>
            </w:tcBorders>
          </w:tcPr>
          <w:p>
            <w:pPr>
              <w:spacing w:after="0"/>
            </w:pPr>
            <w:r>
              <w:rPr>
                <w:b/>
                <w:color w:val="C2410C"/>
              </w:rPr>
              <w:t>Database abstraction</w:t>
              <w:br/>
            </w:r>
            <w:r>
              <w:t>The developer-facing contract should say Managed PostgreSQL. The current implementation may use PostgreSQL on ECS with encrypted EFS, while a later edition may use RDS. That implementation decision must not change the normal developer experience.</w:t>
            </w:r>
          </w:p>
        </w:tc>
      </w:tr>
    </w:tbl>
    <w:p>
      <w:pPr>
        <w:spacing w:after="0"/>
      </w:pPr>
    </w:p>
    <w:p>
      <w:pPr>
        <w:pStyle w:val="Heading1"/>
        <w:keepNext/>
      </w:pPr>
      <w:r>
        <w:rPr>
          <w:color w:val="102A43"/>
        </w:rPr>
        <w:t>8. Concurrency, Locks, and Workspace Isolation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304"/>
            <w:shd w:fill="102A43"/>
            <w:vAlign w:val="center"/>
          </w:tcPr>
          <w:p>
            <w:pPr>
              <w:spacing w:after="0"/>
              <w:jc w:val="center"/>
            </w:pPr>
            <w:r>
              <w:rPr>
                <w:b/>
                <w:color w:val="FFFFFF"/>
                <w:sz w:val="16"/>
              </w:rPr>
              <w:t>Operation</w:t>
            </w:r>
          </w:p>
        </w:tc>
        <w:tc>
          <w:tcPr>
            <w:tcW w:type="dxa" w:w="3888"/>
            <w:shd w:fill="102A43"/>
            <w:vAlign w:val="center"/>
          </w:tcPr>
          <w:p>
            <w:pPr>
              <w:spacing w:after="0"/>
              <w:jc w:val="center"/>
            </w:pPr>
            <w:r>
              <w:rPr>
                <w:b/>
                <w:color w:val="FFFFFF"/>
                <w:sz w:val="16"/>
              </w:rPr>
              <w:t>Concurrency policy</w:t>
            </w:r>
          </w:p>
        </w:tc>
        <w:tc>
          <w:tcPr>
            <w:tcW w:type="dxa" w:w="3816"/>
            <w:shd w:fill="102A43"/>
            <w:vAlign w:val="center"/>
          </w:tcPr>
          <w:p>
            <w:pPr>
              <w:spacing w:after="0"/>
              <w:jc w:val="center"/>
            </w:pPr>
            <w:r>
              <w:rPr>
                <w:b/>
                <w:color w:val="FFFFFF"/>
                <w:sz w:val="16"/>
              </w:rPr>
              <w:t>Lock / isolation</w:t>
            </w:r>
          </w:p>
        </w:tc>
      </w:tr>
      <w:tr>
        <w:trPr>
          <w:cantSplit/>
        </w:trPr>
        <w:tc>
          <w:tcPr>
            <w:tcW w:type="dxa" w:w="2304"/>
            <w:vAlign w:val="top"/>
          </w:tcPr>
          <w:p>
            <w:pPr>
              <w:spacing w:after="0"/>
            </w:pPr>
            <w:r>
              <w:rPr>
                <w:color w:val="1F2937"/>
                <w:sz w:val="16"/>
              </w:rPr>
              <w:t>Repository analysis and image builds</w:t>
            </w:r>
          </w:p>
        </w:tc>
        <w:tc>
          <w:tcPr>
            <w:tcW w:type="dxa" w:w="3888"/>
            <w:vAlign w:val="top"/>
          </w:tcPr>
          <w:p>
            <w:pPr>
              <w:spacing w:after="0"/>
            </w:pPr>
            <w:r>
              <w:rPr>
                <w:color w:val="1F2937"/>
                <w:sz w:val="16"/>
              </w:rPr>
              <w:t>Parallel across commits and projects</w:t>
            </w:r>
          </w:p>
        </w:tc>
        <w:tc>
          <w:tcPr>
            <w:tcW w:type="dxa" w:w="3816"/>
            <w:vAlign w:val="top"/>
          </w:tcPr>
          <w:p>
            <w:pPr>
              <w:spacing w:after="0"/>
            </w:pPr>
            <w:r>
              <w:rPr>
                <w:color w:val="1F2937"/>
                <w:sz w:val="16"/>
              </w:rPr>
              <w:t>Unique build/release candidate ID</w:t>
            </w:r>
          </w:p>
        </w:tc>
      </w:tr>
      <w:tr>
        <w:trPr>
          <w:cantSplit/>
        </w:trPr>
        <w:tc>
          <w:tcPr>
            <w:tcW w:type="dxa" w:w="2304"/>
            <w:vAlign w:val="top"/>
            <w:shd w:fill="F8FAFC"/>
          </w:tcPr>
          <w:p>
            <w:pPr>
              <w:spacing w:after="0"/>
            </w:pPr>
            <w:r>
              <w:rPr>
                <w:color w:val="1F2937"/>
                <w:sz w:val="16"/>
              </w:rPr>
              <w:t>Release promotion</w:t>
            </w:r>
          </w:p>
        </w:tc>
        <w:tc>
          <w:tcPr>
            <w:tcW w:type="dxa" w:w="3888"/>
            <w:vAlign w:val="top"/>
            <w:shd w:fill="F8FAFC"/>
          </w:tcPr>
          <w:p>
            <w:pPr>
              <w:spacing w:after="0"/>
            </w:pPr>
            <w:r>
              <w:rPr>
                <w:color w:val="1F2937"/>
                <w:sz w:val="16"/>
              </w:rPr>
              <w:t>One per project and environment</w:t>
            </w:r>
          </w:p>
        </w:tc>
        <w:tc>
          <w:tcPr>
            <w:tcW w:type="dxa" w:w="3816"/>
            <w:vAlign w:val="top"/>
            <w:shd w:fill="F8FAFC"/>
          </w:tcPr>
          <w:p>
            <w:pPr>
              <w:spacing w:after="0"/>
            </w:pPr>
            <w:r>
              <w:rPr>
                <w:color w:val="1F2937"/>
                <w:sz w:val="16"/>
              </w:rPr>
              <w:t>release-lock:&lt;projectId&gt;:&lt;environment&gt;</w:t>
            </w:r>
          </w:p>
        </w:tc>
      </w:tr>
      <w:tr>
        <w:trPr>
          <w:cantSplit/>
        </w:trPr>
        <w:tc>
          <w:tcPr>
            <w:tcW w:type="dxa" w:w="2304"/>
            <w:vAlign w:val="top"/>
          </w:tcPr>
          <w:p>
            <w:pPr>
              <w:spacing w:after="0"/>
            </w:pPr>
            <w:r>
              <w:rPr>
                <w:color w:val="1F2937"/>
                <w:sz w:val="16"/>
              </w:rPr>
              <w:t>Infrastructure plan/apply</w:t>
            </w:r>
          </w:p>
        </w:tc>
        <w:tc>
          <w:tcPr>
            <w:tcW w:type="dxa" w:w="3888"/>
            <w:vAlign w:val="top"/>
          </w:tcPr>
          <w:p>
            <w:pPr>
              <w:spacing w:after="0"/>
            </w:pPr>
            <w:r>
              <w:rPr>
                <w:color w:val="1F2937"/>
                <w:sz w:val="16"/>
              </w:rPr>
              <w:t>One per project and environment</w:t>
            </w:r>
          </w:p>
        </w:tc>
        <w:tc>
          <w:tcPr>
            <w:tcW w:type="dxa" w:w="3816"/>
            <w:vAlign w:val="top"/>
          </w:tcPr>
          <w:p>
            <w:pPr>
              <w:spacing w:after="0"/>
            </w:pPr>
            <w:r>
              <w:rPr>
                <w:color w:val="1F2937"/>
                <w:sz w:val="16"/>
              </w:rPr>
              <w:t>infra-lock:&lt;projectId&gt;:&lt;environment&gt; plus S3 lockfile</w:t>
            </w:r>
          </w:p>
        </w:tc>
      </w:tr>
      <w:tr>
        <w:trPr>
          <w:cantSplit/>
        </w:trPr>
        <w:tc>
          <w:tcPr>
            <w:tcW w:type="dxa" w:w="2304"/>
            <w:vAlign w:val="top"/>
            <w:shd w:fill="F8FAFC"/>
          </w:tcPr>
          <w:p>
            <w:pPr>
              <w:spacing w:after="0"/>
            </w:pPr>
            <w:r>
              <w:rPr>
                <w:color w:val="1F2937"/>
                <w:sz w:val="16"/>
              </w:rPr>
              <w:t>Project deletion</w:t>
            </w:r>
          </w:p>
        </w:tc>
        <w:tc>
          <w:tcPr>
            <w:tcW w:type="dxa" w:w="3888"/>
            <w:vAlign w:val="top"/>
            <w:shd w:fill="F8FAFC"/>
          </w:tcPr>
          <w:p>
            <w:pPr>
              <w:spacing w:after="0"/>
            </w:pPr>
            <w:r>
              <w:rPr>
                <w:color w:val="1F2937"/>
                <w:sz w:val="16"/>
              </w:rPr>
              <w:t>Exclusive; blocks deploy and release</w:t>
            </w:r>
          </w:p>
        </w:tc>
        <w:tc>
          <w:tcPr>
            <w:tcW w:type="dxa" w:w="3816"/>
            <w:vAlign w:val="top"/>
            <w:shd w:fill="F8FAFC"/>
          </w:tcPr>
          <w:p>
            <w:pPr>
              <w:spacing w:after="0"/>
            </w:pPr>
            <w:r>
              <w:rPr>
                <w:color w:val="1F2937"/>
                <w:sz w:val="16"/>
              </w:rPr>
              <w:t>delete-lock:&lt;projectId&gt;</w:t>
            </w:r>
          </w:p>
        </w:tc>
      </w:tr>
      <w:tr>
        <w:trPr>
          <w:cantSplit/>
        </w:trPr>
        <w:tc>
          <w:tcPr>
            <w:tcW w:type="dxa" w:w="2304"/>
            <w:vAlign w:val="top"/>
          </w:tcPr>
          <w:p>
            <w:pPr>
              <w:spacing w:after="0"/>
            </w:pPr>
            <w:r>
              <w:rPr>
                <w:color w:val="1F2937"/>
                <w:sz w:val="16"/>
              </w:rPr>
              <w:t>Local Terraform files</w:t>
            </w:r>
          </w:p>
        </w:tc>
        <w:tc>
          <w:tcPr>
            <w:tcW w:type="dxa" w:w="3888"/>
            <w:vAlign w:val="top"/>
          </w:tcPr>
          <w:p>
            <w:pPr>
              <w:spacing w:after="0"/>
            </w:pPr>
            <w:r>
              <w:rPr>
                <w:color w:val="1F2937"/>
                <w:sz w:val="16"/>
              </w:rPr>
              <w:t>Never shared across runs</w:t>
            </w:r>
          </w:p>
        </w:tc>
        <w:tc>
          <w:tcPr>
            <w:tcW w:type="dxa" w:w="3816"/>
            <w:vAlign w:val="top"/>
          </w:tcPr>
          <w:p>
            <w:pPr>
              <w:spacing w:after="0"/>
            </w:pPr>
            <w:r>
              <w:rPr>
                <w:color w:val="1F2937"/>
                <w:sz w:val="16"/>
              </w:rPr>
              <w:t>/workspaces/&lt;project&gt;/&lt;environment&gt;/&lt;operationId&gt;/</w:t>
            </w:r>
          </w:p>
        </w:tc>
      </w:tr>
      <w:tr>
        <w:trPr>
          <w:cantSplit/>
        </w:trPr>
        <w:tc>
          <w:tcPr>
            <w:tcW w:type="dxa" w:w="2304"/>
            <w:vAlign w:val="top"/>
            <w:shd w:fill="F8FAFC"/>
          </w:tcPr>
          <w:p>
            <w:pPr>
              <w:spacing w:after="0"/>
            </w:pPr>
            <w:r>
              <w:rPr>
                <w:color w:val="1F2937"/>
                <w:sz w:val="16"/>
              </w:rPr>
              <w:t>Remote Terraform state</w:t>
            </w:r>
          </w:p>
        </w:tc>
        <w:tc>
          <w:tcPr>
            <w:tcW w:type="dxa" w:w="3888"/>
            <w:vAlign w:val="top"/>
            <w:shd w:fill="F8FAFC"/>
          </w:tcPr>
          <w:p>
            <w:pPr>
              <w:spacing w:after="0"/>
            </w:pPr>
            <w:r>
              <w:rPr>
                <w:color w:val="1F2937"/>
                <w:sz w:val="16"/>
              </w:rPr>
              <w:t>One stable state per project environment</w:t>
            </w:r>
          </w:p>
        </w:tc>
        <w:tc>
          <w:tcPr>
            <w:tcW w:type="dxa" w:w="3816"/>
            <w:vAlign w:val="top"/>
            <w:shd w:fill="F8FAFC"/>
          </w:tcPr>
          <w:p>
            <w:pPr>
              <w:spacing w:after="0"/>
            </w:pPr>
            <w:r>
              <w:rPr>
                <w:color w:val="1F2937"/>
                <w:sz w:val="16"/>
              </w:rPr>
              <w:t>projects/&lt;projectId&gt;/&lt;environment&gt;/terraform.tfstate</w:t>
            </w:r>
          </w:p>
        </w:tc>
      </w:tr>
    </w:tbl>
    <w:p>
      <w:pPr>
        <w:spacing w:after="0"/>
      </w:pPr>
    </w:p>
    <w:p>
      <w:pPr>
        <w:pStyle w:val="Heading2"/>
        <w:keepNext/>
      </w:pPr>
      <w:r>
        <w:rPr>
          <w:color w:val="0F766E"/>
        </w:rPr>
        <w:t>Lock relationship</w:t>
      </w:r>
    </w:p>
    <w:p>
      <w:pPr>
        <w:pStyle w:val="ListBullet"/>
        <w:spacing w:after="40"/>
      </w:pPr>
      <w:r>
        <w:t>An infrastructure apply blocks release promotion because the runtime manifest may depend on the resulting infrastructure revision.</w:t>
      </w:r>
    </w:p>
    <w:p>
      <w:pPr>
        <w:pStyle w:val="ListBullet"/>
        <w:spacing w:after="40"/>
      </w:pPr>
      <w:r>
        <w:t>A release-only operation does not acquire the Terraform state lock.</w:t>
      </w:r>
    </w:p>
    <w:p>
      <w:pPr>
        <w:pStyle w:val="ListBullet"/>
        <w:spacing w:after="40"/>
      </w:pPr>
      <w:r>
        <w:t>When a newer release arrives during infrastructure apply, it waits, then regenerates against the reconciled infrastructure revision.</w:t>
      </w:r>
    </w:p>
    <w:p>
      <w:pPr>
        <w:pStyle w:val="ListBullet"/>
        <w:spacing w:after="40"/>
      </w:pPr>
      <w:r>
        <w:t>When a newer commit arrives during an older release build, both may finish building; only the newest valid candidate is promoted.</w:t>
      </w:r>
    </w:p>
    <w:p>
      <w:pPr>
        <w:pStyle w:val="ListBullet"/>
        <w:spacing w:after="40"/>
      </w:pPr>
      <w:r>
        <w:t>Deletion acquires the highest-level project lock, blocks new work, cancels queued operations, and reconciles any in-flight mutation before destruction.</w:t>
      </w:r>
    </w:p>
    <w:p>
      <w:pPr>
        <w:pStyle w:val="Heading2"/>
        <w:keepNext/>
      </w:pPr>
      <w:r>
        <w:rPr>
          <w:color w:val="0F766E"/>
        </w:rPr>
        <w:t>Idempotency keys</w:t>
      </w:r>
    </w:p>
    <w:tbl>
      <w:tblPr>
        <w:tblW w:type="auto" w:w="0"/>
        <w:jc w:val="center"/>
        <w:tblLook w:firstColumn="1" w:firstRow="1" w:lastColumn="0" w:lastRow="0" w:noHBand="0" w:noVBand="1" w:val="04A0"/>
      </w:tblPr>
      <w:tblGrid>
        <w:gridCol w:w="10166"/>
      </w:tblGrid>
      <w:tr>
        <w:tc>
          <w:tcPr>
            <w:tcW w:type="dxa" w:w="10166"/>
            <w:shd w:fill="F3EEFF"/>
            <w:tcBorders>
              <w:top w:val="single" w:sz="8" w:color="6D28D9"/>
              <w:left w:val="single" w:sz="8" w:color="6D28D9"/>
              <w:bottom w:val="single" w:sz="8" w:color="6D28D9"/>
              <w:right w:val="single" w:sz="8" w:color="6D28D9"/>
              <w:insideH w:val="single" w:sz="8" w:color="6D28D9"/>
              <w:insideV w:val="single" w:sz="8" w:color="6D28D9"/>
            </w:tcBorders>
          </w:tcPr>
          <w:p>
            <w:pPr>
              <w:spacing w:after="0"/>
            </w:pPr>
            <w:r>
              <w:rPr>
                <w:b/>
                <w:color w:val="6D28D9"/>
              </w:rPr>
              <w:t>Recommended operation identities</w:t>
              <w:br/>
            </w:r>
            <w:r>
              <w:t>build:&lt;releaseId&gt;   |   release:&lt;releaseId&gt;:&lt;taskFingerprint&gt;   |   infra:&lt;infraRevision&gt;:&lt;planFingerprint&gt;   |   delete:&lt;projectId&gt;:&lt;deletionRequestId&gt;</w:t>
            </w:r>
          </w:p>
        </w:tc>
      </w:tr>
    </w:tbl>
    <w:p>
      <w:pPr>
        <w:spacing w:after="0"/>
      </w:pPr>
    </w:p>
    <w:p>
      <w:pPr>
        <w:pStyle w:val="Heading1"/>
        <w:keepNext/>
      </w:pPr>
      <w:r>
        <w:rPr>
          <w:color w:val="102A43"/>
        </w:rPr>
        <w:t>9. Revision and Fingerprint Model</w:t>
      </w:r>
    </w:p>
    <w:p>
      <w:r>
        <w:t>A single fingerprint for every concern creates false staleness. DeployGuard should maintain independent semantic revision domains and explicit relationships between them.</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02A43"/>
            <w:vAlign w:val="center"/>
          </w:tcPr>
          <w:p>
            <w:pPr>
              <w:spacing w:after="0"/>
              <w:jc w:val="center"/>
            </w:pPr>
            <w:r>
              <w:rPr>
                <w:b/>
                <w:color w:val="FFFFFF"/>
                <w:sz w:val="16"/>
              </w:rPr>
              <w:t>Revision / fingerprint</w:t>
            </w:r>
          </w:p>
        </w:tc>
        <w:tc>
          <w:tcPr>
            <w:tcW w:type="dxa" w:w="4320"/>
            <w:shd w:fill="102A43"/>
            <w:vAlign w:val="center"/>
          </w:tcPr>
          <w:p>
            <w:pPr>
              <w:spacing w:after="0"/>
              <w:jc w:val="center"/>
            </w:pPr>
            <w:r>
              <w:rPr>
                <w:b/>
                <w:color w:val="FFFFFF"/>
                <w:sz w:val="16"/>
              </w:rPr>
              <w:t>Contains</w:t>
            </w:r>
          </w:p>
        </w:tc>
        <w:tc>
          <w:tcPr>
            <w:tcW w:type="dxa" w:w="3384"/>
            <w:shd w:fill="102A43"/>
            <w:vAlign w:val="center"/>
          </w:tcPr>
          <w:p>
            <w:pPr>
              <w:spacing w:after="0"/>
              <w:jc w:val="center"/>
            </w:pPr>
            <w:r>
              <w:rPr>
                <w:b/>
                <w:color w:val="FFFFFF"/>
                <w:sz w:val="16"/>
              </w:rPr>
              <w:t>Does not contain</w:t>
            </w:r>
          </w:p>
        </w:tc>
      </w:tr>
      <w:tr>
        <w:trPr>
          <w:cantSplit/>
        </w:trPr>
        <w:tc>
          <w:tcPr>
            <w:tcW w:type="dxa" w:w="2232"/>
            <w:vAlign w:val="top"/>
          </w:tcPr>
          <w:p>
            <w:pPr>
              <w:spacing w:after="0"/>
            </w:pPr>
            <w:r>
              <w:rPr>
                <w:color w:val="1F2937"/>
                <w:sz w:val="16"/>
              </w:rPr>
              <w:t>infrastructureRevision</w:t>
            </w:r>
          </w:p>
        </w:tc>
        <w:tc>
          <w:tcPr>
            <w:tcW w:type="dxa" w:w="4320"/>
            <w:vAlign w:val="top"/>
          </w:tcPr>
          <w:p>
            <w:pPr>
              <w:spacing w:after="0"/>
            </w:pPr>
            <w:r>
              <w:rPr>
                <w:color w:val="1F2937"/>
                <w:sz w:val="16"/>
              </w:rPr>
              <w:t>Network, managed services, storage, IAM, ALB structure, secret resource identities</w:t>
            </w:r>
          </w:p>
        </w:tc>
        <w:tc>
          <w:tcPr>
            <w:tcW w:type="dxa" w:w="3384"/>
            <w:vAlign w:val="top"/>
          </w:tcPr>
          <w:p>
            <w:pPr>
              <w:spacing w:after="0"/>
            </w:pPr>
            <w:r>
              <w:rPr>
                <w:color w:val="1F2937"/>
                <w:sz w:val="16"/>
              </w:rPr>
              <w:t>Health status, timestamps, inventory refresh, application image</w:t>
            </w:r>
          </w:p>
        </w:tc>
      </w:tr>
      <w:tr>
        <w:trPr>
          <w:cantSplit/>
        </w:trPr>
        <w:tc>
          <w:tcPr>
            <w:tcW w:type="dxa" w:w="2232"/>
            <w:vAlign w:val="top"/>
            <w:shd w:fill="F8FAFC"/>
          </w:tcPr>
          <w:p>
            <w:pPr>
              <w:spacing w:after="0"/>
            </w:pPr>
            <w:r>
              <w:rPr>
                <w:color w:val="1F2937"/>
                <w:sz w:val="16"/>
              </w:rPr>
              <w:t>releaseRevision</w:t>
            </w:r>
          </w:p>
        </w:tc>
        <w:tc>
          <w:tcPr>
            <w:tcW w:type="dxa" w:w="4320"/>
            <w:vAlign w:val="top"/>
            <w:shd w:fill="F8FAFC"/>
          </w:tcPr>
          <w:p>
            <w:pPr>
              <w:spacing w:after="0"/>
            </w:pPr>
            <w:r>
              <w:rPr>
                <w:color w:val="1F2937"/>
                <w:sz w:val="16"/>
              </w:rPr>
              <w:t>Image digest, command, port, health path, task size, app environment and secret references</w:t>
            </w:r>
          </w:p>
        </w:tc>
        <w:tc>
          <w:tcPr>
            <w:tcW w:type="dxa" w:w="3384"/>
            <w:vAlign w:val="top"/>
            <w:shd w:fill="F8FAFC"/>
          </w:tcPr>
          <w:p>
            <w:pPr>
              <w:spacing w:after="0"/>
            </w:pPr>
            <w:r>
              <w:rPr>
                <w:color w:val="1F2937"/>
                <w:sz w:val="16"/>
              </w:rPr>
              <w:t>VPC topology, database class, operational timestamps</w:t>
            </w:r>
          </w:p>
        </w:tc>
      </w:tr>
      <w:tr>
        <w:trPr>
          <w:cantSplit/>
        </w:trPr>
        <w:tc>
          <w:tcPr>
            <w:tcW w:type="dxa" w:w="2232"/>
            <w:vAlign w:val="top"/>
          </w:tcPr>
          <w:p>
            <w:pPr>
              <w:spacing w:after="0"/>
            </w:pPr>
            <w:r>
              <w:rPr>
                <w:color w:val="1F2937"/>
                <w:sz w:val="16"/>
              </w:rPr>
              <w:t>contractFingerprint</w:t>
            </w:r>
          </w:p>
        </w:tc>
        <w:tc>
          <w:tcPr>
            <w:tcW w:type="dxa" w:w="4320"/>
            <w:vAlign w:val="top"/>
          </w:tcPr>
          <w:p>
            <w:pPr>
              <w:spacing w:after="0"/>
            </w:pPr>
            <w:r>
              <w:rPr>
                <w:color w:val="1F2937"/>
                <w:sz w:val="16"/>
              </w:rPr>
              <w:t>Normalized effective deployment contract for the operation</w:t>
            </w:r>
          </w:p>
        </w:tc>
        <w:tc>
          <w:tcPr>
            <w:tcW w:type="dxa" w:w="3384"/>
            <w:vAlign w:val="top"/>
          </w:tcPr>
          <w:p>
            <w:pPr>
              <w:spacing w:after="0"/>
            </w:pPr>
            <w:r>
              <w:rPr>
                <w:color w:val="1F2937"/>
                <w:sz w:val="16"/>
              </w:rPr>
              <w:t>GeneratedAt, row order, status text, progress, event timestamps</w:t>
            </w:r>
          </w:p>
        </w:tc>
      </w:tr>
      <w:tr>
        <w:trPr>
          <w:cantSplit/>
        </w:trPr>
        <w:tc>
          <w:tcPr>
            <w:tcW w:type="dxa" w:w="2232"/>
            <w:vAlign w:val="top"/>
            <w:shd w:fill="F8FAFC"/>
          </w:tcPr>
          <w:p>
            <w:pPr>
              <w:spacing w:after="0"/>
            </w:pPr>
            <w:r>
              <w:rPr>
                <w:color w:val="1F2937"/>
                <w:sz w:val="16"/>
              </w:rPr>
              <w:t>terraformInputFingerprint</w:t>
            </w:r>
          </w:p>
        </w:tc>
        <w:tc>
          <w:tcPr>
            <w:tcW w:type="dxa" w:w="4320"/>
            <w:vAlign w:val="top"/>
            <w:shd w:fill="F8FAFC"/>
          </w:tcPr>
          <w:p>
            <w:pPr>
              <w:spacing w:after="0"/>
            </w:pPr>
            <w:r>
              <w:rPr>
                <w:color w:val="1F2937"/>
                <w:sz w:val="16"/>
              </w:rPr>
              <w:t>Exact normalized Terraform variable content</w:t>
            </w:r>
          </w:p>
        </w:tc>
        <w:tc>
          <w:tcPr>
            <w:tcW w:type="dxa" w:w="3384"/>
            <w:vAlign w:val="top"/>
            <w:shd w:fill="F8FAFC"/>
          </w:tcPr>
          <w:p>
            <w:pPr>
              <w:spacing w:after="0"/>
            </w:pPr>
            <w:r>
              <w:rPr>
                <w:color w:val="1F2937"/>
                <w:sz w:val="16"/>
              </w:rPr>
              <w:t>Plan creation timestamp or approval metadata</w:t>
            </w:r>
          </w:p>
        </w:tc>
      </w:tr>
      <w:tr>
        <w:trPr>
          <w:cantSplit/>
        </w:trPr>
        <w:tc>
          <w:tcPr>
            <w:tcW w:type="dxa" w:w="2232"/>
            <w:vAlign w:val="top"/>
          </w:tcPr>
          <w:p>
            <w:pPr>
              <w:spacing w:after="0"/>
            </w:pPr>
            <w:r>
              <w:rPr>
                <w:color w:val="1F2937"/>
                <w:sz w:val="16"/>
              </w:rPr>
              <w:t>planFingerprint</w:t>
            </w:r>
          </w:p>
        </w:tc>
        <w:tc>
          <w:tcPr>
            <w:tcW w:type="dxa" w:w="4320"/>
            <w:vAlign w:val="top"/>
          </w:tcPr>
          <w:p>
            <w:pPr>
              <w:spacing w:after="0"/>
            </w:pPr>
            <w:r>
              <w:rPr>
                <w:color w:val="1F2937"/>
                <w:sz w:val="16"/>
              </w:rPr>
              <w:t>Exact plan identity and artifact hash relationships</w:t>
            </w:r>
          </w:p>
        </w:tc>
        <w:tc>
          <w:tcPr>
            <w:tcW w:type="dxa" w:w="3384"/>
            <w:vAlign w:val="top"/>
          </w:tcPr>
          <w:p>
            <w:pPr>
              <w:spacing w:after="0"/>
            </w:pPr>
            <w:r>
              <w:rPr>
                <w:color w:val="1F2937"/>
                <w:sz w:val="16"/>
              </w:rPr>
              <w:t>Unrelated current-state observations</w:t>
            </w:r>
          </w:p>
        </w:tc>
      </w:tr>
      <w:tr>
        <w:trPr>
          <w:cantSplit/>
        </w:trPr>
        <w:tc>
          <w:tcPr>
            <w:tcW w:type="dxa" w:w="2232"/>
            <w:vAlign w:val="top"/>
            <w:shd w:fill="F8FAFC"/>
          </w:tcPr>
          <w:p>
            <w:pPr>
              <w:spacing w:after="0"/>
            </w:pPr>
            <w:r>
              <w:rPr>
                <w:color w:val="1F2937"/>
                <w:sz w:val="16"/>
              </w:rPr>
              <w:t>taskDefinitionFingerprint</w:t>
            </w:r>
          </w:p>
        </w:tc>
        <w:tc>
          <w:tcPr>
            <w:tcW w:type="dxa" w:w="4320"/>
            <w:vAlign w:val="top"/>
            <w:shd w:fill="F8FAFC"/>
          </w:tcPr>
          <w:p>
            <w:pPr>
              <w:spacing w:after="0"/>
            </w:pPr>
            <w:r>
              <w:rPr>
                <w:color w:val="1F2937"/>
                <w:sz w:val="16"/>
              </w:rPr>
              <w:t>Canonical container definition, environment destinations, secret references, image digest</w:t>
            </w:r>
          </w:p>
        </w:tc>
        <w:tc>
          <w:tcPr>
            <w:tcW w:type="dxa" w:w="3384"/>
            <w:vAlign w:val="top"/>
            <w:shd w:fill="F8FAFC"/>
          </w:tcPr>
          <w:p>
            <w:pPr>
              <w:spacing w:after="0"/>
            </w:pPr>
            <w:r>
              <w:rPr>
                <w:color w:val="1F2937"/>
                <w:sz w:val="16"/>
              </w:rPr>
              <w:t>ECS rollout status and ALB observations</w:t>
            </w:r>
          </w:p>
        </w:tc>
      </w:tr>
    </w:tbl>
    <w:p>
      <w:pPr>
        <w:spacing w:after="0"/>
      </w:pPr>
    </w:p>
    <w:tbl>
      <w:tblPr>
        <w:tblW w:type="auto" w:w="0"/>
        <w:jc w:val="center"/>
        <w:tblLook w:firstColumn="1" w:firstRow="1" w:lastColumn="0" w:lastRow="0" w:noHBand="0" w:noVBand="1" w:val="04A0"/>
      </w:tblPr>
      <w:tblGrid>
        <w:gridCol w:w="10166"/>
      </w:tblGrid>
      <w:tr>
        <w:tc>
          <w:tcPr>
            <w:tcW w:type="dxa" w:w="10166"/>
            <w:shd w:fill="EAF8F4"/>
            <w:tcBorders>
              <w:top w:val="single" w:sz="8" w:color="0F766E"/>
              <w:left w:val="single" w:sz="8" w:color="0F766E"/>
              <w:bottom w:val="single" w:sz="8" w:color="0F766E"/>
              <w:right w:val="single" w:sz="8" w:color="0F766E"/>
              <w:insideH w:val="single" w:sz="8" w:color="0F766E"/>
              <w:insideV w:val="single" w:sz="8" w:color="0F766E"/>
            </w:tcBorders>
          </w:tcPr>
          <w:p>
            <w:pPr>
              <w:spacing w:after="0"/>
            </w:pPr>
            <w:r>
              <w:rPr>
                <w:b/>
                <w:color w:val="0F766E"/>
              </w:rPr>
              <w:t>Release relationship</w:t>
              <w:br/>
            </w:r>
            <w:r>
              <w:t>Each stable release records releaseRevision, infrastructureRevision, imageDigest, taskDefinitionRevision, health evidence, and promotion time. Before promotion, DeployGuard verifies that the referenced infrastructure revision is still active.</w:t>
            </w:r>
          </w:p>
        </w:tc>
      </w:tr>
    </w:tbl>
    <w:p>
      <w:pPr>
        <w:spacing w:after="0"/>
      </w:pPr>
    </w:p>
    <w:p>
      <w:pPr>
        <w:pStyle w:val="Heading1"/>
        <w:keepNext/>
      </w:pPr>
      <w:r>
        <w:rPr>
          <w:color w:val="102A43"/>
        </w:rPr>
        <w:t>10. Canonical State, Events, and Time</w:t>
      </w:r>
    </w:p>
    <w:p>
      <w:r>
        <w:t>All developer-facing pages must use one canonical backend projection. The frontend renders state; it does not calculate state from partial events.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shd w:fill="102A43"/>
            <w:vAlign w:val="center"/>
          </w:tcPr>
          <w:p>
            <w:pPr>
              <w:spacing w:after="0"/>
              <w:jc w:val="center"/>
            </w:pPr>
            <w:r>
              <w:rPr>
                <w:b/>
                <w:color w:val="FFFFFF"/>
                <w:sz w:val="16"/>
              </w:rPr>
              <w:t>Canonical field</w:t>
            </w:r>
          </w:p>
        </w:tc>
        <w:tc>
          <w:tcPr>
            <w:tcW w:type="dxa" w:w="7200"/>
            <w:shd w:fill="102A43"/>
            <w:vAlign w:val="center"/>
          </w:tcPr>
          <w:p>
            <w:pPr>
              <w:spacing w:after="0"/>
              <w:jc w:val="center"/>
            </w:pPr>
            <w:r>
              <w:rPr>
                <w:b/>
                <w:color w:val="FFFFFF"/>
                <w:sz w:val="16"/>
              </w:rPr>
              <w:t>Purpose</w:t>
            </w:r>
          </w:p>
        </w:tc>
      </w:tr>
      <w:tr>
        <w:trPr>
          <w:cantSplit/>
        </w:trPr>
        <w:tc>
          <w:tcPr>
            <w:tcW w:type="dxa" w:w="2880"/>
            <w:vAlign w:val="top"/>
          </w:tcPr>
          <w:p>
            <w:pPr>
              <w:spacing w:after="0"/>
            </w:pPr>
            <w:r>
              <w:rPr>
                <w:color w:val="1F2937"/>
                <w:sz w:val="16"/>
              </w:rPr>
              <w:t>projectStatus</w:t>
            </w:r>
          </w:p>
        </w:tc>
        <w:tc>
          <w:tcPr>
            <w:tcW w:type="dxa" w:w="7200"/>
            <w:vAlign w:val="top"/>
          </w:tcPr>
          <w:p>
            <w:pPr>
              <w:spacing w:after="0"/>
            </w:pPr>
            <w:r>
              <w:rPr>
                <w:color w:val="1F2937"/>
                <w:sz w:val="16"/>
              </w:rPr>
              <w:t>High-level project lifecycle: deploying, live, failed, deleting, deleted</w:t>
            </w:r>
          </w:p>
        </w:tc>
      </w:tr>
      <w:tr>
        <w:trPr>
          <w:cantSplit/>
        </w:trPr>
        <w:tc>
          <w:tcPr>
            <w:tcW w:type="dxa" w:w="2880"/>
            <w:vAlign w:val="top"/>
            <w:shd w:fill="F8FAFC"/>
          </w:tcPr>
          <w:p>
            <w:pPr>
              <w:spacing w:after="0"/>
            </w:pPr>
            <w:r>
              <w:rPr>
                <w:color w:val="1F2937"/>
                <w:sz w:val="16"/>
              </w:rPr>
              <w:t>deploymentId / operationId</w:t>
            </w:r>
          </w:p>
        </w:tc>
        <w:tc>
          <w:tcPr>
            <w:tcW w:type="dxa" w:w="7200"/>
            <w:vAlign w:val="top"/>
            <w:shd w:fill="F8FAFC"/>
          </w:tcPr>
          <w:p>
            <w:pPr>
              <w:spacing w:after="0"/>
            </w:pPr>
            <w:r>
              <w:rPr>
                <w:color w:val="1F2937"/>
                <w:sz w:val="16"/>
              </w:rPr>
              <w:t>Exact active operation identity</w:t>
            </w:r>
          </w:p>
        </w:tc>
      </w:tr>
      <w:tr>
        <w:trPr>
          <w:cantSplit/>
        </w:trPr>
        <w:tc>
          <w:tcPr>
            <w:tcW w:type="dxa" w:w="2880"/>
            <w:vAlign w:val="top"/>
          </w:tcPr>
          <w:p>
            <w:pPr>
              <w:spacing w:after="0"/>
            </w:pPr>
            <w:r>
              <w:rPr>
                <w:color w:val="1F2937"/>
                <w:sz w:val="16"/>
              </w:rPr>
              <w:t>phase</w:t>
            </w:r>
          </w:p>
        </w:tc>
        <w:tc>
          <w:tcPr>
            <w:tcW w:type="dxa" w:w="7200"/>
            <w:vAlign w:val="top"/>
          </w:tcPr>
          <w:p>
            <w:pPr>
              <w:spacing w:after="0"/>
            </w:pPr>
            <w:r>
              <w:rPr>
                <w:color w:val="1F2937"/>
                <w:sz w:val="16"/>
              </w:rPr>
              <w:t>Analyze, Build, Prepare, Deploy, Verify, Live</w:t>
            </w:r>
          </w:p>
        </w:tc>
      </w:tr>
      <w:tr>
        <w:trPr>
          <w:cantSplit/>
        </w:trPr>
        <w:tc>
          <w:tcPr>
            <w:tcW w:type="dxa" w:w="2880"/>
            <w:vAlign w:val="top"/>
            <w:shd w:fill="F8FAFC"/>
          </w:tcPr>
          <w:p>
            <w:pPr>
              <w:spacing w:after="0"/>
            </w:pPr>
            <w:r>
              <w:rPr>
                <w:color w:val="1F2937"/>
                <w:sz w:val="16"/>
              </w:rPr>
              <w:t>progress</w:t>
            </w:r>
          </w:p>
        </w:tc>
        <w:tc>
          <w:tcPr>
            <w:tcW w:type="dxa" w:w="7200"/>
            <w:vAlign w:val="top"/>
            <w:shd w:fill="F8FAFC"/>
          </w:tcPr>
          <w:p>
            <w:pPr>
              <w:spacing w:after="0"/>
            </w:pPr>
            <w:r>
              <w:rPr>
                <w:color w:val="1F2937"/>
                <w:sz w:val="16"/>
              </w:rPr>
              <w:t>Monotonic weighted progress</w:t>
            </w:r>
          </w:p>
        </w:tc>
      </w:tr>
      <w:tr>
        <w:trPr>
          <w:cantSplit/>
        </w:trPr>
        <w:tc>
          <w:tcPr>
            <w:tcW w:type="dxa" w:w="2880"/>
            <w:vAlign w:val="top"/>
          </w:tcPr>
          <w:p>
            <w:pPr>
              <w:spacing w:after="0"/>
            </w:pPr>
            <w:r>
              <w:rPr>
                <w:color w:val="1F2937"/>
                <w:sz w:val="16"/>
              </w:rPr>
              <w:t>userActionRequired</w:t>
            </w:r>
          </w:p>
        </w:tc>
        <w:tc>
          <w:tcPr>
            <w:tcW w:type="dxa" w:w="7200"/>
            <w:vAlign w:val="top"/>
          </w:tcPr>
          <w:p>
            <w:pPr>
              <w:spacing w:after="0"/>
            </w:pPr>
            <w:r>
              <w:rPr>
                <w:color w:val="1F2937"/>
                <w:sz w:val="16"/>
              </w:rPr>
              <w:t>Whether the developer must supply an app-owned value or fix application code</w:t>
            </w:r>
          </w:p>
        </w:tc>
      </w:tr>
      <w:tr>
        <w:trPr>
          <w:cantSplit/>
        </w:trPr>
        <w:tc>
          <w:tcPr>
            <w:tcW w:type="dxa" w:w="2880"/>
            <w:vAlign w:val="top"/>
            <w:shd w:fill="F8FAFC"/>
          </w:tcPr>
          <w:p>
            <w:pPr>
              <w:spacing w:after="0"/>
            </w:pPr>
            <w:r>
              <w:rPr>
                <w:color w:val="1F2937"/>
                <w:sz w:val="16"/>
              </w:rPr>
              <w:t>errorOwner</w:t>
            </w:r>
          </w:p>
        </w:tc>
        <w:tc>
          <w:tcPr>
            <w:tcW w:type="dxa" w:w="7200"/>
            <w:vAlign w:val="top"/>
            <w:shd w:fill="F8FAFC"/>
          </w:tcPr>
          <w:p>
            <w:pPr>
              <w:spacing w:after="0"/>
            </w:pPr>
            <w:r>
              <w:rPr>
                <w:color w:val="1F2937"/>
                <w:sz w:val="16"/>
              </w:rPr>
              <w:t>developer, platform, cloud-provider, or unverified</w:t>
            </w:r>
          </w:p>
        </w:tc>
      </w:tr>
      <w:tr>
        <w:trPr>
          <w:cantSplit/>
        </w:trPr>
        <w:tc>
          <w:tcPr>
            <w:tcW w:type="dxa" w:w="2880"/>
            <w:vAlign w:val="top"/>
          </w:tcPr>
          <w:p>
            <w:pPr>
              <w:spacing w:after="0"/>
            </w:pPr>
            <w:r>
              <w:rPr>
                <w:color w:val="1F2937"/>
                <w:sz w:val="16"/>
              </w:rPr>
              <w:t>lastVerifiedAt</w:t>
            </w:r>
          </w:p>
        </w:tc>
        <w:tc>
          <w:tcPr>
            <w:tcW w:type="dxa" w:w="7200"/>
            <w:vAlign w:val="top"/>
          </w:tcPr>
          <w:p>
            <w:pPr>
              <w:spacing w:after="0"/>
            </w:pPr>
            <w:r>
              <w:rPr>
                <w:color w:val="1F2937"/>
                <w:sz w:val="16"/>
              </w:rPr>
              <w:t>Freshness of cloud/runtime evidence</w:t>
            </w:r>
          </w:p>
        </w:tc>
      </w:tr>
      <w:tr>
        <w:trPr>
          <w:cantSplit/>
        </w:trPr>
        <w:tc>
          <w:tcPr>
            <w:tcW w:type="dxa" w:w="2880"/>
            <w:vAlign w:val="top"/>
            <w:shd w:fill="F8FAFC"/>
          </w:tcPr>
          <w:p>
            <w:pPr>
              <w:spacing w:after="0"/>
            </w:pPr>
            <w:r>
              <w:rPr>
                <w:color w:val="1F2937"/>
                <w:sz w:val="16"/>
              </w:rPr>
              <w:t>activeInfrastructureRevision</w:t>
            </w:r>
          </w:p>
        </w:tc>
        <w:tc>
          <w:tcPr>
            <w:tcW w:type="dxa" w:w="7200"/>
            <w:vAlign w:val="top"/>
            <w:shd w:fill="F8FAFC"/>
          </w:tcPr>
          <w:p>
            <w:pPr>
              <w:spacing w:after="0"/>
            </w:pPr>
            <w:r>
              <w:rPr>
                <w:color w:val="1F2937"/>
                <w:sz w:val="16"/>
              </w:rPr>
              <w:t>Current cloud topology identity</w:t>
            </w:r>
          </w:p>
        </w:tc>
      </w:tr>
      <w:tr>
        <w:trPr>
          <w:cantSplit/>
        </w:trPr>
        <w:tc>
          <w:tcPr>
            <w:tcW w:type="dxa" w:w="2880"/>
            <w:vAlign w:val="top"/>
          </w:tcPr>
          <w:p>
            <w:pPr>
              <w:spacing w:after="0"/>
            </w:pPr>
            <w:r>
              <w:rPr>
                <w:color w:val="1F2937"/>
                <w:sz w:val="16"/>
              </w:rPr>
              <w:t>activeReleaseRevision</w:t>
            </w:r>
          </w:p>
        </w:tc>
        <w:tc>
          <w:tcPr>
            <w:tcW w:type="dxa" w:w="7200"/>
            <w:vAlign w:val="top"/>
          </w:tcPr>
          <w:p>
            <w:pPr>
              <w:spacing w:after="0"/>
            </w:pPr>
            <w:r>
              <w:rPr>
                <w:color w:val="1F2937"/>
                <w:sz w:val="16"/>
              </w:rPr>
              <w:t>Current stable application release identity</w:t>
            </w:r>
          </w:p>
        </w:tc>
      </w:tr>
      <w:tr>
        <w:trPr>
          <w:cantSplit/>
        </w:trPr>
        <w:tc>
          <w:tcPr>
            <w:tcW w:type="dxa" w:w="2880"/>
            <w:vAlign w:val="top"/>
            <w:shd w:fill="F8FAFC"/>
          </w:tcPr>
          <w:p>
            <w:pPr>
              <w:spacing w:after="0"/>
            </w:pPr>
            <w:r>
              <w:rPr>
                <w:color w:val="1F2937"/>
                <w:sz w:val="16"/>
              </w:rPr>
              <w:t>nextSafeAction</w:t>
            </w:r>
          </w:p>
        </w:tc>
        <w:tc>
          <w:tcPr>
            <w:tcW w:type="dxa" w:w="7200"/>
            <w:vAlign w:val="top"/>
            <w:shd w:fill="F8FAFC"/>
          </w:tcPr>
          <w:p>
            <w:pPr>
              <w:spacing w:after="0"/>
            </w:pPr>
            <w:r>
              <w:rPr>
                <w:color w:val="1F2937"/>
                <w:sz w:val="16"/>
              </w:rPr>
              <w:t>Simple developer action or internal automatic action</w:t>
            </w:r>
          </w:p>
        </w:tc>
      </w:tr>
    </w:tbl>
    <w:p>
      <w:pPr>
        <w:spacing w:after="0"/>
      </w:pPr>
    </w:p>
    <w:p>
      <w:pPr>
        <w:pStyle w:val="Heading2"/>
        <w:keepNext/>
      </w:pPr>
      <w:r>
        <w:rPr>
          <w:color w:val="0F766E"/>
        </w:rPr>
        <w:t>Event model</w:t>
      </w:r>
    </w:p>
    <w:p>
      <w:pPr>
        <w:pStyle w:val="ListBullet"/>
        <w:spacing w:after="40"/>
      </w:pPr>
      <w:r>
        <w:t>Store authoritative event time in PostgreSQL timestamptz / UTC.</w:t>
      </w:r>
    </w:p>
    <w:p>
      <w:pPr>
        <w:pStyle w:val="ListBullet"/>
        <w:spacing w:after="40"/>
      </w:pPr>
      <w:r>
        <w:t>Assign a monotonic sequence number per operation so ordering does not depend on clock skew.</w:t>
      </w:r>
    </w:p>
    <w:p>
      <w:pPr>
        <w:pStyle w:val="ListBullet"/>
        <w:spacing w:after="40"/>
      </w:pPr>
      <w:r>
        <w:t>Persist startedAt, finishedAt, and durationMs once in the backend.</w:t>
      </w:r>
    </w:p>
    <w:p>
      <w:pPr>
        <w:pStyle w:val="ListBullet"/>
        <w:spacing w:after="40"/>
      </w:pPr>
      <w:r>
        <w:t>Correlate projectId, environment, operationId, workerId, stage, attempt, Terraform operation, and AWS operation.</w:t>
      </w:r>
    </w:p>
    <w:p>
      <w:pPr>
        <w:pStyle w:val="ListBullet"/>
        <w:spacing w:after="40"/>
      </w:pPr>
      <w:r>
        <w:t>Use explicit QUEUED, STARTED, COMPLETED, FAILED, SKIPPED, and BLOCKED events. Lock release is not deployment success.</w:t>
      </w:r>
    </w:p>
    <w:p>
      <w:pPr>
        <w:pStyle w:val="Heading1"/>
        <w:keepNext/>
      </w:pPr>
      <w:r>
        <w:rPr>
          <w:color w:val="102A43"/>
        </w:rPr>
        <w:t>11. Worker and Queue Safety</w:t>
      </w:r>
    </w:p>
    <w:p>
      <w:pPr>
        <w:pStyle w:val="ListBullet"/>
        <w:spacing w:after="40"/>
      </w:pPr>
      <w:r>
        <w:t>Every worker registers workerId, applicationVersion, gitCommitSHA, schemaVersion, startedAt, and heartbeatAt.</w:t>
      </w:r>
    </w:p>
    <w:p>
      <w:pPr>
        <w:pStyle w:val="ListBullet"/>
        <w:spacing w:after="40"/>
      </w:pPr>
      <w:r>
        <w:t>The queue dispatcher rejects workers whose code/schema version is incompatible with the current backend requirement.</w:t>
      </w:r>
    </w:p>
    <w:p>
      <w:pPr>
        <w:pStyle w:val="ListBullet"/>
        <w:spacing w:after="40"/>
      </w:pPr>
      <w:r>
        <w:t>Duplicate BullMQ delivery re-enters the same idempotent operation rather than creating another apply or release.</w:t>
      </w:r>
    </w:p>
    <w:p>
      <w:pPr>
        <w:pStyle w:val="ListBullet"/>
        <w:spacing w:after="40"/>
      </w:pPr>
      <w:r>
        <w:t>A worker restart restores the operation from durable checkpoints and does not regenerate a different plan or contract.</w:t>
      </w:r>
    </w:p>
    <w:p>
      <w:pPr>
        <w:pStyle w:val="ListBullet"/>
        <w:spacing w:after="40"/>
      </w:pPr>
      <w:r>
        <w:t>Stale worker detection is automatic; restarting a terminal is not a developer responsibility.</w:t>
      </w:r>
    </w:p>
    <w:tbl>
      <w:tblPr>
        <w:tblW w:type="auto" w:w="0"/>
        <w:jc w:val="center"/>
        <w:tblLook w:firstColumn="1" w:firstRow="1" w:lastColumn="0" w:lastRow="0" w:noHBand="0" w:noVBand="1" w:val="04A0"/>
      </w:tblPr>
      <w:tblGrid>
        <w:gridCol w:w="10166"/>
      </w:tblGrid>
      <w:tr>
        <w:tc>
          <w:tcPr>
            <w:tcW w:type="dxa" w:w="10166"/>
            <w:shd w:fill="EAF2FF"/>
            <w:tcBorders>
              <w:top w:val="single" w:sz="8" w:color="1D4ED8"/>
              <w:left w:val="single" w:sz="8" w:color="1D4ED8"/>
              <w:bottom w:val="single" w:sz="8" w:color="1D4ED8"/>
              <w:right w:val="single" w:sz="8" w:color="1D4ED8"/>
              <w:insideH w:val="single" w:sz="8" w:color="1D4ED8"/>
              <w:insideV w:val="single" w:sz="8" w:color="1D4ED8"/>
            </w:tcBorders>
          </w:tcPr>
          <w:p>
            <w:pPr>
              <w:spacing w:after="0"/>
            </w:pPr>
            <w:r>
              <w:rPr>
                <w:b/>
                <w:color w:val="1D4ED8"/>
              </w:rPr>
              <w:t>User-facing stale-worker message</w:t>
              <w:br/>
            </w:r>
            <w:r>
              <w:t>DeployGuard is updating its deployment service. Your deployment will resume automatically.</w:t>
            </w:r>
          </w:p>
        </w:tc>
      </w:tr>
    </w:tbl>
    <w:p>
      <w:pPr>
        <w:spacing w:after="0"/>
      </w:pPr>
    </w:p>
    <w:p>
      <w:r>
        <w:br w:type="page"/>
      </w:r>
    </w:p>
    <w:p>
      <w:pPr>
        <w:pStyle w:val="Heading1"/>
        <w:keepNext/>
      </w:pPr>
      <w:r>
        <w:rPr>
          <w:color w:val="102A43"/>
        </w:rPr>
        <w:t>12. Error Ownership and Automatic Recovery</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584"/>
            <w:shd w:fill="102A43"/>
            <w:vAlign w:val="center"/>
          </w:tcPr>
          <w:p>
            <w:pPr>
              <w:spacing w:after="0"/>
              <w:jc w:val="center"/>
            </w:pPr>
            <w:r>
              <w:rPr>
                <w:b/>
                <w:color w:val="FFFFFF"/>
                <w:sz w:val="15"/>
              </w:rPr>
              <w:t>Owner</w:t>
            </w:r>
          </w:p>
        </w:tc>
        <w:tc>
          <w:tcPr>
            <w:tcW w:type="dxa" w:w="2592"/>
            <w:shd w:fill="102A43"/>
            <w:vAlign w:val="center"/>
          </w:tcPr>
          <w:p>
            <w:pPr>
              <w:spacing w:after="0"/>
              <w:jc w:val="center"/>
            </w:pPr>
            <w:r>
              <w:rPr>
                <w:b/>
                <w:color w:val="FFFFFF"/>
                <w:sz w:val="15"/>
              </w:rPr>
              <w:t>Examples</w:t>
            </w:r>
          </w:p>
        </w:tc>
        <w:tc>
          <w:tcPr>
            <w:tcW w:type="dxa" w:w="3168"/>
            <w:shd w:fill="102A43"/>
            <w:vAlign w:val="center"/>
          </w:tcPr>
          <w:p>
            <w:pPr>
              <w:spacing w:after="0"/>
              <w:jc w:val="center"/>
            </w:pPr>
            <w:r>
              <w:rPr>
                <w:b/>
                <w:color w:val="FFFFFF"/>
                <w:sz w:val="15"/>
              </w:rPr>
              <w:t>Developer message</w:t>
            </w:r>
          </w:p>
        </w:tc>
        <w:tc>
          <w:tcPr>
            <w:tcW w:type="dxa" w:w="2880"/>
            <w:shd w:fill="102A43"/>
            <w:vAlign w:val="center"/>
          </w:tcPr>
          <w:p>
            <w:pPr>
              <w:spacing w:after="0"/>
              <w:jc w:val="center"/>
            </w:pPr>
            <w:r>
              <w:rPr>
                <w:b/>
                <w:color w:val="FFFFFF"/>
                <w:sz w:val="15"/>
              </w:rPr>
              <w:t>Platform response</w:t>
            </w:r>
          </w:p>
        </w:tc>
      </w:tr>
      <w:tr>
        <w:trPr>
          <w:cantSplit/>
        </w:trPr>
        <w:tc>
          <w:tcPr>
            <w:tcW w:type="dxa" w:w="1584"/>
            <w:vAlign w:val="top"/>
          </w:tcPr>
          <w:p>
            <w:pPr>
              <w:spacing w:after="0"/>
            </w:pPr>
            <w:r>
              <w:rPr>
                <w:color w:val="1F2937"/>
                <w:sz w:val="15"/>
              </w:rPr>
              <w:t>Developer</w:t>
            </w:r>
          </w:p>
        </w:tc>
        <w:tc>
          <w:tcPr>
            <w:tcW w:type="dxa" w:w="2592"/>
            <w:vAlign w:val="top"/>
          </w:tcPr>
          <w:p>
            <w:pPr>
              <w:spacing w:after="0"/>
            </w:pPr>
            <w:r>
              <w:rPr>
                <w:color w:val="1F2937"/>
                <w:sz w:val="15"/>
              </w:rPr>
              <w:t>Missing app secret, build error, invalid start command, app not listening, failing application health</w:t>
            </w:r>
          </w:p>
        </w:tc>
        <w:tc>
          <w:tcPr>
            <w:tcW w:type="dxa" w:w="3168"/>
            <w:vAlign w:val="top"/>
          </w:tcPr>
          <w:p>
            <w:pPr>
              <w:spacing w:after="0"/>
            </w:pPr>
            <w:r>
              <w:rPr>
                <w:color w:val="1F2937"/>
                <w:sz w:val="15"/>
              </w:rPr>
              <w:t>Your application needs attention.</w:t>
            </w:r>
          </w:p>
        </w:tc>
        <w:tc>
          <w:tcPr>
            <w:tcW w:type="dxa" w:w="2880"/>
            <w:vAlign w:val="top"/>
          </w:tcPr>
          <w:p>
            <w:pPr>
              <w:spacing w:after="0"/>
            </w:pPr>
            <w:r>
              <w:rPr>
                <w:color w:val="1F2937"/>
                <w:sz w:val="15"/>
              </w:rPr>
              <w:t>Show exact app-owned fix and preserve infrastructure</w:t>
            </w:r>
          </w:p>
        </w:tc>
      </w:tr>
      <w:tr>
        <w:trPr>
          <w:cantSplit/>
        </w:trPr>
        <w:tc>
          <w:tcPr>
            <w:tcW w:type="dxa" w:w="1584"/>
            <w:vAlign w:val="top"/>
            <w:shd w:fill="F8FAFC"/>
          </w:tcPr>
          <w:p>
            <w:pPr>
              <w:spacing w:after="0"/>
            </w:pPr>
            <w:r>
              <w:rPr>
                <w:color w:val="1F2937"/>
                <w:sz w:val="15"/>
              </w:rPr>
              <w:t>DeployGuard platform</w:t>
            </w:r>
          </w:p>
        </w:tc>
        <w:tc>
          <w:tcPr>
            <w:tcW w:type="dxa" w:w="2592"/>
            <w:vAlign w:val="top"/>
            <w:shd w:fill="F8FAFC"/>
          </w:tcPr>
          <w:p>
            <w:pPr>
              <w:spacing w:after="0"/>
            </w:pPr>
            <w:r>
              <w:rPr>
                <w:color w:val="1F2937"/>
                <w:sz w:val="15"/>
              </w:rPr>
              <w:t>Fingerprint mismatch, stale worker, queue duplication, state-lock or classifier defect</w:t>
            </w:r>
          </w:p>
        </w:tc>
        <w:tc>
          <w:tcPr>
            <w:tcW w:type="dxa" w:w="3168"/>
            <w:vAlign w:val="top"/>
            <w:shd w:fill="F8FAFC"/>
          </w:tcPr>
          <w:p>
            <w:pPr>
              <w:spacing w:after="0"/>
            </w:pPr>
            <w:r>
              <w:rPr>
                <w:color w:val="1F2937"/>
                <w:sz w:val="15"/>
              </w:rPr>
              <w:t>DeployGuard encountered an internal deployment issue. No action is required from you.</w:t>
            </w:r>
          </w:p>
        </w:tc>
        <w:tc>
          <w:tcPr>
            <w:tcW w:type="dxa" w:w="2880"/>
            <w:vAlign w:val="top"/>
            <w:shd w:fill="F8FAFC"/>
          </w:tcPr>
          <w:p>
            <w:pPr>
              <w:spacing w:after="0"/>
            </w:pPr>
            <w:r>
              <w:rPr>
                <w:color w:val="1F2937"/>
                <w:sz w:val="15"/>
              </w:rPr>
              <w:t>Retry/reconcile automatically; alert admin</w:t>
            </w:r>
          </w:p>
        </w:tc>
      </w:tr>
      <w:tr>
        <w:trPr>
          <w:cantSplit/>
        </w:trPr>
        <w:tc>
          <w:tcPr>
            <w:tcW w:type="dxa" w:w="1584"/>
            <w:vAlign w:val="top"/>
          </w:tcPr>
          <w:p>
            <w:pPr>
              <w:spacing w:after="0"/>
            </w:pPr>
            <w:r>
              <w:rPr>
                <w:color w:val="1F2937"/>
                <w:sz w:val="15"/>
              </w:rPr>
              <w:t>Cloud provider</w:t>
            </w:r>
          </w:p>
        </w:tc>
        <w:tc>
          <w:tcPr>
            <w:tcW w:type="dxa" w:w="2592"/>
            <w:vAlign w:val="top"/>
          </w:tcPr>
          <w:p>
            <w:pPr>
              <w:spacing w:after="0"/>
            </w:pPr>
            <w:r>
              <w:rPr>
                <w:color w:val="1F2937"/>
                <w:sz w:val="15"/>
              </w:rPr>
              <w:t>Quota, throttling, regional service issue</w:t>
            </w:r>
          </w:p>
        </w:tc>
        <w:tc>
          <w:tcPr>
            <w:tcW w:type="dxa" w:w="3168"/>
            <w:vAlign w:val="top"/>
          </w:tcPr>
          <w:p>
            <w:pPr>
              <w:spacing w:after="0"/>
            </w:pPr>
            <w:r>
              <w:rPr>
                <w:color w:val="1F2937"/>
                <w:sz w:val="15"/>
              </w:rPr>
              <w:t>AWS is temporarily preventing this deployment. DeployGuard will retry.</w:t>
            </w:r>
          </w:p>
        </w:tc>
        <w:tc>
          <w:tcPr>
            <w:tcW w:type="dxa" w:w="2880"/>
            <w:vAlign w:val="top"/>
          </w:tcPr>
          <w:p>
            <w:pPr>
              <w:spacing w:after="0"/>
            </w:pPr>
            <w:r>
              <w:rPr>
                <w:color w:val="1F2937"/>
                <w:sz w:val="15"/>
              </w:rPr>
              <w:t>Backoff, retry, and preserve active release</w:t>
            </w:r>
          </w:p>
        </w:tc>
      </w:tr>
      <w:tr>
        <w:trPr>
          <w:cantSplit/>
        </w:trPr>
        <w:tc>
          <w:tcPr>
            <w:tcW w:type="dxa" w:w="1584"/>
            <w:vAlign w:val="top"/>
            <w:shd w:fill="F8FAFC"/>
          </w:tcPr>
          <w:p>
            <w:pPr>
              <w:spacing w:after="0"/>
            </w:pPr>
            <w:r>
              <w:rPr>
                <w:color w:val="1F2937"/>
                <w:sz w:val="15"/>
              </w:rPr>
              <w:t>Unverified</w:t>
            </w:r>
          </w:p>
        </w:tc>
        <w:tc>
          <w:tcPr>
            <w:tcW w:type="dxa" w:w="2592"/>
            <w:vAlign w:val="top"/>
            <w:shd w:fill="F8FAFC"/>
          </w:tcPr>
          <w:p>
            <w:pPr>
              <w:spacing w:after="0"/>
            </w:pPr>
            <w:r>
              <w:rPr>
                <w:color w:val="1F2937"/>
                <w:sz w:val="15"/>
              </w:rPr>
              <w:t>Database, Terraform state, AWS state, and UI disagree</w:t>
            </w:r>
          </w:p>
        </w:tc>
        <w:tc>
          <w:tcPr>
            <w:tcW w:type="dxa" w:w="3168"/>
            <w:vAlign w:val="top"/>
            <w:shd w:fill="F8FAFC"/>
          </w:tcPr>
          <w:p>
            <w:pPr>
              <w:spacing w:after="0"/>
            </w:pPr>
            <w:r>
              <w:rPr>
                <w:color w:val="1F2937"/>
                <w:sz w:val="15"/>
              </w:rPr>
              <w:t>DeployGuard is verifying deployment status.</w:t>
            </w:r>
          </w:p>
        </w:tc>
        <w:tc>
          <w:tcPr>
            <w:tcW w:type="dxa" w:w="2880"/>
            <w:vAlign w:val="top"/>
            <w:shd w:fill="F8FAFC"/>
          </w:tcPr>
          <w:p>
            <w:pPr>
              <w:spacing w:after="0"/>
            </w:pPr>
            <w:r>
              <w:rPr>
                <w:color w:val="1F2937"/>
                <w:sz w:val="15"/>
              </w:rPr>
              <w:t>Run reconciliation before presenting a confident state</w:t>
            </w:r>
          </w:p>
        </w:tc>
      </w:tr>
    </w:tbl>
    <w:p>
      <w:pPr>
        <w:spacing w:after="0"/>
      </w:pPr>
    </w:p>
    <w:p>
      <w:pPr>
        <w:pStyle w:val="Heading2"/>
        <w:keepNext/>
      </w:pPr>
      <w:r>
        <w:rPr>
          <w:color w:val="0F766E"/>
        </w:rPr>
        <w:t>Recovery behavior</w:t>
      </w:r>
    </w:p>
    <w:p>
      <w:pPr>
        <w:pStyle w:val="ListBullet"/>
        <w:spacing w:after="40"/>
      </w:pPr>
      <w:r>
        <w:t>Build failure: fail the release candidate; no infrastructure action.</w:t>
      </w:r>
    </w:p>
    <w:p>
      <w:pPr>
        <w:pStyle w:val="ListBullet"/>
        <w:spacing w:after="40"/>
      </w:pPr>
      <w:r>
        <w:t>Release rollout failure: retain or restore the previous stable task definition.</w:t>
      </w:r>
    </w:p>
    <w:p>
      <w:pPr>
        <w:pStyle w:val="ListBullet"/>
        <w:spacing w:after="40"/>
      </w:pPr>
      <w:r>
        <w:t>Application health failure: preserve infrastructure and surface application evidence.</w:t>
      </w:r>
    </w:p>
    <w:p>
      <w:pPr>
        <w:pStyle w:val="ListBullet"/>
        <w:spacing w:after="40"/>
      </w:pPr>
      <w:r>
        <w:t>Infrastructure plan failure: no cloud mutation; correct internal configuration or report platform failure.</w:t>
      </w:r>
    </w:p>
    <w:p>
      <w:pPr>
        <w:pStyle w:val="ListBullet"/>
        <w:spacing w:after="40"/>
      </w:pPr>
      <w:r>
        <w:t>Partial infrastructure apply: reconcile state and AWS before any new plan; never automatically destroy.</w:t>
      </w:r>
    </w:p>
    <w:p>
      <w:pPr>
        <w:pStyle w:val="ListBullet"/>
        <w:spacing w:after="40"/>
      </w:pPr>
      <w:r>
        <w:t>Managed-service readiness failure: preserve resources and retry the managed service or binding internally.</w:t>
      </w:r>
    </w:p>
    <w:p>
      <w:pPr>
        <w:pStyle w:val="ListBullet"/>
        <w:spacing w:after="40"/>
      </w:pPr>
      <w:r>
        <w:t>Repeated self-invalidating runs: stop automatic regeneration and raise a platform incident rather than creating an infinite run loop.</w:t>
      </w:r>
    </w:p>
    <w:p>
      <w:pPr>
        <w:pStyle w:val="Heading1"/>
        <w:keepNext/>
      </w:pPr>
      <w:r>
        <w:rPr>
          <w:color w:val="102A43"/>
        </w:rPr>
        <w:t>13. Security and Secret Handling</w:t>
      </w:r>
    </w:p>
    <w:p>
      <w:pPr>
        <w:pStyle w:val="ListBullet"/>
        <w:spacing w:after="40"/>
      </w:pPr>
      <w:r>
        <w:t>Application-owned secrets are stored in Secrets Manager and referenced from ECS task definitions, never placed in ordinary environment output.</w:t>
      </w:r>
    </w:p>
    <w:p>
      <w:pPr>
        <w:pStyle w:val="ListBullet"/>
        <w:spacing w:after="40"/>
      </w:pPr>
      <w:r>
        <w:t>Managed database credentials are platform-owned and cannot be overridden by historical user values.</w:t>
      </w:r>
    </w:p>
    <w:p>
      <w:pPr>
        <w:pStyle w:val="ListBullet"/>
        <w:spacing w:after="40"/>
      </w:pPr>
      <w:r>
        <w:t>DB_PASSWORD and JWT_SECRET are rendered only through ECS secrets.</w:t>
      </w:r>
    </w:p>
    <w:p>
      <w:pPr>
        <w:pStyle w:val="ListBullet"/>
        <w:spacing w:after="40"/>
      </w:pPr>
      <w:r>
        <w:t>DB_HOST, DB_PORT, DB_NAME, and policy-approved non-sensitive values are rendered through ECS environment entries.</w:t>
      </w:r>
    </w:p>
    <w:p>
      <w:pPr>
        <w:pStyle w:val="ListBullet"/>
        <w:spacing w:after="40"/>
      </w:pPr>
      <w:r>
        <w:t>DATABASE_URL is included only when current repository source evidence proves it is used.</w:t>
      </w:r>
    </w:p>
    <w:p>
      <w:pPr>
        <w:pStyle w:val="ListBullet"/>
        <w:spacing w:after="40"/>
      </w:pPr>
      <w:r>
        <w:t>No key may appear in both environment and secrets.</w:t>
      </w:r>
    </w:p>
    <w:p>
      <w:pPr>
        <w:pStyle w:val="ListBullet"/>
        <w:spacing w:after="40"/>
      </w:pPr>
      <w:r>
        <w:t>Logs, events, activity records, plan summaries, and APIs expose only allowlisted metadata and sanitized reason codes.</w:t>
      </w:r>
    </w:p>
    <w:p>
      <w:pPr>
        <w:pStyle w:val="Heading1"/>
        <w:keepNext/>
      </w:pPr>
      <w:r>
        <w:rPr>
          <w:color w:val="102A43"/>
        </w:rPr>
        <w:t>14. One-Click Deletion</w:t>
      </w:r>
    </w:p>
    <w:tbl>
      <w:tblPr>
        <w:tblW w:type="auto" w:w="0"/>
        <w:jc w:val="center"/>
        <w:tblLook w:firstColumn="1" w:firstRow="1" w:lastColumn="0" w:lastRow="0" w:noHBand="0" w:noVBand="1" w:val="04A0"/>
      </w:tblPr>
      <w:tblGrid>
        <w:gridCol w:w="924"/>
        <w:gridCol w:w="924"/>
        <w:gridCol w:w="924"/>
        <w:gridCol w:w="924"/>
        <w:gridCol w:w="924"/>
        <w:gridCol w:w="924"/>
        <w:gridCol w:w="924"/>
        <w:gridCol w:w="924"/>
        <w:gridCol w:w="924"/>
        <w:gridCol w:w="924"/>
        <w:gridCol w:w="924"/>
      </w:tblGrid>
      <w:tr>
        <w:tc>
          <w:tcPr>
            <w:tcW w:type="dxa" w:w="924"/>
            <w:shd w:fill="FFF3E8"/>
            <w:tcBorders>
              <w:top w:val="single" w:sz="6" w:color="D0D5DD"/>
              <w:left w:val="single" w:sz="6" w:color="D0D5DD"/>
              <w:bottom w:val="single" w:sz="6" w:color="D0D5DD"/>
              <w:right w:val="single" w:sz="6" w:color="D0D5DD"/>
              <w:insideH w:val="single" w:sz="6" w:color="D0D5DD"/>
              <w:insideV w:val="single" w:sz="6" w:color="D0D5DD"/>
            </w:tcBorders>
            <w:vAlign w:val="center"/>
          </w:tcPr>
          <w:p>
            <w:pPr>
              <w:spacing w:after="0"/>
              <w:jc w:val="center"/>
            </w:pPr>
            <w:r>
              <w:rPr>
                <w:b/>
                <w:sz w:val="18"/>
              </w:rPr>
              <w:t>Delete project</w:t>
            </w:r>
          </w:p>
        </w:tc>
        <w:tc>
          <w:tcPr>
            <w:tcW w:type="dxa" w:w="924"/>
            <w:vAlign w:val="center"/>
          </w:tcPr>
          <w:p>
            <w:pPr>
              <w:spacing w:after="0"/>
              <w:jc w:val="center"/>
            </w:pPr>
            <w:r>
              <w:rPr>
                <w:b/>
                <w:color w:val="475569"/>
                <w:sz w:val="28"/>
              </w:rPr>
              <w:t>→</w:t>
            </w:r>
          </w:p>
        </w:tc>
        <w:tc>
          <w:tcPr>
            <w:tcW w:type="dxa" w:w="924"/>
            <w:shd w:fill="FFF3E8"/>
            <w:tcBorders>
              <w:top w:val="single" w:sz="6" w:color="D0D5DD"/>
              <w:left w:val="single" w:sz="6" w:color="D0D5DD"/>
              <w:bottom w:val="single" w:sz="6" w:color="D0D5DD"/>
              <w:right w:val="single" w:sz="6" w:color="D0D5DD"/>
              <w:insideH w:val="single" w:sz="6" w:color="D0D5DD"/>
              <w:insideV w:val="single" w:sz="6" w:color="D0D5DD"/>
            </w:tcBorders>
            <w:vAlign w:val="center"/>
          </w:tcPr>
          <w:p>
            <w:pPr>
              <w:spacing w:after="0"/>
              <w:jc w:val="center"/>
            </w:pPr>
            <w:r>
              <w:rPr>
                <w:b/>
                <w:sz w:val="18"/>
              </w:rPr>
              <w:t>Block work</w:t>
            </w:r>
          </w:p>
        </w:tc>
        <w:tc>
          <w:tcPr>
            <w:tcW w:type="dxa" w:w="924"/>
            <w:vAlign w:val="center"/>
          </w:tcPr>
          <w:p>
            <w:pPr>
              <w:spacing w:after="0"/>
              <w:jc w:val="center"/>
            </w:pPr>
            <w:r>
              <w:rPr>
                <w:b/>
                <w:color w:val="475569"/>
                <w:sz w:val="28"/>
              </w:rPr>
              <w:t>→</w:t>
            </w:r>
          </w:p>
        </w:tc>
        <w:tc>
          <w:tcPr>
            <w:tcW w:type="dxa" w:w="924"/>
            <w:shd w:fill="FFF3E8"/>
            <w:tcBorders>
              <w:top w:val="single" w:sz="6" w:color="D0D5DD"/>
              <w:left w:val="single" w:sz="6" w:color="D0D5DD"/>
              <w:bottom w:val="single" w:sz="6" w:color="D0D5DD"/>
              <w:right w:val="single" w:sz="6" w:color="D0D5DD"/>
              <w:insideH w:val="single" w:sz="6" w:color="D0D5DD"/>
              <w:insideV w:val="single" w:sz="6" w:color="D0D5DD"/>
            </w:tcBorders>
            <w:vAlign w:val="center"/>
          </w:tcPr>
          <w:p>
            <w:pPr>
              <w:spacing w:after="0"/>
              <w:jc w:val="center"/>
            </w:pPr>
            <w:r>
              <w:rPr>
                <w:b/>
                <w:sz w:val="18"/>
              </w:rPr>
              <w:t>Reconcile</w:t>
            </w:r>
          </w:p>
        </w:tc>
        <w:tc>
          <w:tcPr>
            <w:tcW w:type="dxa" w:w="924"/>
            <w:vAlign w:val="center"/>
          </w:tcPr>
          <w:p>
            <w:pPr>
              <w:spacing w:after="0"/>
              <w:jc w:val="center"/>
            </w:pPr>
            <w:r>
              <w:rPr>
                <w:b/>
                <w:color w:val="475569"/>
                <w:sz w:val="28"/>
              </w:rPr>
              <w:t>→</w:t>
            </w:r>
          </w:p>
        </w:tc>
        <w:tc>
          <w:tcPr>
            <w:tcW w:type="dxa" w:w="924"/>
            <w:shd w:fill="FFF3E8"/>
            <w:tcBorders>
              <w:top w:val="single" w:sz="6" w:color="D0D5DD"/>
              <w:left w:val="single" w:sz="6" w:color="D0D5DD"/>
              <w:bottom w:val="single" w:sz="6" w:color="D0D5DD"/>
              <w:right w:val="single" w:sz="6" w:color="D0D5DD"/>
              <w:insideH w:val="single" w:sz="6" w:color="D0D5DD"/>
              <w:insideV w:val="single" w:sz="6" w:color="D0D5DD"/>
            </w:tcBorders>
            <w:vAlign w:val="center"/>
          </w:tcPr>
          <w:p>
            <w:pPr>
              <w:spacing w:after="0"/>
              <w:jc w:val="center"/>
            </w:pPr>
            <w:r>
              <w:rPr>
                <w:b/>
                <w:sz w:val="18"/>
              </w:rPr>
              <w:t>Destroy internally</w:t>
            </w:r>
          </w:p>
        </w:tc>
        <w:tc>
          <w:tcPr>
            <w:tcW w:type="dxa" w:w="924"/>
            <w:vAlign w:val="center"/>
          </w:tcPr>
          <w:p>
            <w:pPr>
              <w:spacing w:after="0"/>
              <w:jc w:val="center"/>
            </w:pPr>
            <w:r>
              <w:rPr>
                <w:b/>
                <w:color w:val="475569"/>
                <w:sz w:val="28"/>
              </w:rPr>
              <w:t>→</w:t>
            </w:r>
          </w:p>
        </w:tc>
        <w:tc>
          <w:tcPr>
            <w:tcW w:type="dxa" w:w="924"/>
            <w:shd w:fill="FFF3E8"/>
            <w:tcBorders>
              <w:top w:val="single" w:sz="6" w:color="D0D5DD"/>
              <w:left w:val="single" w:sz="6" w:color="D0D5DD"/>
              <w:bottom w:val="single" w:sz="6" w:color="D0D5DD"/>
              <w:right w:val="single" w:sz="6" w:color="D0D5DD"/>
              <w:insideH w:val="single" w:sz="6" w:color="D0D5DD"/>
              <w:insideV w:val="single" w:sz="6" w:color="D0D5DD"/>
            </w:tcBorders>
            <w:vAlign w:val="center"/>
          </w:tcPr>
          <w:p>
            <w:pPr>
              <w:spacing w:after="0"/>
              <w:jc w:val="center"/>
            </w:pPr>
            <w:r>
              <w:rPr>
                <w:b/>
                <w:sz w:val="18"/>
              </w:rPr>
              <w:t>Verify AWS</w:t>
            </w:r>
          </w:p>
        </w:tc>
        <w:tc>
          <w:tcPr>
            <w:tcW w:type="dxa" w:w="924"/>
            <w:vAlign w:val="center"/>
          </w:tcPr>
          <w:p>
            <w:pPr>
              <w:spacing w:after="0"/>
              <w:jc w:val="center"/>
            </w:pPr>
            <w:r>
              <w:rPr>
                <w:b/>
                <w:color w:val="475569"/>
                <w:sz w:val="28"/>
              </w:rPr>
              <w:t>→</w:t>
            </w:r>
          </w:p>
        </w:tc>
        <w:tc>
          <w:tcPr>
            <w:tcW w:type="dxa" w:w="924"/>
            <w:shd w:fill="ECFDF3"/>
            <w:tcBorders>
              <w:top w:val="single" w:sz="6" w:color="D0D5DD"/>
              <w:left w:val="single" w:sz="6" w:color="D0D5DD"/>
              <w:bottom w:val="single" w:sz="6" w:color="D0D5DD"/>
              <w:right w:val="single" w:sz="6" w:color="D0D5DD"/>
              <w:insideH w:val="single" w:sz="6" w:color="D0D5DD"/>
              <w:insideV w:val="single" w:sz="6" w:color="D0D5DD"/>
            </w:tcBorders>
            <w:vAlign w:val="center"/>
          </w:tcPr>
          <w:p>
            <w:pPr>
              <w:spacing w:after="0"/>
              <w:jc w:val="center"/>
            </w:pPr>
            <w:r>
              <w:rPr>
                <w:b/>
                <w:sz w:val="18"/>
              </w:rPr>
              <w:t>Archive</w:t>
            </w:r>
          </w:p>
        </w:tc>
      </w:tr>
    </w:tbl>
    <w:p>
      <w:pPr>
        <w:spacing w:after="0"/>
      </w:pPr>
    </w:p>
    <w:p>
      <w:r>
        <w:t>Deletion is a durable backend operation, not a multi-page technical workflow. The user confirms once and then sees a persistent progress screen that survives refresh and worker restart.</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512"/>
            <w:shd w:fill="102A43"/>
            <w:vAlign w:val="center"/>
          </w:tcPr>
          <w:p>
            <w:pPr>
              <w:spacing w:after="0"/>
              <w:jc w:val="center"/>
            </w:pPr>
            <w:r>
              <w:rPr>
                <w:b/>
                <w:color w:val="FFFFFF"/>
                <w:sz w:val="16"/>
              </w:rPr>
              <w:t>Step</w:t>
            </w:r>
          </w:p>
        </w:tc>
        <w:tc>
          <w:tcPr>
            <w:tcW w:type="dxa" w:w="5112"/>
            <w:shd w:fill="102A43"/>
            <w:vAlign w:val="center"/>
          </w:tcPr>
          <w:p>
            <w:pPr>
              <w:spacing w:after="0"/>
              <w:jc w:val="center"/>
            </w:pPr>
            <w:r>
              <w:rPr>
                <w:b/>
                <w:color w:val="FFFFFF"/>
                <w:sz w:val="16"/>
              </w:rPr>
              <w:t>Backend behavior</w:t>
            </w:r>
          </w:p>
        </w:tc>
        <w:tc>
          <w:tcPr>
            <w:tcW w:type="dxa" w:w="3240"/>
            <w:shd w:fill="102A43"/>
            <w:vAlign w:val="center"/>
          </w:tcPr>
          <w:p>
            <w:pPr>
              <w:spacing w:after="0"/>
              <w:jc w:val="center"/>
            </w:pPr>
            <w:r>
              <w:rPr>
                <w:b/>
                <w:color w:val="FFFFFF"/>
                <w:sz w:val="16"/>
              </w:rPr>
              <w:t>Developer-facing text</w:t>
            </w:r>
          </w:p>
        </w:tc>
      </w:tr>
      <w:tr>
        <w:trPr>
          <w:cantSplit/>
        </w:trPr>
        <w:tc>
          <w:tcPr>
            <w:tcW w:type="dxa" w:w="1512"/>
            <w:vAlign w:val="top"/>
          </w:tcPr>
          <w:p>
            <w:pPr>
              <w:spacing w:after="0"/>
            </w:pPr>
            <w:r>
              <w:rPr>
                <w:color w:val="1F2937"/>
                <w:sz w:val="16"/>
              </w:rPr>
              <w:t>1. Block</w:t>
            </w:r>
          </w:p>
        </w:tc>
        <w:tc>
          <w:tcPr>
            <w:tcW w:type="dxa" w:w="5112"/>
            <w:vAlign w:val="top"/>
          </w:tcPr>
          <w:p>
            <w:pPr>
              <w:spacing w:after="0"/>
            </w:pPr>
            <w:r>
              <w:rPr>
                <w:color w:val="1F2937"/>
                <w:sz w:val="16"/>
              </w:rPr>
              <w:t>Disable new deploy/release operations and cancel queued candidates</w:t>
            </w:r>
          </w:p>
        </w:tc>
        <w:tc>
          <w:tcPr>
            <w:tcW w:type="dxa" w:w="3240"/>
            <w:vAlign w:val="top"/>
          </w:tcPr>
          <w:p>
            <w:pPr>
              <w:spacing w:after="0"/>
            </w:pPr>
            <w:r>
              <w:rPr>
                <w:color w:val="1F2937"/>
                <w:sz w:val="16"/>
              </w:rPr>
              <w:t>Stopping deployments</w:t>
            </w:r>
          </w:p>
        </w:tc>
      </w:tr>
      <w:tr>
        <w:trPr>
          <w:cantSplit/>
        </w:trPr>
        <w:tc>
          <w:tcPr>
            <w:tcW w:type="dxa" w:w="1512"/>
            <w:vAlign w:val="top"/>
            <w:shd w:fill="F8FAFC"/>
          </w:tcPr>
          <w:p>
            <w:pPr>
              <w:spacing w:after="0"/>
            </w:pPr>
            <w:r>
              <w:rPr>
                <w:color w:val="1F2937"/>
                <w:sz w:val="16"/>
              </w:rPr>
              <w:t>2. Reconcile</w:t>
            </w:r>
          </w:p>
        </w:tc>
        <w:tc>
          <w:tcPr>
            <w:tcW w:type="dxa" w:w="5112"/>
            <w:vAlign w:val="top"/>
            <w:shd w:fill="F8FAFC"/>
          </w:tcPr>
          <w:p>
            <w:pPr>
              <w:spacing w:after="0"/>
            </w:pPr>
            <w:r>
              <w:rPr>
                <w:color w:val="1F2937"/>
                <w:sz w:val="16"/>
              </w:rPr>
              <w:t>Wait for or reconcile an active release or infrastructure mutation</w:t>
            </w:r>
          </w:p>
        </w:tc>
        <w:tc>
          <w:tcPr>
            <w:tcW w:type="dxa" w:w="3240"/>
            <w:vAlign w:val="top"/>
            <w:shd w:fill="F8FAFC"/>
          </w:tcPr>
          <w:p>
            <w:pPr>
              <w:spacing w:after="0"/>
            </w:pPr>
            <w:r>
              <w:rPr>
                <w:color w:val="1F2937"/>
                <w:sz w:val="16"/>
              </w:rPr>
              <w:t>Preparing safe deletion</w:t>
            </w:r>
          </w:p>
        </w:tc>
      </w:tr>
      <w:tr>
        <w:trPr>
          <w:cantSplit/>
        </w:trPr>
        <w:tc>
          <w:tcPr>
            <w:tcW w:type="dxa" w:w="1512"/>
            <w:vAlign w:val="top"/>
          </w:tcPr>
          <w:p>
            <w:pPr>
              <w:spacing w:after="0"/>
            </w:pPr>
            <w:r>
              <w:rPr>
                <w:color w:val="1F2937"/>
                <w:sz w:val="16"/>
              </w:rPr>
              <w:t>3. Destroy</w:t>
            </w:r>
          </w:p>
        </w:tc>
        <w:tc>
          <w:tcPr>
            <w:tcW w:type="dxa" w:w="5112"/>
            <w:vAlign w:val="top"/>
          </w:tcPr>
          <w:p>
            <w:pPr>
              <w:spacing w:after="0"/>
            </w:pPr>
            <w:r>
              <w:rPr>
                <w:color w:val="1F2937"/>
                <w:sz w:val="16"/>
              </w:rPr>
              <w:t>Generate and apply the project-scoped destroy operation internally</w:t>
            </w:r>
          </w:p>
        </w:tc>
        <w:tc>
          <w:tcPr>
            <w:tcW w:type="dxa" w:w="3240"/>
            <w:vAlign w:val="top"/>
          </w:tcPr>
          <w:p>
            <w:pPr>
              <w:spacing w:after="0"/>
            </w:pPr>
            <w:r>
              <w:rPr>
                <w:color w:val="1F2937"/>
                <w:sz w:val="16"/>
              </w:rPr>
              <w:t>Removing application and database resources</w:t>
            </w:r>
          </w:p>
        </w:tc>
      </w:tr>
      <w:tr>
        <w:trPr>
          <w:cantSplit/>
        </w:trPr>
        <w:tc>
          <w:tcPr>
            <w:tcW w:type="dxa" w:w="1512"/>
            <w:vAlign w:val="top"/>
            <w:shd w:fill="F8FAFC"/>
          </w:tcPr>
          <w:p>
            <w:pPr>
              <w:spacing w:after="0"/>
            </w:pPr>
            <w:r>
              <w:rPr>
                <w:color w:val="1F2937"/>
                <w:sz w:val="16"/>
              </w:rPr>
              <w:t>4. Verify</w:t>
            </w:r>
          </w:p>
        </w:tc>
        <w:tc>
          <w:tcPr>
            <w:tcW w:type="dxa" w:w="5112"/>
            <w:vAlign w:val="top"/>
            <w:shd w:fill="F8FAFC"/>
          </w:tcPr>
          <w:p>
            <w:pPr>
              <w:spacing w:after="0"/>
            </w:pPr>
            <w:r>
              <w:rPr>
                <w:color w:val="1F2937"/>
                <w:sz w:val="16"/>
              </w:rPr>
              <w:t>Compare Terraform state and AWS observed resources; classify remaining records</w:t>
            </w:r>
          </w:p>
        </w:tc>
        <w:tc>
          <w:tcPr>
            <w:tcW w:type="dxa" w:w="3240"/>
            <w:vAlign w:val="top"/>
            <w:shd w:fill="F8FAFC"/>
          </w:tcPr>
          <w:p>
            <w:pPr>
              <w:spacing w:after="0"/>
            </w:pPr>
            <w:r>
              <w:rPr>
                <w:color w:val="1F2937"/>
                <w:sz w:val="16"/>
              </w:rPr>
              <w:t>Verifying cloud removal</w:t>
            </w:r>
          </w:p>
        </w:tc>
      </w:tr>
      <w:tr>
        <w:trPr>
          <w:cantSplit/>
        </w:trPr>
        <w:tc>
          <w:tcPr>
            <w:tcW w:type="dxa" w:w="1512"/>
            <w:vAlign w:val="top"/>
          </w:tcPr>
          <w:p>
            <w:pPr>
              <w:spacing w:after="0"/>
            </w:pPr>
            <w:r>
              <w:rPr>
                <w:color w:val="1F2937"/>
                <w:sz w:val="16"/>
              </w:rPr>
              <w:t>5. Archive</w:t>
            </w:r>
          </w:p>
        </w:tc>
        <w:tc>
          <w:tcPr>
            <w:tcW w:type="dxa" w:w="5112"/>
            <w:vAlign w:val="top"/>
          </w:tcPr>
          <w:p>
            <w:pPr>
              <w:spacing w:after="0"/>
            </w:pPr>
            <w:r>
              <w:rPr>
                <w:color w:val="1F2937"/>
                <w:sz w:val="16"/>
              </w:rPr>
              <w:t>Mark project deleted and retain read-only audit evidence</w:t>
            </w:r>
          </w:p>
        </w:tc>
        <w:tc>
          <w:tcPr>
            <w:tcW w:type="dxa" w:w="3240"/>
            <w:vAlign w:val="top"/>
          </w:tcPr>
          <w:p>
            <w:pPr>
              <w:spacing w:after="0"/>
            </w:pPr>
            <w:r>
              <w:rPr>
                <w:color w:val="1F2937"/>
                <w:sz w:val="16"/>
              </w:rPr>
              <w:t>Project deleted</w:t>
            </w:r>
          </w:p>
        </w:tc>
      </w:tr>
    </w:tbl>
    <w:p>
      <w:pPr>
        <w:spacing w:after="0"/>
      </w:pPr>
    </w:p>
    <w:tbl>
      <w:tblPr>
        <w:tblW w:type="auto" w:w="0"/>
        <w:jc w:val="center"/>
        <w:tblLook w:firstColumn="1" w:firstRow="1" w:lastColumn="0" w:lastRow="0" w:noHBand="0" w:noVBand="1" w:val="04A0"/>
      </w:tblPr>
      <w:tblGrid>
        <w:gridCol w:w="10166"/>
      </w:tblGrid>
      <w:tr>
        <w:tc>
          <w:tcPr>
            <w:tcW w:type="dxa" w:w="10166"/>
            <w:shd w:fill="FFF3E8"/>
            <w:tcBorders>
              <w:top w:val="single" w:sz="8" w:color="C2410C"/>
              <w:left w:val="single" w:sz="8" w:color="C2410C"/>
              <w:bottom w:val="single" w:sz="8" w:color="C2410C"/>
              <w:right w:val="single" w:sz="8" w:color="C2410C"/>
              <w:insideH w:val="single" w:sz="8" w:color="C2410C"/>
              <w:insideV w:val="single" w:sz="8" w:color="C2410C"/>
            </w:tcBorders>
          </w:tcPr>
          <w:p>
            <w:pPr>
              <w:spacing w:after="0"/>
            </w:pPr>
            <w:r>
              <w:rPr>
                <w:b/>
                <w:color w:val="C2410C"/>
              </w:rPr>
              <w:t>Authentication UX</w:t>
              <w:br/>
            </w:r>
            <w:r>
              <w:t>A recent valid session should be enough for normal deletion. When step-up authentication is required, return the user directly to the same deletion confirmation and continue with a short-lived, single-use action token.</w:t>
            </w:r>
          </w:p>
        </w:tc>
      </w:tr>
    </w:tbl>
    <w:p>
      <w:pPr>
        <w:spacing w:after="0"/>
      </w:pPr>
    </w:p>
    <w:p>
      <w:r>
        <w:br w:type="page"/>
      </w:r>
    </w:p>
    <w:p>
      <w:pPr>
        <w:pStyle w:val="Heading1"/>
        <w:keepNext/>
      </w:pPr>
      <w:r>
        <w:rPr>
          <w:color w:val="102A43"/>
        </w:rPr>
        <w:t>15. Developer UI Information Architecture</w:t>
      </w:r>
    </w:p>
    <w:p>
      <w:pPr>
        <w:pStyle w:val="Heading2"/>
        <w:keepNext/>
      </w:pPr>
      <w:r>
        <w:rPr>
          <w:color w:val="0F766E"/>
        </w:rPr>
        <w:t>Normal developer navigation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shd w:fill="102A43"/>
            <w:vAlign w:val="center"/>
          </w:tcPr>
          <w:p>
            <w:pPr>
              <w:spacing w:after="0"/>
              <w:jc w:val="center"/>
            </w:pPr>
            <w:r>
              <w:rPr>
                <w:b/>
                <w:color w:val="FFFFFF"/>
                <w:sz w:val="17"/>
              </w:rPr>
              <w:t>Page</w:t>
            </w:r>
          </w:p>
        </w:tc>
        <w:tc>
          <w:tcPr>
            <w:tcW w:type="dxa" w:w="7200"/>
            <w:shd w:fill="102A43"/>
            <w:vAlign w:val="center"/>
          </w:tcPr>
          <w:p>
            <w:pPr>
              <w:spacing w:after="0"/>
              <w:jc w:val="center"/>
            </w:pPr>
            <w:r>
              <w:rPr>
                <w:b/>
                <w:color w:val="FFFFFF"/>
                <w:sz w:val="17"/>
              </w:rPr>
              <w:t>Purpose</w:t>
            </w:r>
          </w:p>
        </w:tc>
      </w:tr>
      <w:tr>
        <w:trPr>
          <w:cantSplit/>
        </w:trPr>
        <w:tc>
          <w:tcPr>
            <w:tcW w:type="dxa" w:w="2880"/>
            <w:vAlign w:val="top"/>
          </w:tcPr>
          <w:p>
            <w:pPr>
              <w:spacing w:after="0"/>
            </w:pPr>
            <w:r>
              <w:rPr>
                <w:color w:val="1F2937"/>
                <w:sz w:val="17"/>
              </w:rPr>
              <w:t>Dashboard</w:t>
            </w:r>
          </w:p>
        </w:tc>
        <w:tc>
          <w:tcPr>
            <w:tcW w:type="dxa" w:w="7200"/>
            <w:vAlign w:val="top"/>
          </w:tcPr>
          <w:p>
            <w:pPr>
              <w:spacing w:after="0"/>
            </w:pPr>
            <w:r>
              <w:rPr>
                <w:color w:val="1F2937"/>
                <w:sz w:val="17"/>
              </w:rPr>
              <w:t>Projects, high-level status, recent deployments</w:t>
            </w:r>
          </w:p>
        </w:tc>
      </w:tr>
      <w:tr>
        <w:trPr>
          <w:cantSplit/>
        </w:trPr>
        <w:tc>
          <w:tcPr>
            <w:tcW w:type="dxa" w:w="2880"/>
            <w:vAlign w:val="top"/>
            <w:shd w:fill="F8FAFC"/>
          </w:tcPr>
          <w:p>
            <w:pPr>
              <w:spacing w:after="0"/>
            </w:pPr>
            <w:r>
              <w:rPr>
                <w:color w:val="1F2937"/>
                <w:sz w:val="17"/>
              </w:rPr>
              <w:t>Project Overview</w:t>
            </w:r>
          </w:p>
        </w:tc>
        <w:tc>
          <w:tcPr>
            <w:tcW w:type="dxa" w:w="7200"/>
            <w:vAlign w:val="top"/>
            <w:shd w:fill="F8FAFC"/>
          </w:tcPr>
          <w:p>
            <w:pPr>
              <w:spacing w:after="0"/>
            </w:pPr>
            <w:r>
              <w:rPr>
                <w:color w:val="1F2937"/>
                <w:sz w:val="17"/>
              </w:rPr>
              <w:t>Current status, live URL, latest release, one Deploy/Redeploy action</w:t>
            </w:r>
          </w:p>
        </w:tc>
      </w:tr>
      <w:tr>
        <w:trPr>
          <w:cantSplit/>
        </w:trPr>
        <w:tc>
          <w:tcPr>
            <w:tcW w:type="dxa" w:w="2880"/>
            <w:vAlign w:val="top"/>
          </w:tcPr>
          <w:p>
            <w:pPr>
              <w:spacing w:after="0"/>
            </w:pPr>
            <w:r>
              <w:rPr>
                <w:color w:val="1F2937"/>
                <w:sz w:val="17"/>
              </w:rPr>
              <w:t>Deployments</w:t>
            </w:r>
          </w:p>
        </w:tc>
        <w:tc>
          <w:tcPr>
            <w:tcW w:type="dxa" w:w="7200"/>
            <w:vAlign w:val="top"/>
          </w:tcPr>
          <w:p>
            <w:pPr>
              <w:spacing w:after="0"/>
            </w:pPr>
            <w:r>
              <w:rPr>
                <w:color w:val="1F2937"/>
                <w:sz w:val="17"/>
              </w:rPr>
              <w:t>Simple deployment history and five user-facing phases</w:t>
            </w:r>
          </w:p>
        </w:tc>
      </w:tr>
      <w:tr>
        <w:trPr>
          <w:cantSplit/>
        </w:trPr>
        <w:tc>
          <w:tcPr>
            <w:tcW w:type="dxa" w:w="2880"/>
            <w:vAlign w:val="top"/>
            <w:shd w:fill="F8FAFC"/>
          </w:tcPr>
          <w:p>
            <w:pPr>
              <w:spacing w:after="0"/>
            </w:pPr>
            <w:r>
              <w:rPr>
                <w:color w:val="1F2937"/>
                <w:sz w:val="17"/>
              </w:rPr>
              <w:t>Environment Variables</w:t>
            </w:r>
          </w:p>
        </w:tc>
        <w:tc>
          <w:tcPr>
            <w:tcW w:type="dxa" w:w="7200"/>
            <w:vAlign w:val="top"/>
            <w:shd w:fill="F8FAFC"/>
          </w:tcPr>
          <w:p>
            <w:pPr>
              <w:spacing w:after="0"/>
            </w:pPr>
            <w:r>
              <w:rPr>
                <w:color w:val="1F2937"/>
                <w:sz w:val="17"/>
              </w:rPr>
              <w:t>Application-owned values only; platform-managed bindings are read-only summaries</w:t>
            </w:r>
          </w:p>
        </w:tc>
      </w:tr>
      <w:tr>
        <w:trPr>
          <w:cantSplit/>
        </w:trPr>
        <w:tc>
          <w:tcPr>
            <w:tcW w:type="dxa" w:w="2880"/>
            <w:vAlign w:val="top"/>
          </w:tcPr>
          <w:p>
            <w:pPr>
              <w:spacing w:after="0"/>
            </w:pPr>
            <w:r>
              <w:rPr>
                <w:color w:val="1F2937"/>
                <w:sz w:val="17"/>
              </w:rPr>
              <w:t>Logs</w:t>
            </w:r>
          </w:p>
        </w:tc>
        <w:tc>
          <w:tcPr>
            <w:tcW w:type="dxa" w:w="7200"/>
            <w:vAlign w:val="top"/>
          </w:tcPr>
          <w:p>
            <w:pPr>
              <w:spacing w:after="0"/>
            </w:pPr>
            <w:r>
              <w:rPr>
                <w:color w:val="1F2937"/>
                <w:sz w:val="17"/>
              </w:rPr>
              <w:t>Application logs and concise deployment messages</w:t>
            </w:r>
          </w:p>
        </w:tc>
      </w:tr>
      <w:tr>
        <w:trPr>
          <w:cantSplit/>
        </w:trPr>
        <w:tc>
          <w:tcPr>
            <w:tcW w:type="dxa" w:w="2880"/>
            <w:vAlign w:val="top"/>
            <w:shd w:fill="F8FAFC"/>
          </w:tcPr>
          <w:p>
            <w:pPr>
              <w:spacing w:after="0"/>
            </w:pPr>
            <w:r>
              <w:rPr>
                <w:color w:val="1F2937"/>
                <w:sz w:val="17"/>
              </w:rPr>
              <w:t>Metrics</w:t>
            </w:r>
          </w:p>
        </w:tc>
        <w:tc>
          <w:tcPr>
            <w:tcW w:type="dxa" w:w="7200"/>
            <w:vAlign w:val="top"/>
            <w:shd w:fill="F8FAFC"/>
          </w:tcPr>
          <w:p>
            <w:pPr>
              <w:spacing w:after="0"/>
            </w:pPr>
            <w:r>
              <w:rPr>
                <w:color w:val="1F2937"/>
                <w:sz w:val="17"/>
              </w:rPr>
              <w:t>Application availability, response time, CPU, memory</w:t>
            </w:r>
          </w:p>
        </w:tc>
      </w:tr>
      <w:tr>
        <w:trPr>
          <w:cantSplit/>
        </w:trPr>
        <w:tc>
          <w:tcPr>
            <w:tcW w:type="dxa" w:w="2880"/>
            <w:vAlign w:val="top"/>
          </w:tcPr>
          <w:p>
            <w:pPr>
              <w:spacing w:after="0"/>
            </w:pPr>
            <w:r>
              <w:rPr>
                <w:color w:val="1F2937"/>
                <w:sz w:val="17"/>
              </w:rPr>
              <w:t>Settings</w:t>
            </w:r>
          </w:p>
        </w:tc>
        <w:tc>
          <w:tcPr>
            <w:tcW w:type="dxa" w:w="7200"/>
            <w:vAlign w:val="top"/>
          </w:tcPr>
          <w:p>
            <w:pPr>
              <w:spacing w:after="0"/>
            </w:pPr>
            <w:r>
              <w:rPr>
                <w:color w:val="1F2937"/>
                <w:sz w:val="17"/>
              </w:rPr>
              <w:t>Repository, branch, domain, deletion</w:t>
            </w:r>
          </w:p>
        </w:tc>
      </w:tr>
    </w:tbl>
    <w:p>
      <w:pPr>
        <w:spacing w:after="0"/>
      </w:pPr>
    </w:p>
    <w:p>
      <w:pPr>
        <w:pStyle w:val="Heading2"/>
        <w:keepNext/>
      </w:pPr>
      <w:r>
        <w:rPr>
          <w:color w:val="0F766E"/>
        </w:rPr>
        <w:t>Admin-only diagnostics</w:t>
      </w:r>
    </w:p>
    <w:p>
      <w:pPr>
        <w:pStyle w:val="ListBullet"/>
        <w:spacing w:after="40"/>
      </w:pPr>
      <w:r>
        <w:t>Terraform plan/apply evidence and state serials</w:t>
      </w:r>
    </w:p>
    <w:p>
      <w:pPr>
        <w:pStyle w:val="ListBullet"/>
        <w:spacing w:after="40"/>
      </w:pPr>
      <w:r>
        <w:t>Cloud inventory and ownership reconciliation</w:t>
      </w:r>
    </w:p>
    <w:p>
      <w:pPr>
        <w:pStyle w:val="ListBullet"/>
        <w:spacing w:after="40"/>
      </w:pPr>
      <w:r>
        <w:t>Worker versions, heartbeats, queue jobs, retries, and dead-letter evidence</w:t>
      </w:r>
    </w:p>
    <w:p>
      <w:pPr>
        <w:pStyle w:val="ListBullet"/>
        <w:spacing w:after="40"/>
      </w:pPr>
      <w:r>
        <w:t>Detailed 20-stage lifecycle and sanitized technical events</w:t>
      </w:r>
    </w:p>
    <w:p>
      <w:pPr>
        <w:pStyle w:val="ListBullet"/>
        <w:spacing w:after="40"/>
      </w:pPr>
      <w:r>
        <w:t>Resource cleanup, unknown ownership, lock evidence, and deletion diagnostics</w:t>
      </w:r>
    </w:p>
    <w:p>
      <w:pPr>
        <w:pStyle w:val="ListBullet"/>
        <w:spacing w:after="40"/>
      </w:pPr>
      <w:r>
        <w:t>State-proof endpoint showing synchronized, stale, contradictory, or unverified status</w:t>
      </w:r>
    </w:p>
    <w:p>
      <w:pPr>
        <w:pStyle w:val="Heading2"/>
        <w:keepNext/>
      </w:pPr>
      <w:r>
        <w:rPr>
          <w:color w:val="0F766E"/>
        </w:rPr>
        <w:t>User-facing progress</w:t>
      </w:r>
    </w:p>
    <w:tbl>
      <w:tblPr>
        <w:tblW w:type="auto" w:w="0"/>
        <w:jc w:val="center"/>
        <w:tblLook w:firstColumn="1" w:firstRow="1" w:lastColumn="0" w:lastRow="0" w:noHBand="0" w:noVBand="1" w:val="04A0"/>
      </w:tblPr>
      <w:tblGrid>
        <w:gridCol w:w="924"/>
        <w:gridCol w:w="924"/>
        <w:gridCol w:w="924"/>
        <w:gridCol w:w="924"/>
        <w:gridCol w:w="924"/>
        <w:gridCol w:w="924"/>
        <w:gridCol w:w="924"/>
        <w:gridCol w:w="924"/>
        <w:gridCol w:w="924"/>
        <w:gridCol w:w="924"/>
        <w:gridCol w:w="924"/>
      </w:tblGrid>
      <w:tr>
        <w:tc>
          <w:tcPr>
            <w:tcW w:type="dxa" w:w="924"/>
            <w:shd w:fill="EAF2FF"/>
            <w:tcBorders>
              <w:top w:val="single" w:sz="6" w:color="D0D5DD"/>
              <w:left w:val="single" w:sz="6" w:color="D0D5DD"/>
              <w:bottom w:val="single" w:sz="6" w:color="D0D5DD"/>
              <w:right w:val="single" w:sz="6" w:color="D0D5DD"/>
              <w:insideH w:val="single" w:sz="6" w:color="D0D5DD"/>
              <w:insideV w:val="single" w:sz="6" w:color="D0D5DD"/>
            </w:tcBorders>
            <w:vAlign w:val="center"/>
          </w:tcPr>
          <w:p>
            <w:pPr>
              <w:spacing w:after="0"/>
              <w:jc w:val="center"/>
            </w:pPr>
            <w:r>
              <w:rPr>
                <w:b/>
                <w:sz w:val="18"/>
              </w:rPr>
              <w:t>Analyze 0-15%</w:t>
            </w:r>
          </w:p>
        </w:tc>
        <w:tc>
          <w:tcPr>
            <w:tcW w:type="dxa" w:w="924"/>
            <w:vAlign w:val="center"/>
          </w:tcPr>
          <w:p>
            <w:pPr>
              <w:spacing w:after="0"/>
              <w:jc w:val="center"/>
            </w:pPr>
            <w:r>
              <w:rPr>
                <w:b/>
                <w:color w:val="475569"/>
                <w:sz w:val="28"/>
              </w:rPr>
              <w:t>→</w:t>
            </w:r>
          </w:p>
        </w:tc>
        <w:tc>
          <w:tcPr>
            <w:tcW w:type="dxa" w:w="924"/>
            <w:shd w:fill="ECFDF3"/>
            <w:tcBorders>
              <w:top w:val="single" w:sz="6" w:color="D0D5DD"/>
              <w:left w:val="single" w:sz="6" w:color="D0D5DD"/>
              <w:bottom w:val="single" w:sz="6" w:color="D0D5DD"/>
              <w:right w:val="single" w:sz="6" w:color="D0D5DD"/>
              <w:insideH w:val="single" w:sz="6" w:color="D0D5DD"/>
              <w:insideV w:val="single" w:sz="6" w:color="D0D5DD"/>
            </w:tcBorders>
            <w:vAlign w:val="center"/>
          </w:tcPr>
          <w:p>
            <w:pPr>
              <w:spacing w:after="0"/>
              <w:jc w:val="center"/>
            </w:pPr>
            <w:r>
              <w:rPr>
                <w:b/>
                <w:sz w:val="18"/>
              </w:rPr>
              <w:t>Build 15-40%</w:t>
            </w:r>
          </w:p>
        </w:tc>
        <w:tc>
          <w:tcPr>
            <w:tcW w:type="dxa" w:w="924"/>
            <w:vAlign w:val="center"/>
          </w:tcPr>
          <w:p>
            <w:pPr>
              <w:spacing w:after="0"/>
              <w:jc w:val="center"/>
            </w:pPr>
            <w:r>
              <w:rPr>
                <w:b/>
                <w:color w:val="475569"/>
                <w:sz w:val="28"/>
              </w:rPr>
              <w:t>→</w:t>
            </w:r>
          </w:p>
        </w:tc>
        <w:tc>
          <w:tcPr>
            <w:tcW w:type="dxa" w:w="924"/>
            <w:shd w:fill="EAF8F4"/>
            <w:tcBorders>
              <w:top w:val="single" w:sz="6" w:color="D0D5DD"/>
              <w:left w:val="single" w:sz="6" w:color="D0D5DD"/>
              <w:bottom w:val="single" w:sz="6" w:color="D0D5DD"/>
              <w:right w:val="single" w:sz="6" w:color="D0D5DD"/>
              <w:insideH w:val="single" w:sz="6" w:color="D0D5DD"/>
              <w:insideV w:val="single" w:sz="6" w:color="D0D5DD"/>
            </w:tcBorders>
            <w:vAlign w:val="center"/>
          </w:tcPr>
          <w:p>
            <w:pPr>
              <w:spacing w:after="0"/>
              <w:jc w:val="center"/>
            </w:pPr>
            <w:r>
              <w:rPr>
                <w:b/>
                <w:sz w:val="18"/>
              </w:rPr>
              <w:t>Prepare 40-60%</w:t>
            </w:r>
          </w:p>
        </w:tc>
        <w:tc>
          <w:tcPr>
            <w:tcW w:type="dxa" w:w="924"/>
            <w:vAlign w:val="center"/>
          </w:tcPr>
          <w:p>
            <w:pPr>
              <w:spacing w:after="0"/>
              <w:jc w:val="center"/>
            </w:pPr>
            <w:r>
              <w:rPr>
                <w:b/>
                <w:color w:val="475569"/>
                <w:sz w:val="28"/>
              </w:rPr>
              <w:t>→</w:t>
            </w:r>
          </w:p>
        </w:tc>
        <w:tc>
          <w:tcPr>
            <w:tcW w:type="dxa" w:w="924"/>
            <w:shd w:fill="FFF3E8"/>
            <w:tcBorders>
              <w:top w:val="single" w:sz="6" w:color="D0D5DD"/>
              <w:left w:val="single" w:sz="6" w:color="D0D5DD"/>
              <w:bottom w:val="single" w:sz="6" w:color="D0D5DD"/>
              <w:right w:val="single" w:sz="6" w:color="D0D5DD"/>
              <w:insideH w:val="single" w:sz="6" w:color="D0D5DD"/>
              <w:insideV w:val="single" w:sz="6" w:color="D0D5DD"/>
            </w:tcBorders>
            <w:vAlign w:val="center"/>
          </w:tcPr>
          <w:p>
            <w:pPr>
              <w:spacing w:after="0"/>
              <w:jc w:val="center"/>
            </w:pPr>
            <w:r>
              <w:rPr>
                <w:b/>
                <w:sz w:val="18"/>
              </w:rPr>
              <w:t>Deploy 60-90%</w:t>
            </w:r>
          </w:p>
        </w:tc>
        <w:tc>
          <w:tcPr>
            <w:tcW w:type="dxa" w:w="924"/>
            <w:vAlign w:val="center"/>
          </w:tcPr>
          <w:p>
            <w:pPr>
              <w:spacing w:after="0"/>
              <w:jc w:val="center"/>
            </w:pPr>
            <w:r>
              <w:rPr>
                <w:b/>
                <w:color w:val="475569"/>
                <w:sz w:val="28"/>
              </w:rPr>
              <w:t>→</w:t>
            </w:r>
          </w:p>
        </w:tc>
        <w:tc>
          <w:tcPr>
            <w:tcW w:type="dxa" w:w="924"/>
            <w:shd w:fill="F3EEFF"/>
            <w:tcBorders>
              <w:top w:val="single" w:sz="6" w:color="D0D5DD"/>
              <w:left w:val="single" w:sz="6" w:color="D0D5DD"/>
              <w:bottom w:val="single" w:sz="6" w:color="D0D5DD"/>
              <w:right w:val="single" w:sz="6" w:color="D0D5DD"/>
              <w:insideH w:val="single" w:sz="6" w:color="D0D5DD"/>
              <w:insideV w:val="single" w:sz="6" w:color="D0D5DD"/>
            </w:tcBorders>
            <w:vAlign w:val="center"/>
          </w:tcPr>
          <w:p>
            <w:pPr>
              <w:spacing w:after="0"/>
              <w:jc w:val="center"/>
            </w:pPr>
            <w:r>
              <w:rPr>
                <w:b/>
                <w:sz w:val="18"/>
              </w:rPr>
              <w:t>Verify 90-100%</w:t>
            </w:r>
          </w:p>
        </w:tc>
        <w:tc>
          <w:tcPr>
            <w:tcW w:type="dxa" w:w="924"/>
            <w:vAlign w:val="center"/>
          </w:tcPr>
          <w:p>
            <w:pPr>
              <w:spacing w:after="0"/>
              <w:jc w:val="center"/>
            </w:pPr>
            <w:r>
              <w:rPr>
                <w:b/>
                <w:color w:val="475569"/>
                <w:sz w:val="28"/>
              </w:rPr>
              <w:t>→</w:t>
            </w:r>
          </w:p>
        </w:tc>
        <w:tc>
          <w:tcPr>
            <w:tcW w:type="dxa" w:w="924"/>
            <w:shd w:fill="ECFDF3"/>
            <w:tcBorders>
              <w:top w:val="single" w:sz="6" w:color="D0D5DD"/>
              <w:left w:val="single" w:sz="6" w:color="D0D5DD"/>
              <w:bottom w:val="single" w:sz="6" w:color="D0D5DD"/>
              <w:right w:val="single" w:sz="6" w:color="D0D5DD"/>
              <w:insideH w:val="single" w:sz="6" w:color="D0D5DD"/>
              <w:insideV w:val="single" w:sz="6" w:color="D0D5DD"/>
            </w:tcBorders>
            <w:vAlign w:val="center"/>
          </w:tcPr>
          <w:p>
            <w:pPr>
              <w:spacing w:after="0"/>
              <w:jc w:val="center"/>
            </w:pPr>
            <w:r>
              <w:rPr>
                <w:b/>
                <w:sz w:val="18"/>
              </w:rPr>
              <w:t>Live</w:t>
            </w:r>
          </w:p>
        </w:tc>
      </w:tr>
    </w:tbl>
    <w:p>
      <w:pPr>
        <w:spacing w:after="0"/>
      </w:pPr>
    </w:p>
    <w:p>
      <w:pPr>
        <w:pStyle w:val="ListBullet"/>
        <w:spacing w:after="40"/>
      </w:pPr>
      <w:r>
        <w:t>Progress never moves backward.</w:t>
      </w:r>
    </w:p>
    <w:p>
      <w:pPr>
        <w:pStyle w:val="ListBullet"/>
        <w:spacing w:after="40"/>
      </w:pPr>
      <w:r>
        <w:t>Internal safety revalidation does not return the UI to Validate inputs.</w:t>
      </w:r>
    </w:p>
    <w:p>
      <w:pPr>
        <w:pStyle w:val="ListBullet"/>
        <w:spacing w:after="40"/>
      </w:pPr>
      <w:r>
        <w:t>A queued stage is not displayed as running.</w:t>
      </w:r>
    </w:p>
    <w:p>
      <w:pPr>
        <w:pStyle w:val="ListBullet"/>
        <w:spacing w:after="40"/>
      </w:pPr>
      <w:r>
        <w:t>A failed operation freezes at the actual phase and shows the error owner.</w:t>
      </w:r>
    </w:p>
    <w:p>
      <w:pPr>
        <w:pStyle w:val="ListBullet"/>
        <w:spacing w:after="40"/>
      </w:pPr>
      <w:r>
        <w:t>A resumed operation displays Resuming deployment instead of presenting a new deployment identity unless a new immutable operation is truly required.</w:t>
      </w:r>
    </w:p>
    <w:p>
      <w:pPr>
        <w:pStyle w:val="Heading1"/>
        <w:keepNext/>
      </w:pPr>
      <w:r>
        <w:rPr>
          <w:color w:val="102A43"/>
        </w:rPr>
        <w:t>16. Observability and Reconciliation</w:t>
      </w:r>
    </w:p>
    <w:p>
      <w:pPr>
        <w:pStyle w:val="ListBullet"/>
        <w:spacing w:after="40"/>
      </w:pPr>
      <w:r>
        <w:t>Collect structured logs, metrics, and traces for the DeployGuard platform itself, not only for deployed applications.</w:t>
      </w:r>
    </w:p>
    <w:p>
      <w:pPr>
        <w:pStyle w:val="ListBullet"/>
        <w:spacing w:after="40"/>
      </w:pPr>
      <w:r>
        <w:t>Measure queue delay, build duration, lock wait, plan duration, apply duration, rollout duration, health verification, retries, and reconciliation differences.</w:t>
      </w:r>
    </w:p>
    <w:p>
      <w:pPr>
        <w:pStyle w:val="ListBullet"/>
        <w:spacing w:after="40"/>
      </w:pPr>
      <w:r>
        <w:t>Use a background reconciler to compare database intended state, active operations, Terraform state, AWS observed state, ECS rollout, ALB target health, and application health.</w:t>
      </w:r>
    </w:p>
    <w:p>
      <w:pPr>
        <w:pStyle w:val="ListBullet"/>
        <w:spacing w:after="40"/>
      </w:pPr>
      <w:r>
        <w:t>When evidence is stale, show Checking deployment status instead of a potentially false live or failed status.</w:t>
      </w:r>
    </w:p>
    <w:p>
      <w:pPr>
        <w:pStyle w:val="ListBullet"/>
        <w:spacing w:after="40"/>
      </w:pPr>
      <w:r>
        <w:t>Reduce Activity Log noise: aggregate resource discovery into one meaningful event for developers and retain detailed records in admin diagnostics.</w:t>
      </w:r>
    </w:p>
    <w:p>
      <w:pPr>
        <w:pStyle w:val="Heading1"/>
        <w:keepNext/>
      </w:pPr>
      <w:r>
        <w:rPr>
          <w:color w:val="102A43"/>
        </w:rPr>
        <w:t>17. Implementation Roadmap</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02A43"/>
            <w:vAlign w:val="center"/>
          </w:tcPr>
          <w:p>
            <w:pPr>
              <w:spacing w:after="0"/>
              <w:jc w:val="center"/>
            </w:pPr>
            <w:r>
              <w:rPr>
                <w:b/>
                <w:color w:val="FFFFFF"/>
                <w:sz w:val="15"/>
              </w:rPr>
              <w:t>Phase</w:t>
            </w:r>
          </w:p>
        </w:tc>
        <w:tc>
          <w:tcPr>
            <w:tcW w:type="dxa" w:w="4752"/>
            <w:shd w:fill="102A43"/>
            <w:vAlign w:val="center"/>
          </w:tcPr>
          <w:p>
            <w:pPr>
              <w:spacing w:after="0"/>
              <w:jc w:val="center"/>
            </w:pPr>
            <w:r>
              <w:rPr>
                <w:b/>
                <w:color w:val="FFFFFF"/>
                <w:sz w:val="15"/>
              </w:rPr>
              <w:t>Scope</w:t>
            </w:r>
          </w:p>
        </w:tc>
        <w:tc>
          <w:tcPr>
            <w:tcW w:type="dxa" w:w="3168"/>
            <w:shd w:fill="102A43"/>
            <w:vAlign w:val="center"/>
          </w:tcPr>
          <w:p>
            <w:pPr>
              <w:spacing w:after="0"/>
              <w:jc w:val="center"/>
            </w:pPr>
            <w:r>
              <w:rPr>
                <w:b/>
                <w:color w:val="FFFFFF"/>
                <w:sz w:val="15"/>
              </w:rPr>
              <w:t>Exit condition</w:t>
            </w:r>
          </w:p>
        </w:tc>
      </w:tr>
      <w:tr>
        <w:trPr>
          <w:cantSplit/>
        </w:trPr>
        <w:tc>
          <w:tcPr>
            <w:tcW w:type="dxa" w:w="2232"/>
            <w:vAlign w:val="top"/>
          </w:tcPr>
          <w:p>
            <w:pPr>
              <w:spacing w:after="0"/>
            </w:pPr>
            <w:r>
              <w:rPr>
                <w:color w:val="1F2937"/>
                <w:sz w:val="15"/>
              </w:rPr>
              <w:t>1. Stabilize control plane</w:t>
            </w:r>
          </w:p>
        </w:tc>
        <w:tc>
          <w:tcPr>
            <w:tcW w:type="dxa" w:w="4752"/>
            <w:vAlign w:val="top"/>
          </w:tcPr>
          <w:p>
            <w:pPr>
              <w:spacing w:after="0"/>
            </w:pPr>
            <w:r>
              <w:rPr>
                <w:color w:val="1F2937"/>
                <w:sz w:val="15"/>
              </w:rPr>
              <w:t>Freeze broken deploy/recovery actions; create canonical state and state-proof endpoint</w:t>
            </w:r>
          </w:p>
        </w:tc>
        <w:tc>
          <w:tcPr>
            <w:tcW w:type="dxa" w:w="3168"/>
            <w:vAlign w:val="top"/>
          </w:tcPr>
          <w:p>
            <w:pPr>
              <w:spacing w:after="0"/>
            </w:pPr>
            <w:r>
              <w:rPr>
                <w:color w:val="1F2937"/>
                <w:sz w:val="15"/>
              </w:rPr>
              <w:t>All pages display one consistent operation and status</w:t>
            </w:r>
          </w:p>
        </w:tc>
      </w:tr>
      <w:tr>
        <w:trPr>
          <w:cantSplit/>
        </w:trPr>
        <w:tc>
          <w:tcPr>
            <w:tcW w:type="dxa" w:w="2232"/>
            <w:vAlign w:val="top"/>
            <w:shd w:fill="F8FAFC"/>
          </w:tcPr>
          <w:p>
            <w:pPr>
              <w:spacing w:after="0"/>
            </w:pPr>
            <w:r>
              <w:rPr>
                <w:color w:val="1F2937"/>
                <w:sz w:val="15"/>
              </w:rPr>
              <w:t>2. Introduce classifier and revision domains</w:t>
            </w:r>
          </w:p>
        </w:tc>
        <w:tc>
          <w:tcPr>
            <w:tcW w:type="dxa" w:w="4752"/>
            <w:vAlign w:val="top"/>
            <w:shd w:fill="F8FAFC"/>
          </w:tcPr>
          <w:p>
            <w:pPr>
              <w:spacing w:after="0"/>
            </w:pPr>
            <w:r>
              <w:rPr>
                <w:color w:val="1F2937"/>
                <w:sz w:val="15"/>
              </w:rPr>
              <w:t>Implement releaseRevision, infrastructureRevision, semantic diffs, and no-op routing</w:t>
            </w:r>
          </w:p>
        </w:tc>
        <w:tc>
          <w:tcPr>
            <w:tcW w:type="dxa" w:w="3168"/>
            <w:vAlign w:val="top"/>
            <w:shd w:fill="F8FAFC"/>
          </w:tcPr>
          <w:p>
            <w:pPr>
              <w:spacing w:after="0"/>
            </w:pPr>
            <w:r>
              <w:rPr>
                <w:color w:val="1F2937"/>
                <w:sz w:val="15"/>
              </w:rPr>
              <w:t>Unchanged input never creates a plan; ordinary pushes route to release lane</w:t>
            </w:r>
          </w:p>
        </w:tc>
      </w:tr>
      <w:tr>
        <w:trPr>
          <w:cantSplit/>
        </w:trPr>
        <w:tc>
          <w:tcPr>
            <w:tcW w:type="dxa" w:w="2232"/>
            <w:vAlign w:val="top"/>
          </w:tcPr>
          <w:p>
            <w:pPr>
              <w:spacing w:after="0"/>
            </w:pPr>
            <w:r>
              <w:rPr>
                <w:color w:val="1F2937"/>
                <w:sz w:val="15"/>
              </w:rPr>
              <w:t>3. Build release lane</w:t>
            </w:r>
          </w:p>
        </w:tc>
        <w:tc>
          <w:tcPr>
            <w:tcW w:type="dxa" w:w="4752"/>
            <w:vAlign w:val="top"/>
          </w:tcPr>
          <w:p>
            <w:pPr>
              <w:spacing w:after="0"/>
            </w:pPr>
            <w:r>
              <w:rPr>
                <w:color w:val="1F2937"/>
                <w:sz w:val="15"/>
              </w:rPr>
              <w:t>ECR digest, task definition, release lock, ECS rollout, health, rollback</w:t>
            </w:r>
          </w:p>
        </w:tc>
        <w:tc>
          <w:tcPr>
            <w:tcW w:type="dxa" w:w="3168"/>
            <w:vAlign w:val="top"/>
          </w:tcPr>
          <w:p>
            <w:pPr>
              <w:spacing w:after="0"/>
            </w:pPr>
            <w:r>
              <w:rPr>
                <w:color w:val="1F2937"/>
                <w:sz w:val="15"/>
              </w:rPr>
              <w:t>Five consecutive release-only deployments without Terraform</w:t>
            </w:r>
          </w:p>
        </w:tc>
      </w:tr>
      <w:tr>
        <w:trPr>
          <w:cantSplit/>
        </w:trPr>
        <w:tc>
          <w:tcPr>
            <w:tcW w:type="dxa" w:w="2232"/>
            <w:vAlign w:val="top"/>
            <w:shd w:fill="F8FAFC"/>
          </w:tcPr>
          <w:p>
            <w:pPr>
              <w:spacing w:after="0"/>
            </w:pPr>
            <w:r>
              <w:rPr>
                <w:color w:val="1F2937"/>
                <w:sz w:val="15"/>
              </w:rPr>
              <w:t>4. Harden infrastructure lane</w:t>
            </w:r>
          </w:p>
        </w:tc>
        <w:tc>
          <w:tcPr>
            <w:tcW w:type="dxa" w:w="4752"/>
            <w:vAlign w:val="top"/>
            <w:shd w:fill="F8FAFC"/>
          </w:tcPr>
          <w:p>
            <w:pPr>
              <w:spacing w:after="0"/>
            </w:pPr>
            <w:r>
              <w:rPr>
                <w:color w:val="1F2937"/>
                <w:sz w:val="15"/>
              </w:rPr>
              <w:t>Run-isolated Terraform workspace, infra lock, exact-plan apply, reconciliation</w:t>
            </w:r>
          </w:p>
        </w:tc>
        <w:tc>
          <w:tcPr>
            <w:tcW w:type="dxa" w:w="3168"/>
            <w:vAlign w:val="top"/>
            <w:shd w:fill="F8FAFC"/>
          </w:tcPr>
          <w:p>
            <w:pPr>
              <w:spacing w:after="0"/>
            </w:pPr>
            <w:r>
              <w:rPr>
                <w:color w:val="1F2937"/>
                <w:sz w:val="15"/>
              </w:rPr>
              <w:t>First deploy and one managed-service change succeed without duplicate mutation</w:t>
            </w:r>
          </w:p>
        </w:tc>
      </w:tr>
      <w:tr>
        <w:trPr>
          <w:cantSplit/>
        </w:trPr>
        <w:tc>
          <w:tcPr>
            <w:tcW w:type="dxa" w:w="2232"/>
            <w:vAlign w:val="top"/>
          </w:tcPr>
          <w:p>
            <w:pPr>
              <w:spacing w:after="0"/>
            </w:pPr>
            <w:r>
              <w:rPr>
                <w:color w:val="1F2937"/>
                <w:sz w:val="15"/>
              </w:rPr>
              <w:t>5. Worker and concurrency safety</w:t>
            </w:r>
          </w:p>
        </w:tc>
        <w:tc>
          <w:tcPr>
            <w:tcW w:type="dxa" w:w="4752"/>
            <w:vAlign w:val="top"/>
          </w:tcPr>
          <w:p>
            <w:pPr>
              <w:spacing w:after="0"/>
            </w:pPr>
            <w:r>
              <w:rPr>
                <w:color w:val="1F2937"/>
                <w:sz w:val="15"/>
              </w:rPr>
              <w:t>Version compatibility, heartbeat, idempotency, duplicate delivery, restart recovery</w:t>
            </w:r>
          </w:p>
        </w:tc>
        <w:tc>
          <w:tcPr>
            <w:tcW w:type="dxa" w:w="3168"/>
            <w:vAlign w:val="top"/>
          </w:tcPr>
          <w:p>
            <w:pPr>
              <w:spacing w:after="0"/>
            </w:pPr>
            <w:r>
              <w:rPr>
                <w:color w:val="1F2937"/>
                <w:sz w:val="15"/>
              </w:rPr>
              <w:t>Concurrent builds and worker restarts do not duplicate apply or release</w:t>
            </w:r>
          </w:p>
        </w:tc>
      </w:tr>
      <w:tr>
        <w:trPr>
          <w:cantSplit/>
        </w:trPr>
        <w:tc>
          <w:tcPr>
            <w:tcW w:type="dxa" w:w="2232"/>
            <w:vAlign w:val="top"/>
            <w:shd w:fill="F8FAFC"/>
          </w:tcPr>
          <w:p>
            <w:pPr>
              <w:spacing w:after="0"/>
            </w:pPr>
            <w:r>
              <w:rPr>
                <w:color w:val="1F2937"/>
                <w:sz w:val="15"/>
              </w:rPr>
              <w:t>6. Simplify developer UI</w:t>
            </w:r>
          </w:p>
        </w:tc>
        <w:tc>
          <w:tcPr>
            <w:tcW w:type="dxa" w:w="4752"/>
            <w:vAlign w:val="top"/>
            <w:shd w:fill="F8FAFC"/>
          </w:tcPr>
          <w:p>
            <w:pPr>
              <w:spacing w:after="0"/>
            </w:pPr>
            <w:r>
              <w:rPr>
                <w:color w:val="1F2937"/>
                <w:sz w:val="15"/>
              </w:rPr>
              <w:t>Five phases, error ownership, admin separation, monotonic progress</w:t>
            </w:r>
          </w:p>
        </w:tc>
        <w:tc>
          <w:tcPr>
            <w:tcW w:type="dxa" w:w="3168"/>
            <w:vAlign w:val="top"/>
            <w:shd w:fill="F8FAFC"/>
          </w:tcPr>
          <w:p>
            <w:pPr>
              <w:spacing w:after="0"/>
            </w:pPr>
            <w:r>
              <w:rPr>
                <w:color w:val="1F2937"/>
                <w:sz w:val="15"/>
              </w:rPr>
              <w:t>No Terraform/DevOps instructions visible to normal users</w:t>
            </w:r>
          </w:p>
        </w:tc>
      </w:tr>
      <w:tr>
        <w:trPr>
          <w:cantSplit/>
        </w:trPr>
        <w:tc>
          <w:tcPr>
            <w:tcW w:type="dxa" w:w="2232"/>
            <w:vAlign w:val="top"/>
          </w:tcPr>
          <w:p>
            <w:pPr>
              <w:spacing w:after="0"/>
            </w:pPr>
            <w:r>
              <w:rPr>
                <w:color w:val="1F2937"/>
                <w:sz w:val="15"/>
              </w:rPr>
              <w:t>7. One-click deletion</w:t>
            </w:r>
          </w:p>
        </w:tc>
        <w:tc>
          <w:tcPr>
            <w:tcW w:type="dxa" w:w="4752"/>
            <w:vAlign w:val="top"/>
          </w:tcPr>
          <w:p>
            <w:pPr>
              <w:spacing w:after="0"/>
            </w:pPr>
            <w:r>
              <w:rPr>
                <w:color w:val="1F2937"/>
                <w:sz w:val="15"/>
              </w:rPr>
              <w:t>Durable deletion operation, progress, verification, archive</w:t>
            </w:r>
          </w:p>
        </w:tc>
        <w:tc>
          <w:tcPr>
            <w:tcW w:type="dxa" w:w="3168"/>
            <w:vAlign w:val="top"/>
          </w:tcPr>
          <w:p>
            <w:pPr>
              <w:spacing w:after="0"/>
            </w:pPr>
            <w:r>
              <w:rPr>
                <w:color w:val="1F2937"/>
                <w:sz w:val="15"/>
              </w:rPr>
              <w:t>Two disposable projects delete successfully from one confirmation</w:t>
            </w:r>
          </w:p>
        </w:tc>
      </w:tr>
      <w:tr>
        <w:trPr>
          <w:cantSplit/>
        </w:trPr>
        <w:tc>
          <w:tcPr>
            <w:tcW w:type="dxa" w:w="2232"/>
            <w:vAlign w:val="top"/>
            <w:shd w:fill="F8FAFC"/>
          </w:tcPr>
          <w:p>
            <w:pPr>
              <w:spacing w:after="0"/>
            </w:pPr>
            <w:r>
              <w:rPr>
                <w:color w:val="1F2937"/>
                <w:sz w:val="15"/>
              </w:rPr>
              <w:t>8. Operational proof</w:t>
            </w:r>
          </w:p>
        </w:tc>
        <w:tc>
          <w:tcPr>
            <w:tcW w:type="dxa" w:w="4752"/>
            <w:vAlign w:val="top"/>
            <w:shd w:fill="F8FAFC"/>
          </w:tcPr>
          <w:p>
            <w:pPr>
              <w:spacing w:after="0"/>
            </w:pPr>
            <w:r>
              <w:rPr>
                <w:color w:val="1F2937"/>
                <w:sz w:val="15"/>
              </w:rPr>
              <w:t>Real AWS concurrency, transient failure, health failure, partial apply, deletion recovery</w:t>
            </w:r>
          </w:p>
        </w:tc>
        <w:tc>
          <w:tcPr>
            <w:tcW w:type="dxa" w:w="3168"/>
            <w:vAlign w:val="top"/>
            <w:shd w:fill="F8FAFC"/>
          </w:tcPr>
          <w:p>
            <w:pPr>
              <w:spacing w:after="0"/>
            </w:pPr>
            <w:r>
              <w:rPr>
                <w:color w:val="1F2937"/>
                <w:sz w:val="15"/>
              </w:rPr>
              <w:t>Release criteria below are met</w:t>
            </w:r>
          </w:p>
        </w:tc>
      </w:tr>
    </w:tbl>
    <w:p>
      <w:pPr>
        <w:spacing w:after="0"/>
      </w:pPr>
    </w:p>
    <w:p>
      <w:pPr>
        <w:pStyle w:val="Heading1"/>
        <w:keepNext/>
      </w:pPr>
      <w:r>
        <w:rPr>
          <w:color w:val="102A43"/>
        </w:rPr>
        <w:t>18. Acceptance and Release Criteria</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168"/>
            <w:shd w:fill="102A43"/>
            <w:vAlign w:val="center"/>
          </w:tcPr>
          <w:p>
            <w:pPr>
              <w:spacing w:after="0"/>
              <w:jc w:val="center"/>
            </w:pPr>
            <w:r>
              <w:rPr>
                <w:b/>
                <w:color w:val="FFFFFF"/>
                <w:sz w:val="16"/>
              </w:rPr>
              <w:t>Scenario</w:t>
            </w:r>
          </w:p>
        </w:tc>
        <w:tc>
          <w:tcPr>
            <w:tcW w:type="dxa" w:w="6984"/>
            <w:shd w:fill="102A43"/>
            <w:vAlign w:val="center"/>
          </w:tcPr>
          <w:p>
            <w:pPr>
              <w:spacing w:after="0"/>
              <w:jc w:val="center"/>
            </w:pPr>
            <w:r>
              <w:rPr>
                <w:b/>
                <w:color w:val="FFFFFF"/>
                <w:sz w:val="16"/>
              </w:rPr>
              <w:t>Required result</w:t>
            </w:r>
          </w:p>
        </w:tc>
      </w:tr>
      <w:tr>
        <w:trPr>
          <w:cantSplit/>
        </w:trPr>
        <w:tc>
          <w:tcPr>
            <w:tcW w:type="dxa" w:w="3168"/>
            <w:vAlign w:val="top"/>
          </w:tcPr>
          <w:p>
            <w:pPr>
              <w:spacing w:after="0"/>
            </w:pPr>
            <w:r>
              <w:rPr>
                <w:color w:val="1F2937"/>
                <w:sz w:val="16"/>
              </w:rPr>
              <w:t>Five consecutive code pushes</w:t>
            </w:r>
          </w:p>
        </w:tc>
        <w:tc>
          <w:tcPr>
            <w:tcW w:type="dxa" w:w="6984"/>
            <w:vAlign w:val="top"/>
          </w:tcPr>
          <w:p>
            <w:pPr>
              <w:spacing w:after="0"/>
            </w:pPr>
            <w:r>
              <w:rPr>
                <w:color w:val="1F2937"/>
                <w:sz w:val="16"/>
              </w:rPr>
              <w:t>No Terraform; each creates one release candidate and at most one ECS promotion</w:t>
            </w:r>
          </w:p>
        </w:tc>
      </w:tr>
      <w:tr>
        <w:trPr>
          <w:cantSplit/>
        </w:trPr>
        <w:tc>
          <w:tcPr>
            <w:tcW w:type="dxa" w:w="3168"/>
            <w:vAlign w:val="top"/>
            <w:shd w:fill="F8FAFC"/>
          </w:tcPr>
          <w:p>
            <w:pPr>
              <w:spacing w:after="0"/>
            </w:pPr>
            <w:r>
              <w:rPr>
                <w:color w:val="1F2937"/>
                <w:sz w:val="16"/>
              </w:rPr>
              <w:t>Two same-project commits pushed quickly</w:t>
            </w:r>
          </w:p>
        </w:tc>
        <w:tc>
          <w:tcPr>
            <w:tcW w:type="dxa" w:w="6984"/>
            <w:vAlign w:val="top"/>
            <w:shd w:fill="F8FAFC"/>
          </w:tcPr>
          <w:p>
            <w:pPr>
              <w:spacing w:after="0"/>
            </w:pPr>
            <w:r>
              <w:rPr>
                <w:color w:val="1F2937"/>
                <w:sz w:val="16"/>
              </w:rPr>
              <w:t>Builds may overlap; newest valid release wins; no duplicate ECS promotion</w:t>
            </w:r>
          </w:p>
        </w:tc>
      </w:tr>
      <w:tr>
        <w:trPr>
          <w:cantSplit/>
        </w:trPr>
        <w:tc>
          <w:tcPr>
            <w:tcW w:type="dxa" w:w="3168"/>
            <w:vAlign w:val="top"/>
          </w:tcPr>
          <w:p>
            <w:pPr>
              <w:spacing w:after="0"/>
            </w:pPr>
            <w:r>
              <w:rPr>
                <w:color w:val="1F2937"/>
                <w:sz w:val="16"/>
              </w:rPr>
              <w:t>New commit during infrastructure apply</w:t>
            </w:r>
          </w:p>
        </w:tc>
        <w:tc>
          <w:tcPr>
            <w:tcW w:type="dxa" w:w="6984"/>
            <w:vAlign w:val="top"/>
          </w:tcPr>
          <w:p>
            <w:pPr>
              <w:spacing w:after="0"/>
            </w:pPr>
            <w:r>
              <w:rPr>
                <w:color w:val="1F2937"/>
                <w:sz w:val="16"/>
              </w:rPr>
              <w:t>Release waits, regenerates against reconciled infrastructure, then promotes</w:t>
            </w:r>
          </w:p>
        </w:tc>
      </w:tr>
      <w:tr>
        <w:trPr>
          <w:cantSplit/>
        </w:trPr>
        <w:tc>
          <w:tcPr>
            <w:tcW w:type="dxa" w:w="3168"/>
            <w:vAlign w:val="top"/>
            <w:shd w:fill="F8FAFC"/>
          </w:tcPr>
          <w:p>
            <w:pPr>
              <w:spacing w:after="0"/>
            </w:pPr>
            <w:r>
              <w:rPr>
                <w:color w:val="1F2937"/>
                <w:sz w:val="16"/>
              </w:rPr>
              <w:t>Duplicate queue delivery</w:t>
            </w:r>
          </w:p>
        </w:tc>
        <w:tc>
          <w:tcPr>
            <w:tcW w:type="dxa" w:w="6984"/>
            <w:vAlign w:val="top"/>
            <w:shd w:fill="F8FAFC"/>
          </w:tcPr>
          <w:p>
            <w:pPr>
              <w:spacing w:after="0"/>
            </w:pPr>
            <w:r>
              <w:rPr>
                <w:color w:val="1F2937"/>
                <w:sz w:val="16"/>
              </w:rPr>
              <w:t>Same idempotent operation resumes; executor invoked at most once</w:t>
            </w:r>
          </w:p>
        </w:tc>
      </w:tr>
      <w:tr>
        <w:trPr>
          <w:cantSplit/>
        </w:trPr>
        <w:tc>
          <w:tcPr>
            <w:tcW w:type="dxa" w:w="3168"/>
            <w:vAlign w:val="top"/>
          </w:tcPr>
          <w:p>
            <w:pPr>
              <w:spacing w:after="0"/>
            </w:pPr>
            <w:r>
              <w:rPr>
                <w:color w:val="1F2937"/>
                <w:sz w:val="16"/>
              </w:rPr>
              <w:t>Worker restart after build / before promotion</w:t>
            </w:r>
          </w:p>
        </w:tc>
        <w:tc>
          <w:tcPr>
            <w:tcW w:type="dxa" w:w="6984"/>
            <w:vAlign w:val="top"/>
          </w:tcPr>
          <w:p>
            <w:pPr>
              <w:spacing w:after="0"/>
            </w:pPr>
            <w:r>
              <w:rPr>
                <w:color w:val="1F2937"/>
                <w:sz w:val="16"/>
              </w:rPr>
              <w:t>Operation resumes with same release identity</w:t>
            </w:r>
          </w:p>
        </w:tc>
      </w:tr>
      <w:tr>
        <w:trPr>
          <w:cantSplit/>
        </w:trPr>
        <w:tc>
          <w:tcPr>
            <w:tcW w:type="dxa" w:w="3168"/>
            <w:vAlign w:val="top"/>
            <w:shd w:fill="F8FAFC"/>
          </w:tcPr>
          <w:p>
            <w:pPr>
              <w:spacing w:after="0"/>
            </w:pPr>
            <w:r>
              <w:rPr>
                <w:color w:val="1F2937"/>
                <w:sz w:val="16"/>
              </w:rPr>
              <w:t>Worker version mismatch</w:t>
            </w:r>
          </w:p>
        </w:tc>
        <w:tc>
          <w:tcPr>
            <w:tcW w:type="dxa" w:w="6984"/>
            <w:vAlign w:val="top"/>
            <w:shd w:fill="F8FAFC"/>
          </w:tcPr>
          <w:p>
            <w:pPr>
              <w:spacing w:after="0"/>
            </w:pPr>
            <w:r>
              <w:rPr>
                <w:color w:val="1F2937"/>
                <w:sz w:val="16"/>
              </w:rPr>
              <w:t>Job is not processed by stale worker; developer sees automatic service update message</w:t>
            </w:r>
          </w:p>
        </w:tc>
      </w:tr>
      <w:tr>
        <w:trPr>
          <w:cantSplit/>
        </w:trPr>
        <w:tc>
          <w:tcPr>
            <w:tcW w:type="dxa" w:w="3168"/>
            <w:vAlign w:val="top"/>
          </w:tcPr>
          <w:p>
            <w:pPr>
              <w:spacing w:after="0"/>
            </w:pPr>
            <w:r>
              <w:rPr>
                <w:color w:val="1F2937"/>
                <w:sz w:val="16"/>
              </w:rPr>
              <w:t>Application health failure</w:t>
            </w:r>
          </w:p>
        </w:tc>
        <w:tc>
          <w:tcPr>
            <w:tcW w:type="dxa" w:w="6984"/>
            <w:vAlign w:val="top"/>
          </w:tcPr>
          <w:p>
            <w:pPr>
              <w:spacing w:after="0"/>
            </w:pPr>
            <w:r>
              <w:rPr>
                <w:color w:val="1F2937"/>
                <w:sz w:val="16"/>
              </w:rPr>
              <w:t>Previous stable release remains available; no Terraform or cleanup instruction</w:t>
            </w:r>
          </w:p>
        </w:tc>
      </w:tr>
      <w:tr>
        <w:trPr>
          <w:cantSplit/>
        </w:trPr>
        <w:tc>
          <w:tcPr>
            <w:tcW w:type="dxa" w:w="3168"/>
            <w:vAlign w:val="top"/>
            <w:shd w:fill="F8FAFC"/>
          </w:tcPr>
          <w:p>
            <w:pPr>
              <w:spacing w:after="0"/>
            </w:pPr>
            <w:r>
              <w:rPr>
                <w:color w:val="1F2937"/>
                <w:sz w:val="16"/>
              </w:rPr>
              <w:t>Platform-owned failure</w:t>
            </w:r>
          </w:p>
        </w:tc>
        <w:tc>
          <w:tcPr>
            <w:tcW w:type="dxa" w:w="6984"/>
            <w:vAlign w:val="top"/>
            <w:shd w:fill="F8FAFC"/>
          </w:tcPr>
          <w:p>
            <w:pPr>
              <w:spacing w:after="0"/>
            </w:pPr>
            <w:r>
              <w:rPr>
                <w:color w:val="1F2937"/>
                <w:sz w:val="16"/>
              </w:rPr>
              <w:t>Developer receives no cloud instruction; admin receives correlated diagnostic evidence</w:t>
            </w:r>
          </w:p>
        </w:tc>
      </w:tr>
      <w:tr>
        <w:trPr>
          <w:cantSplit/>
        </w:trPr>
        <w:tc>
          <w:tcPr>
            <w:tcW w:type="dxa" w:w="3168"/>
            <w:vAlign w:val="top"/>
          </w:tcPr>
          <w:p>
            <w:pPr>
              <w:spacing w:after="0"/>
            </w:pPr>
            <w:r>
              <w:rPr>
                <w:color w:val="1F2937"/>
                <w:sz w:val="16"/>
              </w:rPr>
              <w:t>Managed service addition</w:t>
            </w:r>
          </w:p>
        </w:tc>
        <w:tc>
          <w:tcPr>
            <w:tcW w:type="dxa" w:w="6984"/>
            <w:vAlign w:val="top"/>
          </w:tcPr>
          <w:p>
            <w:pPr>
              <w:spacing w:after="0"/>
            </w:pPr>
            <w:r>
              <w:rPr>
                <w:color w:val="1F2937"/>
                <w:sz w:val="16"/>
              </w:rPr>
              <w:t>One infrastructure plan/apply, then release lane; no duplicate project stack</w:t>
            </w:r>
          </w:p>
        </w:tc>
      </w:tr>
      <w:tr>
        <w:trPr>
          <w:cantSplit/>
        </w:trPr>
        <w:tc>
          <w:tcPr>
            <w:tcW w:type="dxa" w:w="3168"/>
            <w:vAlign w:val="top"/>
            <w:shd w:fill="F8FAFC"/>
          </w:tcPr>
          <w:p>
            <w:pPr>
              <w:spacing w:after="0"/>
            </w:pPr>
            <w:r>
              <w:rPr>
                <w:color w:val="1F2937"/>
                <w:sz w:val="16"/>
              </w:rPr>
              <w:t>Project deletion</w:t>
            </w:r>
          </w:p>
        </w:tc>
        <w:tc>
          <w:tcPr>
            <w:tcW w:type="dxa" w:w="6984"/>
            <w:vAlign w:val="top"/>
            <w:shd w:fill="F8FAFC"/>
          </w:tcPr>
          <w:p>
            <w:pPr>
              <w:spacing w:after="0"/>
            </w:pPr>
            <w:r>
              <w:rPr>
                <w:color w:val="1F2937"/>
                <w:sz w:val="16"/>
              </w:rPr>
              <w:t>One confirmation, durable progress, zero active project infrastructure, archived record</w:t>
            </w:r>
          </w:p>
        </w:tc>
      </w:tr>
      <w:tr>
        <w:trPr>
          <w:cantSplit/>
        </w:trPr>
        <w:tc>
          <w:tcPr>
            <w:tcW w:type="dxa" w:w="3168"/>
            <w:vAlign w:val="top"/>
          </w:tcPr>
          <w:p>
            <w:pPr>
              <w:spacing w:after="0"/>
            </w:pPr>
            <w:r>
              <w:rPr>
                <w:color w:val="1F2937"/>
                <w:sz w:val="16"/>
              </w:rPr>
              <w:t>Cross-page consistency</w:t>
            </w:r>
          </w:p>
        </w:tc>
        <w:tc>
          <w:tcPr>
            <w:tcW w:type="dxa" w:w="6984"/>
            <w:vAlign w:val="top"/>
          </w:tcPr>
          <w:p>
            <w:pPr>
              <w:spacing w:after="0"/>
            </w:pPr>
            <w:r>
              <w:rPr>
                <w:color w:val="1F2937"/>
                <w:sz w:val="16"/>
              </w:rPr>
              <w:t>Dashboard, Overview, Deployments, Logs, Recovery/Admin show the same operation, phase, owner, and timestamp basis</w:t>
            </w:r>
          </w:p>
        </w:tc>
      </w:tr>
    </w:tbl>
    <w:p>
      <w:pPr>
        <w:spacing w:after="0"/>
      </w:pPr>
    </w:p>
    <w:tbl>
      <w:tblPr>
        <w:tblW w:type="auto" w:w="0"/>
        <w:jc w:val="center"/>
        <w:tblLook w:firstColumn="1" w:firstRow="1" w:lastColumn="0" w:lastRow="0" w:noHBand="0" w:noVBand="1" w:val="04A0"/>
      </w:tblPr>
      <w:tblGrid>
        <w:gridCol w:w="10166"/>
      </w:tblGrid>
      <w:tr>
        <w:tc>
          <w:tcPr>
            <w:tcW w:type="dxa" w:w="10166"/>
            <w:shd w:fill="EAF8F4"/>
            <w:tcBorders>
              <w:top w:val="single" w:sz="8" w:color="0F766E"/>
              <w:left w:val="single" w:sz="8" w:color="0F766E"/>
              <w:bottom w:val="single" w:sz="8" w:color="0F766E"/>
              <w:right w:val="single" w:sz="8" w:color="0F766E"/>
              <w:insideH w:val="single" w:sz="8" w:color="0F766E"/>
              <w:insideV w:val="single" w:sz="8" w:color="0F766E"/>
            </w:tcBorders>
          </w:tcPr>
          <w:p>
            <w:pPr>
              <w:spacing w:after="0"/>
            </w:pPr>
            <w:r>
              <w:rPr>
                <w:b/>
                <w:color w:val="0F766E"/>
              </w:rPr>
              <w:t>Operational success statement</w:t>
              <w:br/>
            </w:r>
            <w:r>
              <w:t>DeployGuard is ready for a Railway-like developer experience only when ordinary pushes consistently bypass Terraform, infrastructure changes are safely serialized, releases converge on a long-lived ECS service, deletion is one clear backend operation, and every page reflects the same canonical state.</w:t>
            </w:r>
          </w:p>
        </w:tc>
      </w:tr>
    </w:tbl>
    <w:p>
      <w:pPr>
        <w:spacing w:after="0"/>
      </w:pPr>
    </w:p>
    <w:p>
      <w:pPr>
        <w:pStyle w:val="Heading1"/>
        <w:keepNext/>
      </w:pPr>
      <w:r>
        <w:rPr>
          <w:color w:val="102A43"/>
        </w:rPr>
        <w:t>19. Final Recommendation</w:t>
      </w:r>
    </w:p>
    <w:p>
      <w:r>
        <w:t>Adopt the two-lane architecture as the new DeployGuard baseline. Keep Terraform as the authoritative infrastructure engine, but remove it from the normal release path and the normal developer interface. Make the Change Classifier, independent revision domains, canonical state projection, release and infrastructure locks, worker compatibility, and one-click deletion the core platform capabilities.</w:t>
      </w:r>
    </w:p>
    <w:p>
      <w:pPr>
        <w:pStyle w:val="ListBullet"/>
        <w:spacing w:after="40"/>
      </w:pPr>
      <w:r>
        <w:t>Default path: build image, register task-definition revision, update ECS service, verify health.</w:t>
      </w:r>
    </w:p>
    <w:p>
      <w:pPr>
        <w:pStyle w:val="ListBullet"/>
        <w:spacing w:after="40"/>
      </w:pPr>
      <w:r>
        <w:t>Rare path: Terraform plan/apply only for first deployment and genuine infrastructure changes.</w:t>
      </w:r>
    </w:p>
    <w:p>
      <w:pPr>
        <w:pStyle w:val="ListBullet"/>
        <w:spacing w:after="40"/>
      </w:pPr>
      <w:r>
        <w:t>Developer experience: one Deploy button, one clear status, one live URL, one Delete action.</w:t>
      </w:r>
    </w:p>
    <w:p>
      <w:pPr>
        <w:pStyle w:val="ListBullet"/>
        <w:spacing w:after="40"/>
      </w:pPr>
      <w:r>
        <w:t>Administrator experience: detailed cloud, Terraform, queue, state, and reconciliation evidence.</w:t>
      </w:r>
    </w:p>
    <w:p>
      <w:pPr>
        <w:pStyle w:val="ListBullet"/>
        <w:spacing w:after="40"/>
      </w:pPr>
      <w:r>
        <w:t>Release gate: prove repeated real deployments and deletions, not only unit tests or completion reports.</w:t>
      </w:r>
    </w:p>
    <w:p>
      <w:pPr>
        <w:spacing w:before="360"/>
        <w:jc w:val="center"/>
      </w:pPr>
      <w:r>
        <w:rPr>
          <w:i/>
          <w:color w:val="667085"/>
        </w:rPr>
        <w:t>Prepared for DeployGuard architecture refinement and implementation planning</w:t>
      </w:r>
    </w:p>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6"/>
      </w:rPr>
      <w:t xml:space="preserve">DeployGuard Architecture Report  |  </w:t>
    </w:r>
    <w:r>
      <w:rPr>
        <w:color w:val="667085"/>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7085"/>
        <w:sz w:val="16"/>
      </w:rPr>
      <w:t>DEPLOYGUARD  |  TWO-LANE RAILWAY-LIKE PAAS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 Title"/>
    <w:rPr>
      <w:rFonts w:ascii="Aptos Display" w:hAnsi="Aptos Display"/>
      <w:b/>
      <w:color w:val="102A43"/>
      <w:sz w:val="56"/>
    </w:rPr>
  </w:style>
  <w:style w:type="paragraph" w:customStyle="1" w:styleId="CoverSubtitle">
    <w:name w:val="Cover Subtitle"/>
    <w:rPr>
      <w:rFonts w:ascii="Aptos Display" w:hAnsi="Aptos Display"/>
      <w:b w:val="0"/>
      <w:color w:val="0F766E"/>
      <w:sz w:val="30"/>
    </w:rPr>
  </w:style>
  <w:style w:type="paragraph" w:customStyle="1" w:styleId="SmallCaps">
    <w:name w:val="Small Caps"/>
    <w:rPr>
      <w:rFonts w:ascii="Aptos Display" w:hAnsi="Aptos Display"/>
      <w:b/>
      <w:color w:val="47556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DeployGuard Railway-Like Two-Lane PaaS Architecture Report</dc:title>
  <dc:subject>Release lane, infrastructure lane, change classifier, safety, UX and implementation roadmap</dc:subject>
  <dc:creator>DeployGuard Architecture Team</dc:creator>
  <cp:keywords>DeployGuard, PaaS, Railway, ECS, Terraform, architecture, DevOps, AWS</cp:keywords>
  <dc:description>generated by python-docx</dc:description>
  <cp:lastModifiedBy/>
  <cp:revision>1</cp:revision>
  <dcterms:created xsi:type="dcterms:W3CDTF">2013-12-23T23:15:00Z</dcterms:created>
  <dcterms:modified xsi:type="dcterms:W3CDTF">2013-12-23T23:15:00Z</dcterms:modified>
  <cp:category/>
</cp:coreProperties>
</file>