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300"/>
              <w:left w:type="dxa" w:w="360"/>
              <w:bottom w:type="dxa" w:w="300"/>
              <w:right w:type="dxa" w:w="360"/>
            </w:tcMar>
          </w:tcPr>
          <w:p>
            <w:pPr>
              <w:jc w:val="center"/>
            </w:pPr>
            <w:r>
              <w:rPr>
                <w:rFonts w:ascii="Arial" w:cs="Arial" w:eastAsia="Arial" w:hAnsi="Arial"/>
                <w:b/>
                <w:bCs/>
                <w:color w:val="FFFFFF"/>
                <w:sz w:val="40"/>
                <w:szCs w:val="40"/>
              </w:rPr>
              <w:t xml:space="preserve">DeployGuard — FYP Defense Preparation</w:t>
            </w:r>
          </w:p>
          <w:p>
            <w:pPr>
              <w:jc w:val="center"/>
            </w:pPr>
            <w:r>
              <w:rPr>
                <w:rFonts w:ascii="Arial" w:cs="Arial" w:eastAsia="Arial" w:hAnsi="Arial"/>
                <w:color w:val="BDD7EE"/>
                <w:sz w:val="22"/>
                <w:szCs w:val="22"/>
              </w:rPr>
              <w:t xml:space="preserve">Panel Counter-Questions, Model Answers &amp; Member Assignments</w:t>
            </w:r>
          </w:p>
        </w:tc>
      </w:tr>
    </w:tbl>
    <w:p>
      <w:pPr>
        <w:spacing w:after="200"/>
      </w:pPr>
    </w:p>
    <w:p>
      <w:pPr>
        <w:spacing w:after="100"/>
      </w:pPr>
      <w:r>
        <w:rPr>
          <w:rFonts w:ascii="Arial" w:cs="Arial" w:eastAsia="Arial" w:hAnsi="Arial"/>
          <w:b/>
          <w:bCs/>
          <w:color w:val="1A3C5E"/>
          <w:sz w:val="22"/>
          <w:szCs w:val="22"/>
        </w:rPr>
        <w:t xml:space="preserve">ANSWER OWNER LEGEND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jc w:val="center"/>
            </w:pPr>
            <w:r>
              <w:rPr>
                <w:rFonts w:ascii="Arial" w:cs="Arial" w:eastAsia="Arial" w:hAnsi="Arial"/>
                <w:b/>
                <w:bCs/>
                <w:color w:val="1E6B2E"/>
                <w:sz w:val="22"/>
                <w:szCs w:val="22"/>
              </w:rPr>
              <w:t xml:space="preserve">HASSAN SAJJAD</w:t>
            </w:r>
          </w:p>
          <w:p>
            <w:pPr>
              <w:jc w:val="center"/>
            </w:pPr>
            <w:r>
              <w:rPr>
                <w:rFonts w:ascii="Arial" w:cs="Arial" w:eastAsia="Arial" w:hAnsi="Arial"/>
                <w:color w:val="1E6B2E"/>
                <w:sz w:val="18"/>
                <w:szCs w:val="18"/>
              </w:rPr>
              <w:t xml:space="preserve">232460 — Cloud Architect &amp; IaC Engineer</w:t>
            </w:r>
          </w:p>
          <w:p>
            <w:pPr>
              <w:spacing w:before="60"/>
              <w:jc w:val="center"/>
            </w:pPr>
            <w:r>
              <w:rPr>
                <w:rFonts w:ascii="Arial" w:cs="Arial" w:eastAsia="Arial" w:hAnsi="Arial"/>
                <w:i/>
                <w:iCs/>
                <w:color w:val="1A1A1A"/>
                <w:sz w:val="18"/>
                <w:szCs w:val="18"/>
              </w:rPr>
              <w:t xml:space="preserve">Terraform · Trivy · Infracost · AWS · EFS · State Locking</w:t>
            </w:r>
          </w:p>
        </w:tc>
        <w:tc>
          <w:tcPr>
            <w:tcW w:type="dxa" w:w="3120"/>
            <w:tcBorders>
              <w:top w:val="single" w:color="CCCCCC" w:sz="1"/>
              <w:left w:val="single" w:color="CCCCCC" w:sz="1"/>
              <w:bottom w:val="single" w:color="CCCCCC" w:sz="1"/>
              <w:right w:val="single" w:color="CCCCCC" w:sz="1"/>
            </w:tcBorders>
            <w:shd w:fill="F3E5F5" w:val="clear"/>
            <w:tcMar>
              <w:top w:type="dxa" w:w="100"/>
              <w:left w:type="dxa" w:w="160"/>
              <w:bottom w:type="dxa" w:w="100"/>
              <w:right w:type="dxa" w:w="160"/>
            </w:tcMar>
          </w:tcPr>
          <w:p>
            <w:pPr>
              <w:jc w:val="center"/>
            </w:pPr>
            <w:r>
              <w:rPr>
                <w:rFonts w:ascii="Arial" w:cs="Arial" w:eastAsia="Arial" w:hAnsi="Arial"/>
                <w:b/>
                <w:bCs/>
                <w:color w:val="7B2D8B"/>
                <w:sz w:val="22"/>
                <w:szCs w:val="22"/>
              </w:rPr>
              <w:t xml:space="preserve">FARIA FATIMA</w:t>
            </w:r>
          </w:p>
          <w:p>
            <w:pPr>
              <w:jc w:val="center"/>
            </w:pPr>
            <w:r>
              <w:rPr>
                <w:rFonts w:ascii="Arial" w:cs="Arial" w:eastAsia="Arial" w:hAnsi="Arial"/>
                <w:color w:val="7B2D8B"/>
                <w:sz w:val="18"/>
                <w:szCs w:val="18"/>
              </w:rPr>
              <w:t xml:space="preserve">233169 — Backend Orchestration Engineer</w:t>
            </w:r>
          </w:p>
          <w:p>
            <w:pPr>
              <w:spacing w:before="60"/>
              <w:jc w:val="center"/>
            </w:pPr>
            <w:r>
              <w:rPr>
                <w:rFonts w:ascii="Arial" w:cs="Arial" w:eastAsia="Arial" w:hAnsi="Arial"/>
                <w:i/>
                <w:iCs/>
                <w:color w:val="1A1A1A"/>
                <w:sz w:val="18"/>
                <w:szCs w:val="18"/>
              </w:rPr>
              <w:t xml:space="preserve">NestJS · Redis · PostgreSQL · Auth · Payments</w:t>
            </w:r>
          </w:p>
        </w:tc>
        <w:tc>
          <w:tcPr>
            <w:tcW w:type="dxa" w:w="3120"/>
            <w:tcBorders>
              <w:top w:val="single" w:color="CCCCCC" w:sz="1"/>
              <w:left w:val="single" w:color="CCCCCC" w:sz="1"/>
              <w:bottom w:val="single" w:color="CCCCCC" w:sz="1"/>
              <w:right w:val="single" w:color="CCCCCC" w:sz="1"/>
            </w:tcBorders>
            <w:shd w:fill="FFF3E0" w:val="clear"/>
            <w:tcMar>
              <w:top w:type="dxa" w:w="100"/>
              <w:left w:type="dxa" w:w="160"/>
              <w:bottom w:type="dxa" w:w="100"/>
              <w:right w:type="dxa" w:w="160"/>
            </w:tcMar>
          </w:tcPr>
          <w:p>
            <w:pPr>
              <w:jc w:val="center"/>
            </w:pPr>
            <w:r>
              <w:rPr>
                <w:rFonts w:ascii="Arial" w:cs="Arial" w:eastAsia="Arial" w:hAnsi="Arial"/>
                <w:b/>
                <w:bCs/>
                <w:color w:val="B84C00"/>
                <w:sz w:val="22"/>
                <w:szCs w:val="22"/>
              </w:rPr>
              <w:t xml:space="preserve">TANIA KHAWAR</w:t>
            </w:r>
          </w:p>
          <w:p>
            <w:pPr>
              <w:jc w:val="center"/>
            </w:pPr>
            <w:r>
              <w:rPr>
                <w:rFonts w:ascii="Arial" w:cs="Arial" w:eastAsia="Arial" w:hAnsi="Arial"/>
                <w:color w:val="B84C00"/>
                <w:sz w:val="18"/>
                <w:szCs w:val="18"/>
              </w:rPr>
              <w:t xml:space="preserve">232378 — Frontend &amp; AI Integration Specialist</w:t>
            </w:r>
          </w:p>
          <w:p>
            <w:pPr>
              <w:spacing w:before="60"/>
              <w:jc w:val="center"/>
            </w:pPr>
            <w:r>
              <w:rPr>
                <w:rFonts w:ascii="Arial" w:cs="Arial" w:eastAsia="Arial" w:hAnsi="Arial"/>
                <w:i/>
                <w:iCs/>
                <w:color w:val="1A1A1A"/>
                <w:sz w:val="18"/>
                <w:szCs w:val="18"/>
              </w:rPr>
              <w:t xml:space="preserve">Next.js · AI Chatbot · SSE · Monitoring · UI/UX</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3"/>
              <w:left w:val="thick" w:color="F0A500" w:sz="12"/>
              <w:bottom w:val="single" w:color="F0A500" w:sz="3"/>
              <w:right w:val="single" w:color="F0A500" w:sz="3"/>
            </w:tcBorders>
            <w:shd w:fill="FFF8E1" w:val="clear"/>
            <w:tcMar>
              <w:top w:type="dxa" w:w="120"/>
              <w:left w:type="dxa" w:w="200"/>
              <w:bottom w:type="dxa" w:w="120"/>
              <w:right w:type="dxa" w:w="200"/>
            </w:tcMar>
          </w:tcPr>
          <w:p>
            <w:r>
              <w:rPr>
                <w:rFonts w:ascii="Arial" w:cs="Arial" w:eastAsia="Arial" w:hAnsi="Arial"/>
                <w:b/>
                <w:bCs/>
                <w:color w:val="8A5C00"/>
                <w:sz w:val="22"/>
                <w:szCs w:val="22"/>
              </w:rPr>
              <w:t xml:space="preserve">DEFENSE STRATEGY NOTE</w:t>
            </w:r>
          </w:p>
          <w:p>
            <w:pPr>
              <w:spacing w:before="60"/>
            </w:pPr>
            <w:r>
              <w:rPr>
                <w:rFonts w:ascii="Arial" w:cs="Arial" w:eastAsia="Arial" w:hAnsi="Arial"/>
                <w:color w:val="1A1A1A"/>
                <w:sz w:val="20"/>
                <w:szCs w:val="20"/>
              </w:rPr>
              <w:t xml:space="preserve">Always acknowledge a strong question before answering. Say: "That is an important concern — we addressed it by..." This shows maturity. Never be defensive. If a limitation is real, acknowledge it and explain what future work would address it. The panel respects honesty more than false confidence.</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SECTION 1 — PROBLEM &amp; MOTIVATION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Q1.  </w:t>
            </w:r>
            <w:r>
              <w:rPr>
                <w:rFonts w:ascii="Arial" w:cs="Arial" w:eastAsia="Arial" w:hAnsi="Arial"/>
                <w:b/>
                <w:bCs/>
                <w:color w:val="1A1A1A"/>
                <w:sz w:val="22"/>
                <w:szCs w:val="22"/>
              </w:rPr>
              <w:t xml:space="preserve">The problems you describe (DevOps complexity, bill shock) already have solutions like AWS Copilot, Railway, Render. How is DeployGuard different?</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E6B2E"/>
                <w:sz w:val="20"/>
                <w:szCs w:val="20"/>
              </w:rPr>
              <w:t xml:space="preserve">ANSWER — HASSAN  </w:t>
            </w:r>
            <w:r>
              <w:rPr>
                <w:rFonts w:ascii="Arial" w:cs="Arial" w:eastAsia="Arial" w:hAnsi="Arial"/>
                <w:i/>
                <w:iCs/>
                <w:color w:val="1E6B2E"/>
                <w:sz w:val="18"/>
                <w:szCs w:val="18"/>
              </w:rPr>
              <w:t xml:space="preserve">(This question should be answered by Hassan)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AWS Copilot still requires CLI configuration and does not provide pre-deployment cost visibility. Railway and Render are expensive at scale and do not give users ownership of infrastructure. DeployGuard deploys directly into the user's own AWS account using Fargate Spot, which dramatically reduces cost. The Infracost integration shows the exact estimated bill BEFORE any resource is provisioned — something no existing PaaS does. The 'No Lock-in' Terraform export further ensures users own their infrastructure as code. DeployGuard is positioned between raw AWS and managed PaaS — it gives SMEs enterprise-grade DevSecOps at startup cost.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Q2.  </w:t>
            </w:r>
            <w:r>
              <w:rPr>
                <w:rFonts w:ascii="Arial" w:cs="Arial" w:eastAsia="Arial" w:hAnsi="Arial"/>
                <w:b/>
                <w:bCs/>
                <w:color w:val="1A1A1A"/>
                <w:sz w:val="22"/>
                <w:szCs w:val="22"/>
              </w:rPr>
              <w:t xml:space="preserve">How did you validate that there is actually a market problem here? Did you conduct surveys or user research?</w:t>
            </w:r>
          </w:p>
        </w:tc>
      </w:tr>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7B2D8B"/>
                <w:sz w:val="20"/>
                <w:szCs w:val="20"/>
              </w:rPr>
              <w:t xml:space="preserve">ANSWER — FARIA  </w:t>
            </w:r>
            <w:r>
              <w:rPr>
                <w:rFonts w:ascii="Arial" w:cs="Arial" w:eastAsia="Arial" w:hAnsi="Arial"/>
                <w:i/>
                <w:iCs/>
                <w:color w:val="7B2D8B"/>
                <w:sz w:val="18"/>
                <w:szCs w:val="18"/>
              </w:rPr>
              <w:t xml:space="preserve">(This question should be answered by Faria)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The problem is well-documented in industry research. The 'DevOps skill gap' is consistently ranked among the top barriers for SME cloud adoption. Furthermore, our literature review compares three major categories of tools — raw cloud consoles, standard PaaS, and CI/CD-only tools — each with specific, documented gaps. Our supervisor meetings also involved iterative validation of these assumptions. The project scope is built directly from these identified gaps.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SECTION 2 — TECHNICAL ARCHITECTURE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Q3.  </w:t>
            </w:r>
            <w:r>
              <w:rPr>
                <w:rFonts w:ascii="Arial" w:cs="Arial" w:eastAsia="Arial" w:hAnsi="Arial"/>
                <w:b/>
                <w:bCs/>
                <w:color w:val="1A1A1A"/>
                <w:sz w:val="22"/>
                <w:szCs w:val="22"/>
              </w:rPr>
              <w:t xml:space="preserve">Why did you choose NestJS for the backend orchestration engine instead of a more mature DevOps tool like Argo CD or Jenkins?</w:t>
            </w:r>
          </w:p>
        </w:tc>
      </w:tr>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7B2D8B"/>
                <w:sz w:val="20"/>
                <w:szCs w:val="20"/>
              </w:rPr>
              <w:t xml:space="preserve">ANSWER — FARIA  </w:t>
            </w:r>
            <w:r>
              <w:rPr>
                <w:rFonts w:ascii="Arial" w:cs="Arial" w:eastAsia="Arial" w:hAnsi="Arial"/>
                <w:i/>
                <w:iCs/>
                <w:color w:val="7B2D8B"/>
                <w:sz w:val="18"/>
                <w:szCs w:val="18"/>
              </w:rPr>
              <w:t xml:space="preserve">(This question should be answered by Faria)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Argo CD and Jenkins are CI/CD runners, not orchestration engines — they do not handle repository analysis, Docker template injection, cost estimation approval workflows, or multi-tenant project management. NestJS was chosen because it is a structured, opinionated Node.js framework that natively integrates with TypeORM for PostgreSQL, BullMQ for Redis queuing, and provides modular architecture for our 17 modules. It gives us complete control over the orchestration logic, which off-the-shelf tools do not allow.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Q4.  </w:t>
            </w:r>
            <w:r>
              <w:rPr>
                <w:rFonts w:ascii="Arial" w:cs="Arial" w:eastAsia="Arial" w:hAnsi="Arial"/>
                <w:b/>
                <w:bCs/>
                <w:color w:val="1A1A1A"/>
                <w:sz w:val="22"/>
                <w:szCs w:val="22"/>
              </w:rPr>
              <w:t xml:space="preserve">Why Next.js for the frontend? Why not a simpler React app or a standard admin dashboard template?</w:t>
            </w:r>
          </w:p>
        </w:tc>
      </w:tr>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B84C00"/>
                <w:sz w:val="20"/>
                <w:szCs w:val="20"/>
              </w:rPr>
              <w:t xml:space="preserve">ANSWER — TANIA  </w:t>
            </w:r>
            <w:r>
              <w:rPr>
                <w:rFonts w:ascii="Arial" w:cs="Arial" w:eastAsia="Arial" w:hAnsi="Arial"/>
                <w:i/>
                <w:iCs/>
                <w:color w:val="B84C00"/>
                <w:sz w:val="18"/>
                <w:szCs w:val="18"/>
              </w:rPr>
              <w:t xml:space="preserve">(This question should be answered by Tania)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Next.js was chosen for its built-in Server-Side Rendering, which improves initial dashboard load performance — important when displaying real-time deployment metrics. Additionally, Server-Sent Events (SSE) for streaming ECS logs to the frontend are simpler to implement in a Next.js API route environment. It also provides a unified development experience for both the public-facing landing page and the internal dashboard.</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Q5.  </w:t>
            </w:r>
            <w:r>
              <w:rPr>
                <w:rFonts w:ascii="Arial" w:cs="Arial" w:eastAsia="Arial" w:hAnsi="Arial"/>
                <w:b/>
                <w:bCs/>
                <w:color w:val="1A1A1A"/>
                <w:sz w:val="22"/>
                <w:szCs w:val="22"/>
              </w:rPr>
              <w:t xml:space="preserve">You have 17 modules. Isn't this scope too large for a 3-person FYP team to implement within one year?</w:t>
            </w:r>
          </w:p>
        </w:tc>
      </w:tr>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7B2D8B"/>
                <w:sz w:val="20"/>
                <w:szCs w:val="20"/>
              </w:rPr>
              <w:t xml:space="preserve">ANSWER — FARIA  </w:t>
            </w:r>
            <w:r>
              <w:rPr>
                <w:rFonts w:ascii="Arial" w:cs="Arial" w:eastAsia="Arial" w:hAnsi="Arial"/>
                <w:i/>
                <w:iCs/>
                <w:color w:val="7B2D8B"/>
                <w:sz w:val="18"/>
                <w:szCs w:val="18"/>
              </w:rPr>
              <w:t xml:space="preserve">(This question should be answered by Faria)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The modules are divided clearly by responsibility. The Gantt Chart maps each module to one of 6 phases over 14 months. Several modules share underlying infrastructure — for example, the PostgreSQL database serves authentication, audit logging, and project management. Redis serves both the CI/CD queue and state management notifications. The AI chatbot reuses the same frontend component structure as the monitoring dashboard. We have a clear work division where Hassan owns cloud infrastructure, Faria owns the backend API layer, and Tania owns the frontend and AI integration. This parallelism significantly accelerates development.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Q6.  </w:t>
            </w:r>
            <w:r>
              <w:rPr>
                <w:rFonts w:ascii="Arial" w:cs="Arial" w:eastAsia="Arial" w:hAnsi="Arial"/>
                <w:b/>
                <w:bCs/>
                <w:color w:val="1A1A1A"/>
                <w:sz w:val="22"/>
                <w:szCs w:val="22"/>
              </w:rPr>
              <w:t xml:space="preserve">How does your asynchronous queuing with Redis/BullMQ actually work? What happens if the queue crashes?</w:t>
            </w:r>
          </w:p>
        </w:tc>
      </w:tr>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7B2D8B"/>
                <w:sz w:val="20"/>
                <w:szCs w:val="20"/>
              </w:rPr>
              <w:t xml:space="preserve">ANSWER — FARIA  </w:t>
            </w:r>
            <w:r>
              <w:rPr>
                <w:rFonts w:ascii="Arial" w:cs="Arial" w:eastAsia="Arial" w:hAnsi="Arial"/>
                <w:i/>
                <w:iCs/>
                <w:color w:val="7B2D8B"/>
                <w:sz w:val="18"/>
                <w:szCs w:val="18"/>
              </w:rPr>
              <w:t xml:space="preserve">(This question should be answered by Faria)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BullMQ persists job data in Redis, not just in memory. Each deployment job is written to Redis before execution begins. If the BullMQ worker crashes mid-job, the job is not lost — it re-enters a 'waiting' state because BullMQ uses a locking mechanism per job. We also configure job retry policies with exponential backoff. Additionally, Terraform state is stored remotely in S3, so even if the orchestration engine restarts, it can inspect the state file to determine what was provisioned before the crash and resume accordingly.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SECTION 3 — RULE-BASED ENGINE vs. AI APPROACH</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Q7.  </w:t>
            </w:r>
            <w:r>
              <w:rPr>
                <w:rFonts w:ascii="Arial" w:cs="Arial" w:eastAsia="Arial" w:hAnsi="Arial"/>
                <w:b/>
                <w:bCs/>
                <w:color w:val="1A1A1A"/>
                <w:sz w:val="22"/>
                <w:szCs w:val="22"/>
              </w:rPr>
              <w:t xml:space="preserve">You say you chose rule-based scanning to 'eliminate AI hallucination'. But isn't this an oversimplification? LLMs can actually generate Dockerfiles quite reliably.</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E6B2E"/>
                <w:sz w:val="20"/>
                <w:szCs w:val="20"/>
              </w:rPr>
              <w:t xml:space="preserve">ANSWER — HASSAN  </w:t>
            </w:r>
            <w:r>
              <w:rPr>
                <w:rFonts w:ascii="Arial" w:cs="Arial" w:eastAsia="Arial" w:hAnsi="Arial"/>
                <w:i/>
                <w:iCs/>
                <w:color w:val="1E6B2E"/>
                <w:sz w:val="18"/>
                <w:szCs w:val="18"/>
              </w:rPr>
              <w:t xml:space="preserve">(This question should be answered by Hassan)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The decision is about risk management in a production deployment pipeline, not about LLM capability in general. An LLM-generated Dockerfile that contains an incorrect base image, a missing EXPOSE directive, or a broken multi-stage build will cause a real deployment failure in a live AWS environment. Our rule-based engine maps detected file signatures — like package.json, requirements.txt, go.mod — to pre-tested, security-hardened Docker templates using distroless and Alpine base images. This gives a 100% deterministic output. LLMs are reserved for the AI chatbot, where the cost of a wrong answer is a bad suggestion, not a broken production environment.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Q8.  </w:t>
            </w:r>
            <w:r>
              <w:rPr>
                <w:rFonts w:ascii="Arial" w:cs="Arial" w:eastAsia="Arial" w:hAnsi="Arial"/>
                <w:b/>
                <w:bCs/>
                <w:color w:val="1A1A1A"/>
                <w:sz w:val="22"/>
                <w:szCs w:val="22"/>
              </w:rPr>
              <w:t xml:space="preserve">What happens if a repository uses a stack your templates do not cover? Isn't this a major limitation?</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E6B2E"/>
                <w:sz w:val="20"/>
                <w:szCs w:val="20"/>
              </w:rPr>
              <w:t xml:space="preserve">ANSWER — HASSAN  </w:t>
            </w:r>
            <w:r>
              <w:rPr>
                <w:rFonts w:ascii="Arial" w:cs="Arial" w:eastAsia="Arial" w:hAnsi="Arial"/>
                <w:i/>
                <w:iCs/>
                <w:color w:val="1E6B2E"/>
                <w:sz w:val="18"/>
                <w:szCs w:val="18"/>
              </w:rPr>
              <w:t xml:space="preserve">(This question should be answered by Hassan)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We acknowledge this as a documented system constraint. For unconventional stacks, the user can include their own Dockerfile in the repository root. The system detects the presence of an existing Dockerfile and skips template injection entirely, falling back to user-provided containerization. This is the same approach used by platforms like Railway. Our template registry covers the most common stacks — Node.js, Python, Go, Java Spring — which cover the vast majority of SME use cases. Expanding the registry is future work.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SECTION 4 — SECURITY &amp; DevSecOps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Q9.  </w:t>
            </w:r>
            <w:r>
              <w:rPr>
                <w:rFonts w:ascii="Arial" w:cs="Arial" w:eastAsia="Arial" w:hAnsi="Arial"/>
                <w:b/>
                <w:bCs/>
                <w:color w:val="1A1A1A"/>
                <w:sz w:val="22"/>
                <w:szCs w:val="22"/>
              </w:rPr>
              <w:t xml:space="preserve">Trivy scans containers for known CVEs. But what about application-level vulnerabilities like SQL injection or XSS? Why is your security scanning incomplete?</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E6B2E"/>
                <w:sz w:val="20"/>
                <w:szCs w:val="20"/>
              </w:rPr>
              <w:t xml:space="preserve">ANSWER — HASSAN  </w:t>
            </w:r>
            <w:r>
              <w:rPr>
                <w:rFonts w:ascii="Arial" w:cs="Arial" w:eastAsia="Arial" w:hAnsi="Arial"/>
                <w:i/>
                <w:iCs/>
                <w:color w:val="1E6B2E"/>
                <w:sz w:val="18"/>
                <w:szCs w:val="18"/>
              </w:rPr>
              <w:t xml:space="preserve">(This question should be answered by Hassan)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This is an excellent distinction. Trivy performs OS-level and dependency vulnerability scanning, which addresses the most common root cause of container breaches — unpatched base images and outdated packages. Application-level SAST (Static Analysis) for logic flaws like SQL injection is a different category of tool and is listed as a future scope extension. Our 'shift-left' security approach already significantly raises the baseline security posture compared to teams with no automated scanning at all, which is the current state for most SMEs. We are transparent about this boundary in our limitations section.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Q10.  </w:t>
            </w:r>
            <w:r>
              <w:rPr>
                <w:rFonts w:ascii="Arial" w:cs="Arial" w:eastAsia="Arial" w:hAnsi="Arial"/>
                <w:b/>
                <w:bCs/>
                <w:color w:val="1A1A1A"/>
                <w:sz w:val="22"/>
                <w:szCs w:val="22"/>
              </w:rPr>
              <w:t xml:space="preserve">What prevents someone from bypassing the Trivy security gate by simply approving the deployment anyway?</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E6B2E"/>
                <w:sz w:val="20"/>
                <w:szCs w:val="20"/>
              </w:rPr>
              <w:t xml:space="preserve">ANSWER — HASSAN  </w:t>
            </w:r>
            <w:r>
              <w:rPr>
                <w:rFonts w:ascii="Arial" w:cs="Arial" w:eastAsia="Arial" w:hAnsi="Arial"/>
                <w:i/>
                <w:iCs/>
                <w:color w:val="1E6B2E"/>
                <w:sz w:val="18"/>
                <w:szCs w:val="18"/>
              </w:rPr>
              <w:t xml:space="preserve">(This question should be answered by Hassan)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The Trivy gate is enforced at the pipeline engine level in NestJS, not at the UI level. When Trivy detects a Critical or High severity vulnerability, the BullMQ job transitions to a permanent 'Blocked' state and does not proceed to the Terraform provisioning step. There is no UI button to override this gate — the user must resolve the vulnerability in the source code, push a new commit, and trigger a fresh pipeline. The block event is also immutably recorded in the PostgreSQL audit log for compliance purposes.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Q11.  </w:t>
            </w:r>
            <w:r>
              <w:rPr>
                <w:rFonts w:ascii="Arial" w:cs="Arial" w:eastAsia="Arial" w:hAnsi="Arial"/>
                <w:b/>
                <w:bCs/>
                <w:color w:val="1A1A1A"/>
                <w:sz w:val="22"/>
                <w:szCs w:val="22"/>
              </w:rPr>
              <w:t xml:space="preserve">You store AWS credentials to provision infrastructure. How do you ensure those credentials are not leaked?</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E6B2E"/>
                <w:sz w:val="20"/>
                <w:szCs w:val="20"/>
              </w:rPr>
              <w:t xml:space="preserve">ANSWER — HASSAN  </w:t>
            </w:r>
            <w:r>
              <w:rPr>
                <w:rFonts w:ascii="Arial" w:cs="Arial" w:eastAsia="Arial" w:hAnsi="Arial"/>
                <w:i/>
                <w:iCs/>
                <w:color w:val="1E6B2E"/>
                <w:sz w:val="18"/>
                <w:szCs w:val="18"/>
              </w:rPr>
              <w:t xml:space="preserve">(This question should be answered by Hassan)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AWS credentials are never stored in our database. DeployGuard uses AWS IAM Roles with the principle of least privilege. The orchestration engine runs in an execution environment that assumes an IAM role scoped specifically to ECS, ECR, S3, and DynamoDB operations. Environment variables provided by users for their applications are stored encrypted in the database and injected securely at deployment time as ECS Task Definition environment variables, never written to logs or the Terraform state file in plaintext.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SECTION 5 — AI LOG ANALYSIS &amp; CHATBOT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Q12.  </w:t>
            </w:r>
            <w:r>
              <w:rPr>
                <w:rFonts w:ascii="Arial" w:cs="Arial" w:eastAsia="Arial" w:hAnsi="Arial"/>
                <w:b/>
                <w:bCs/>
                <w:color w:val="1A1A1A"/>
                <w:sz w:val="22"/>
                <w:szCs w:val="22"/>
              </w:rPr>
              <w:t xml:space="preserve">Your AI chatbot uses an LLM API. What stops it from giving incorrect remediation advice? How reliable is it?</w:t>
            </w:r>
          </w:p>
        </w:tc>
      </w:tr>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B84C00"/>
                <w:sz w:val="20"/>
                <w:szCs w:val="20"/>
              </w:rPr>
              <w:t xml:space="preserve">ANSWER — TANIA  </w:t>
            </w:r>
            <w:r>
              <w:rPr>
                <w:rFonts w:ascii="Arial" w:cs="Arial" w:eastAsia="Arial" w:hAnsi="Arial"/>
                <w:i/>
                <w:iCs/>
                <w:color w:val="B84C00"/>
                <w:sz w:val="18"/>
                <w:szCs w:val="18"/>
              </w:rPr>
              <w:t xml:space="preserve">(This question should be answered by Tania)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The chatbot is not a general-purpose assistant. It operates on a strict, domain-scoped system prompt that constrains it to deployment log analysis, Terraform error interpretation, and platform-specific guidance only. When a build fails, the failed log output is automatically injected into the LLM context as structured input. The LLM then analyzes the specific error pattern — not general knowledge — and generates a remediation suggestion. We also display a disclaimer to users that AI suggestions should be validated. The chatbot is a productivity accelerator, not an authoritative diagnosis tool.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Q13.  </w:t>
            </w:r>
            <w:r>
              <w:rPr>
                <w:rFonts w:ascii="Arial" w:cs="Arial" w:eastAsia="Arial" w:hAnsi="Arial"/>
                <w:b/>
                <w:bCs/>
                <w:color w:val="1A1A1A"/>
                <w:sz w:val="22"/>
                <w:szCs w:val="22"/>
              </w:rPr>
              <w:t xml:space="preserve">Which LLM API are you using? What is the cost model and latency impact on users?</w:t>
            </w:r>
          </w:p>
        </w:tc>
      </w:tr>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B84C00"/>
                <w:sz w:val="20"/>
                <w:szCs w:val="20"/>
              </w:rPr>
              <w:t xml:space="preserve">ANSWER — TANIA  </w:t>
            </w:r>
            <w:r>
              <w:rPr>
                <w:rFonts w:ascii="Arial" w:cs="Arial" w:eastAsia="Arial" w:hAnsi="Arial"/>
                <w:i/>
                <w:iCs/>
                <w:color w:val="B84C00"/>
                <w:sz w:val="18"/>
                <w:szCs w:val="18"/>
              </w:rPr>
              <w:t xml:space="preserve">(This question should be answered by Tania)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We are integrating with a standard LLM API. The specific provider (OpenAI, Anthropic, or Gemini) will be finalized during implementation based on cost-per-token benchmarking and latency testing. The chatbot is an on-demand feature — it only calls the API when the user explicitly requests log analysis or asks a question. It is not called on every deployment. The cost is covered by the Pro subscription tier, and the response is streamed back to the frontend to minimize perceived latency.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Q14.  </w:t>
            </w:r>
            <w:r>
              <w:rPr>
                <w:rFonts w:ascii="Arial" w:cs="Arial" w:eastAsia="Arial" w:hAnsi="Arial"/>
                <w:b/>
                <w:bCs/>
                <w:color w:val="1A1A1A"/>
                <w:sz w:val="22"/>
                <w:szCs w:val="22"/>
              </w:rPr>
              <w:t xml:space="preserve">How does the chatbot get context about what happened during a failed deployment?</w:t>
            </w:r>
          </w:p>
        </w:tc>
      </w:tr>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B84C00"/>
                <w:sz w:val="20"/>
                <w:szCs w:val="20"/>
              </w:rPr>
              <w:t xml:space="preserve">ANSWER — TANIA  </w:t>
            </w:r>
            <w:r>
              <w:rPr>
                <w:rFonts w:ascii="Arial" w:cs="Arial" w:eastAsia="Arial" w:hAnsi="Arial"/>
                <w:i/>
                <w:iCs/>
                <w:color w:val="B84C00"/>
                <w:sz w:val="18"/>
                <w:szCs w:val="18"/>
              </w:rPr>
              <w:t xml:space="preserve">(This question should be answered by Tania)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When a pipeline fails, NestJS captures the stdout and stderr output from the failed stage — whether it is a Docker build failure, a Trivy block, or a Terraform apply error — and stores this in PostgreSQL linked to the deployment record. When the user opens the chatbot for that deployment, this log data is automatically retrieved and pre-loaded as context into the LLM prompt. The user can then ask follow-up questions, and the conversation history is maintained in the UI state for the session.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SECTION 6 — INFRASTRUCTURE &amp; TERRAFORM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Q15.  </w:t>
            </w:r>
            <w:r>
              <w:rPr>
                <w:rFonts w:ascii="Arial" w:cs="Arial" w:eastAsia="Arial" w:hAnsi="Arial"/>
                <w:b/>
                <w:bCs/>
                <w:color w:val="1A1A1A"/>
                <w:sz w:val="22"/>
                <w:szCs w:val="22"/>
              </w:rPr>
              <w:t xml:space="preserve">Terraform state management is notoriously complex. What happens if two developers click 'Deploy' at exactly the same time?</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E6B2E"/>
                <w:sz w:val="20"/>
                <w:szCs w:val="20"/>
              </w:rPr>
              <w:t xml:space="preserve">ANSWER — HASSAN  </w:t>
            </w:r>
            <w:r>
              <w:rPr>
                <w:rFonts w:ascii="Arial" w:cs="Arial" w:eastAsia="Arial" w:hAnsi="Arial"/>
                <w:i/>
                <w:iCs/>
                <w:color w:val="1E6B2E"/>
                <w:sz w:val="18"/>
                <w:szCs w:val="18"/>
              </w:rPr>
              <w:t xml:space="preserve">(This question should be answered by Hassan)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This is precisely why we implemented distributed state locking using S3 and DynamoDB — a standard HashiCorp-recommended pattern. When a Terraform apply begins, it writes a lock entry to the DynamoDB LockTable. Any concurrent deployment attempt reads this lock and is immediately queued in BullMQ rather than proceeding. The second deployment only begins after the first completes and releases the DynamoDB lock. This prevents the 'split-brain' problem where two simultaneous Terraform applies could corrupt the shared state file. S3 versioning also means every state version is recoverable.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Q16.  </w:t>
            </w:r>
            <w:r>
              <w:rPr>
                <w:rFonts w:ascii="Arial" w:cs="Arial" w:eastAsia="Arial" w:hAnsi="Arial"/>
                <w:b/>
                <w:bCs/>
                <w:color w:val="1A1A1A"/>
                <w:sz w:val="22"/>
                <w:szCs w:val="22"/>
              </w:rPr>
              <w:t xml:space="preserve">AWS Fargate Spot instances can be reclaimed with a 2-minute warning. Isn't this unreliable for production workloads?</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E6B2E"/>
                <w:sz w:val="20"/>
                <w:szCs w:val="20"/>
              </w:rPr>
              <w:t xml:space="preserve">ANSWER — HASSAN  </w:t>
            </w:r>
            <w:r>
              <w:rPr>
                <w:rFonts w:ascii="Arial" w:cs="Arial" w:eastAsia="Arial" w:hAnsi="Arial"/>
                <w:i/>
                <w:iCs/>
                <w:color w:val="1E6B2E"/>
                <w:sz w:val="18"/>
                <w:szCs w:val="18"/>
              </w:rPr>
              <w:t xml:space="preserve">(This question should be answered by Hassan)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Spot interruptions are a real risk, which is why we built Spot Resilience directly into the architecture. DeployGuard subscribes to AWS EventBridge Spot Interruption notices. When a 2-minute warning is received, our event handler immediately triggers a new ECS Fargate task on a standard On-Demand capacity provider before the Spot instance is reclaimed. The ALB health check continues routing traffic to the surviving tasks during this transition. Additionally, stateful data is stored on Amazon EFS, not in the container, so no data is lost during a Spot reclaim. The cost savings from Spot — typically 60-70% — justify this architecture for SMEs.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Q17.  </w:t>
            </w:r>
            <w:r>
              <w:rPr>
                <w:rFonts w:ascii="Arial" w:cs="Arial" w:eastAsia="Arial" w:hAnsi="Arial"/>
                <w:b/>
                <w:bCs/>
                <w:color w:val="1A1A1A"/>
                <w:sz w:val="22"/>
                <w:szCs w:val="22"/>
              </w:rPr>
              <w:t xml:space="preserve">What if the user runs 'terraform destroy' accidentally and deletes everything?</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E6B2E"/>
                <w:sz w:val="20"/>
                <w:szCs w:val="20"/>
              </w:rPr>
              <w:t xml:space="preserve">ANSWER — HASSAN  </w:t>
            </w:r>
            <w:r>
              <w:rPr>
                <w:rFonts w:ascii="Arial" w:cs="Arial" w:eastAsia="Arial" w:hAnsi="Arial"/>
                <w:i/>
                <w:iCs/>
                <w:color w:val="1E6B2E"/>
                <w:sz w:val="18"/>
                <w:szCs w:val="18"/>
              </w:rPr>
              <w:t xml:space="preserve">(This question should be answered by Hassan)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The destroy workflow has a dual-confirmation mechanism. The user must first click a 'Destroy Environment' button, which displays a warning modal requiring them to type the project name manually to confirm intent — similar to GitHub's repository deletion workflow. Only after this second confirmation does NestJS queue the destroy job. Furthermore, the terraform destroy command is explicitly configured to skip EFS volumes — only compute resources (ECS tasks, ALB, VPC) are torn down. Persistent data stored on EFS survives the destroy operation.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SECTION 7 — COST ANALYSIS &amp; FinOps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Q18.  </w:t>
            </w:r>
            <w:r>
              <w:rPr>
                <w:rFonts w:ascii="Arial" w:cs="Arial" w:eastAsia="Arial" w:hAnsi="Arial"/>
                <w:b/>
                <w:bCs/>
                <w:color w:val="1A1A1A"/>
                <w:sz w:val="22"/>
                <w:szCs w:val="22"/>
              </w:rPr>
              <w:t xml:space="preserve">The Infracost API gives estimates, not guarantees. What if the actual AWS bill is significantly higher than estimated?</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E6B2E"/>
                <w:sz w:val="20"/>
                <w:szCs w:val="20"/>
              </w:rPr>
              <w:t xml:space="preserve">ANSWER — HASSAN  </w:t>
            </w:r>
            <w:r>
              <w:rPr>
                <w:rFonts w:ascii="Arial" w:cs="Arial" w:eastAsia="Arial" w:hAnsi="Arial"/>
                <w:i/>
                <w:iCs/>
                <w:color w:val="1E6B2E"/>
                <w:sz w:val="18"/>
                <w:szCs w:val="18"/>
              </w:rPr>
              <w:t xml:space="preserve">(This question should be answered by Hassan)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Infracost provides estimates based on Terraform plan output and real-time AWS pricing API data. The estimate accounts for the resources defined in the Terraform plan — ECS tasks, ALB, NAT Gateways, EFS — using on-demand pricing as a conservative upper bound. Variable costs like data transfer are noted as estimates. We display this estimate with an explicit disclaimer that AWS billing depends on actual usage. The key value is not precision but transparency — users currently have zero cost visibility before deployment. Even an estimate gives an order-of-magnitude decision point that does not exist in competing tools.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SECTION 8 — MONITORING &amp; REAL-TIME FEATURES</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Q19.  </w:t>
            </w:r>
            <w:r>
              <w:rPr>
                <w:rFonts w:ascii="Arial" w:cs="Arial" w:eastAsia="Arial" w:hAnsi="Arial"/>
                <w:b/>
                <w:bCs/>
                <w:color w:val="1A1A1A"/>
                <w:sz w:val="22"/>
                <w:szCs w:val="22"/>
              </w:rPr>
              <w:t xml:space="preserve">Why Server-Sent Events (SSE) for log streaming instead of WebSockets? SSE is one-directional.</w:t>
            </w:r>
          </w:p>
        </w:tc>
      </w:tr>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B84C00"/>
                <w:sz w:val="20"/>
                <w:szCs w:val="20"/>
              </w:rPr>
              <w:t xml:space="preserve">ANSWER — TANIA  </w:t>
            </w:r>
            <w:r>
              <w:rPr>
                <w:rFonts w:ascii="Arial" w:cs="Arial" w:eastAsia="Arial" w:hAnsi="Arial"/>
                <w:i/>
                <w:iCs/>
                <w:color w:val="B84C00"/>
                <w:sz w:val="18"/>
                <w:szCs w:val="18"/>
              </w:rPr>
              <w:t xml:space="preserve">(This question should be answered by Tania)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SSE is one-directional by design, and that is exactly what log streaming requires. Log data flows from the ECS task to the NestJS backend to the frontend — there is no need for the frontend to push data back to the server in this flow. SSE is simpler to implement, works natively over HTTP/1.1 without upgrade handshakes, and is automatically reconnected by the browser on network interruption. WebSockets would add unnecessary complexity and state management overhead for a use case that is purely read-only from the client's perspective.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Q20.  </w:t>
            </w:r>
            <w:r>
              <w:rPr>
                <w:rFonts w:ascii="Arial" w:cs="Arial" w:eastAsia="Arial" w:hAnsi="Arial"/>
                <w:b/>
                <w:bCs/>
                <w:color w:val="1A1A1A"/>
                <w:sz w:val="22"/>
                <w:szCs w:val="22"/>
              </w:rPr>
              <w:t xml:space="preserve">Why Prometheus for metrics? You have a small-scale project. Isn't this overkill?</w:t>
            </w:r>
          </w:p>
        </w:tc>
      </w:tr>
      <w:tr>
        <w:tc>
          <w:tcPr>
            <w:tcW w:type="dxa" w:w="9360"/>
            <w:tcBorders>
              <w:top w:val="single" w:color="CCCCCC" w:sz="1"/>
              <w:left w:val="single" w:color="CCCCCC" w:sz="1"/>
              <w:bottom w:val="single" w:color="CCCCCC" w:sz="1"/>
              <w:right w:val="single" w:color="CCCCCC" w:sz="1"/>
            </w:tcBorders>
            <w:shd w:fill="FFF3E0" w:val="clear"/>
            <w:tcMar>
              <w:top w:type="dxa" w:w="80"/>
              <w:left w:type="dxa" w:w="160"/>
              <w:bottom w:type="dxa" w:w="80"/>
              <w:right w:type="dxa" w:w="160"/>
            </w:tcMar>
          </w:tcPr>
          <w:p>
            <w:r>
              <w:rPr>
                <w:rFonts w:ascii="Arial" w:cs="Arial" w:eastAsia="Arial" w:hAnsi="Arial"/>
                <w:b/>
                <w:bCs/>
                <w:color w:val="B84C00"/>
                <w:sz w:val="20"/>
                <w:szCs w:val="20"/>
              </w:rPr>
              <w:t xml:space="preserve">ANSWER — TANIA  </w:t>
            </w:r>
            <w:r>
              <w:rPr>
                <w:rFonts w:ascii="Arial" w:cs="Arial" w:eastAsia="Arial" w:hAnsi="Arial"/>
                <w:i/>
                <w:iCs/>
                <w:color w:val="B84C00"/>
                <w:sz w:val="18"/>
                <w:szCs w:val="18"/>
              </w:rPr>
              <w:t xml:space="preserve">(This question should be answered by Tania)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Prometheus was chosen because it integrates natively with ECS and is the industry-standard open-source metrics solution. It provides a pull-based scraping model that works well with our containerized environment. The alternative — building a custom metrics aggregation layer — would be significantly more complex. Using Prometheus from the start also makes the project enterprise-ready and demonstrates awareness of production monitoring standards. The metrics collected — CPU usage, RAM, HTTP latency — are essential for demonstrating auto-scaling behavior, which is a core project deliverable.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SECTION 9 — NOVELTY &amp; ACADEMIC CONTRIBUTION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Q21.  </w:t>
            </w:r>
            <w:r>
              <w:rPr>
                <w:rFonts w:ascii="Arial" w:cs="Arial" w:eastAsia="Arial" w:hAnsi="Arial"/>
                <w:b/>
                <w:bCs/>
                <w:color w:val="1A1A1A"/>
                <w:sz w:val="22"/>
                <w:szCs w:val="22"/>
              </w:rPr>
              <w:t xml:space="preserve">What is the academic/research contribution of this project? You are largely integrating existing tools.</w:t>
            </w:r>
          </w:p>
        </w:tc>
      </w:tr>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7B2D8B"/>
                <w:sz w:val="20"/>
                <w:szCs w:val="20"/>
              </w:rPr>
              <w:t xml:space="preserve">ANSWER — FARIA  </w:t>
            </w:r>
            <w:r>
              <w:rPr>
                <w:rFonts w:ascii="Arial" w:cs="Arial" w:eastAsia="Arial" w:hAnsi="Arial"/>
                <w:i/>
                <w:iCs/>
                <w:color w:val="7B2D8B"/>
                <w:sz w:val="18"/>
                <w:szCs w:val="18"/>
              </w:rPr>
              <w:t xml:space="preserve">(This question should be answered by Faria)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The novelty lies in the orchestration architecture — specifically, the integration of rule-based stack detection with pre-validated Docker templates as a deterministic alternative to AI-generated containerization. The combination of shift-left security gating, real-time FinOps approval workflow, and distributed Terraform state management in a single unified platform for SMEs has not been published as an integrated system. The AI log analysis component — automatically ingesting structured deployment failure context into an LLM — is also an applied research contribution to the DevSecOps domain. The project demonstrates how enterprise-grade DevOps can be made accessible without sacrificing security or cost control.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Q22.  </w:t>
            </w:r>
            <w:r>
              <w:rPr>
                <w:rFonts w:ascii="Arial" w:cs="Arial" w:eastAsia="Arial" w:hAnsi="Arial"/>
                <w:b/>
                <w:bCs/>
                <w:color w:val="1A1A1A"/>
                <w:sz w:val="22"/>
                <w:szCs w:val="22"/>
              </w:rPr>
              <w:t xml:space="preserve">Why restrict to GitHub only? GitLab and Bitbucket are widely used in enterprises.</w:t>
            </w:r>
          </w:p>
        </w:tc>
      </w:tr>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7B2D8B"/>
                <w:sz w:val="20"/>
                <w:szCs w:val="20"/>
              </w:rPr>
              <w:t xml:space="preserve">ANSWER — FARIA  </w:t>
            </w:r>
            <w:r>
              <w:rPr>
                <w:rFonts w:ascii="Arial" w:cs="Arial" w:eastAsia="Arial" w:hAnsi="Arial"/>
                <w:i/>
                <w:iCs/>
                <w:color w:val="7B2D8B"/>
                <w:sz w:val="18"/>
                <w:szCs w:val="18"/>
              </w:rPr>
              <w:t xml:space="preserve">(This question should be answered by Faria)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GitHub was chosen because it has the largest developer adoption globally and its Actions CI/CD platform is tightly integrated into our pipeline design. GitHub OAuth is the simplest authentication path for developers. GitLab and Bitbucket support are explicitly listed as future scope extensions. The core orchestration engine is repository-agnostic — only the shallow clone and webhook integration modules would require modification for other platforms, which is a planned enhancement post-FYP.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SECTION 10 — IMPLEMENTATION &amp; TIMELINE REALISM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Q23.  </w:t>
            </w:r>
            <w:r>
              <w:rPr>
                <w:rFonts w:ascii="Arial" w:cs="Arial" w:eastAsia="Arial" w:hAnsi="Arial"/>
                <w:b/>
                <w:bCs/>
                <w:color w:val="1A1A1A"/>
                <w:sz w:val="22"/>
                <w:szCs w:val="22"/>
              </w:rPr>
              <w:t xml:space="preserve">Your Gantt Chart shows 14 months. Show us what has been completed so far.</w:t>
            </w:r>
          </w:p>
        </w:tc>
      </w:tr>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7B2D8B"/>
                <w:sz w:val="20"/>
                <w:szCs w:val="20"/>
              </w:rPr>
              <w:t xml:space="preserve">ANSWER — FARIA  </w:t>
            </w:r>
            <w:r>
              <w:rPr>
                <w:rFonts w:ascii="Arial" w:cs="Arial" w:eastAsia="Arial" w:hAnsi="Arial"/>
                <w:i/>
                <w:iCs/>
                <w:color w:val="7B2D8B"/>
                <w:sz w:val="18"/>
                <w:szCs w:val="18"/>
              </w:rPr>
              <w:t xml:space="preserve">(This question should be answered by Faria)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According to our timeline, we are currently in Phase 1 — Foundation. This covers User Authentication with GitHub OAuth, Role-Based Access Control, the PostgreSQL audit logging schema, the Dashboard UI skeleton, and GitHub repository linking. These components are the foundation on which all other modules depend. Our supervisor meeting logs document iterative validation of each architectural decision, from technology stack approval to final module confirmation. The supervisor has signed off on the project proposal, confirming the plan is feasible and on track.</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Q24.  </w:t>
            </w:r>
            <w:r>
              <w:rPr>
                <w:rFonts w:ascii="Arial" w:cs="Arial" w:eastAsia="Arial" w:hAnsi="Arial"/>
                <w:b/>
                <w:bCs/>
                <w:color w:val="1A1A1A"/>
                <w:sz w:val="22"/>
                <w:szCs w:val="22"/>
              </w:rPr>
              <w:t xml:space="preserve">How will you test a system that depends on live AWS infrastructure? Is local testing possible?</w:t>
            </w:r>
          </w:p>
        </w:tc>
      </w:tr>
      <w:tr>
        <w:tc>
          <w:tcPr>
            <w:tcW w:type="dxa" w:w="9360"/>
            <w:tcBorders>
              <w:top w:val="single" w:color="CCCCCC" w:sz="1"/>
              <w:left w:val="single" w:color="CCCCCC" w:sz="1"/>
              <w:bottom w:val="single" w:color="CCCCCC" w:sz="1"/>
              <w:right w:val="single" w:color="CCCCCC" w:sz="1"/>
            </w:tcBorders>
            <w:shd w:fill="E8F5E9" w:val="clear"/>
            <w:tcMar>
              <w:top w:type="dxa" w:w="80"/>
              <w:left w:type="dxa" w:w="160"/>
              <w:bottom w:type="dxa" w:w="80"/>
              <w:right w:type="dxa" w:w="160"/>
            </w:tcMar>
          </w:tcPr>
          <w:p>
            <w:r>
              <w:rPr>
                <w:rFonts w:ascii="Arial" w:cs="Arial" w:eastAsia="Arial" w:hAnsi="Arial"/>
                <w:b/>
                <w:bCs/>
                <w:color w:val="1E6B2E"/>
                <w:sz w:val="20"/>
                <w:szCs w:val="20"/>
              </w:rPr>
              <w:t xml:space="preserve">ANSWER — HASSAN  </w:t>
            </w:r>
            <w:r>
              <w:rPr>
                <w:rFonts w:ascii="Arial" w:cs="Arial" w:eastAsia="Arial" w:hAnsi="Arial"/>
                <w:i/>
                <w:iCs/>
                <w:color w:val="1E6B2E"/>
                <w:sz w:val="18"/>
                <w:szCs w:val="18"/>
              </w:rPr>
              <w:t xml:space="preserve">(This question should be answered by Hassan)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Testing happens in multiple layers. For unit and integration testing, we use LocalStack — a local AWS cloud emulator — to mock S3, DynamoDB, ECS, and other AWS APIs without incurring cloud costs. The NestJS backend has unit tests for the rule-based detection engine using sample repository file structures. Docker builds are tested locally before testing against ECR. For end-to-end testing of the actual Terraform infrastructure, we use a dedicated AWS sandbox account with resource limits defined via AWS Service Control Policies to prevent unexpected cost overruns during testing.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EFF7" w:val="clear"/>
            <w:tcMar>
              <w:top w:type="dxa" w:w="100"/>
              <w:left w:type="dxa" w:w="160"/>
              <w:bottom w:type="dxa" w:w="100"/>
              <w:right w:type="dxa" w:w="160"/>
            </w:tcMar>
          </w:tcPr>
          <w:p>
            <w:r>
              <w:rPr>
                <w:rFonts w:ascii="Arial" w:cs="Arial" w:eastAsia="Arial" w:hAnsi="Arial"/>
                <w:b/>
                <w:bCs/>
                <w:color w:val="2E75B6"/>
                <w:sz w:val="22"/>
                <w:szCs w:val="22"/>
              </w:rPr>
              <w:t xml:space="preserve">Q25.  </w:t>
            </w:r>
            <w:r>
              <w:rPr>
                <w:rFonts w:ascii="Arial" w:cs="Arial" w:eastAsia="Arial" w:hAnsi="Arial"/>
                <w:b/>
                <w:bCs/>
                <w:color w:val="1A1A1A"/>
                <w:sz w:val="22"/>
                <w:szCs w:val="22"/>
              </w:rPr>
              <w:t xml:space="preserve">How do you handle the billing/payment integration? Are you PCI compliant?</w:t>
            </w:r>
          </w:p>
        </w:tc>
      </w:tr>
      <w:tr>
        <w:tc>
          <w:tcPr>
            <w:tcW w:type="dxa" w:w="9360"/>
            <w:tcBorders>
              <w:top w:val="single" w:color="CCCCCC" w:sz="1"/>
              <w:left w:val="single" w:color="CCCCCC" w:sz="1"/>
              <w:bottom w:val="single" w:color="CCCCCC" w:sz="1"/>
              <w:right w:val="single" w:color="CCCCCC" w:sz="1"/>
            </w:tcBorders>
            <w:shd w:fill="F3E5F5" w:val="clear"/>
            <w:tcMar>
              <w:top w:type="dxa" w:w="80"/>
              <w:left w:type="dxa" w:w="160"/>
              <w:bottom w:type="dxa" w:w="80"/>
              <w:right w:type="dxa" w:w="160"/>
            </w:tcMar>
          </w:tcPr>
          <w:p>
            <w:r>
              <w:rPr>
                <w:rFonts w:ascii="Arial" w:cs="Arial" w:eastAsia="Arial" w:hAnsi="Arial"/>
                <w:b/>
                <w:bCs/>
                <w:color w:val="7B2D8B"/>
                <w:sz w:val="20"/>
                <w:szCs w:val="20"/>
              </w:rPr>
              <w:t xml:space="preserve">ANSWER — FARIA  </w:t>
            </w:r>
            <w:r>
              <w:rPr>
                <w:rFonts w:ascii="Arial" w:cs="Arial" w:eastAsia="Arial" w:hAnsi="Arial"/>
                <w:i/>
                <w:iCs/>
                <w:color w:val="7B2D8B"/>
                <w:sz w:val="18"/>
                <w:szCs w:val="18"/>
              </w:rPr>
              <w:t xml:space="preserve">(This question should be answered by Faria)</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color w:val="1A1A1A"/>
                <w:sz w:val="20"/>
                <w:szCs w:val="20"/>
              </w:rPr>
              <w:t xml:space="preserve">Payment processing is handled entirely by Stripe, a PCI-DSS Level 1 certified payment processor. DeployGuard never handles, stores, or processes raw credit card data. Stripe's frontend SDK tokenizes payment information in the browser and sends a secure token to our backend. NestJS calls the Stripe API with this token. This means PCI compliance for card data is Stripe's responsibility, not ours — a standard and accepted practice for SaaS products.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3C5E" w:val="clear"/>
            <w:tcMar>
              <w:top w:type="dxa" w:w="100"/>
              <w:left w:type="dxa" w:w="200"/>
              <w:bottom w:type="dxa" w:w="100"/>
              <w:right w:type="dxa" w:w="200"/>
            </w:tcMar>
          </w:tcPr>
          <w:p>
            <w:pPr>
              <w:jc w:val="left"/>
            </w:pPr>
            <w:r>
              <w:rPr>
                <w:rFonts w:ascii="Arial" w:cs="Arial" w:eastAsia="Arial" w:hAnsi="Arial"/>
                <w:b/>
                <w:bCs/>
                <w:color w:val="FFFFFF"/>
                <w:sz w:val="24"/>
                <w:szCs w:val="24"/>
              </w:rPr>
              <w:t xml:space="preserve">QUICK REFERENCE — WHO ANSWERS WHAT TOPIC</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W w:type="dxa" w:w="650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r>
              <w:rPr>
                <w:rFonts w:ascii="Arial" w:cs="Arial" w:eastAsia="Arial" w:hAnsi="Arial"/>
                <w:b/>
                <w:bCs/>
                <w:color w:val="FFFFFF"/>
                <w:sz w:val="20"/>
                <w:szCs w:val="20"/>
              </w:rPr>
              <w:t xml:space="preserve">Topic / Question Area</w:t>
            </w:r>
          </w:p>
        </w:tc>
        <w:tc>
          <w:tcPr>
            <w:tcW w:type="dxa" w:w="2860"/>
            <w:tcBorders>
              <w:top w:val="single" w:color="CCCCCC" w:sz="1"/>
              <w:left w:val="single" w:color="CCCCCC" w:sz="1"/>
              <w:bottom w:val="single" w:color="CCCCCC" w:sz="1"/>
              <w:right w:val="single" w:color="CCCCCC" w:sz="1"/>
            </w:tcBorders>
            <w:shd w:fill="1A3C5E"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Answer Owner</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AWS Infrastructure, VPC, ECS, Fargate, Spot Resilience</w:t>
            </w:r>
          </w:p>
        </w:tc>
        <w:tc>
          <w:tcPr>
            <w:tcW w:type="dxa" w:w="2860"/>
            <w:tcBorders>
              <w:top w:val="single" w:color="CCCCCC" w:sz="1"/>
              <w:left w:val="single" w:color="CCCCCC" w:sz="1"/>
              <w:bottom w:val="single" w:color="CCCCCC" w:sz="1"/>
              <w:right w:val="single" w:color="CCCCCC" w:sz="1"/>
            </w:tcBorders>
            <w:shd w:fill="E8F5E9" w:val="clear"/>
            <w:tcMar>
              <w:top w:type="dxa" w:w="70"/>
              <w:left w:type="dxa" w:w="160"/>
              <w:bottom w:type="dxa" w:w="70"/>
              <w:right w:type="dxa" w:w="160"/>
            </w:tcMar>
          </w:tcPr>
          <w:p>
            <w:pPr>
              <w:jc w:val="center"/>
            </w:pPr>
            <w:r>
              <w:rPr>
                <w:rFonts w:ascii="Arial" w:cs="Arial" w:eastAsia="Arial" w:hAnsi="Arial"/>
                <w:b/>
                <w:bCs/>
                <w:color w:val="1E6B2E"/>
                <w:sz w:val="20"/>
                <w:szCs w:val="20"/>
              </w:rPr>
              <w:t xml:space="preserve">Hassan</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Terraform, IaC, State Locking, S3/DynamoDB</w:t>
            </w:r>
          </w:p>
        </w:tc>
        <w:tc>
          <w:tcPr>
            <w:tcW w:type="dxa" w:w="2860"/>
            <w:tcBorders>
              <w:top w:val="single" w:color="CCCCCC" w:sz="1"/>
              <w:left w:val="single" w:color="CCCCCC" w:sz="1"/>
              <w:bottom w:val="single" w:color="CCCCCC" w:sz="1"/>
              <w:right w:val="single" w:color="CCCCCC" w:sz="1"/>
            </w:tcBorders>
            <w:shd w:fill="E8F5E9" w:val="clear"/>
            <w:tcMar>
              <w:top w:type="dxa" w:w="70"/>
              <w:left w:type="dxa" w:w="160"/>
              <w:bottom w:type="dxa" w:w="70"/>
              <w:right w:type="dxa" w:w="160"/>
            </w:tcMar>
          </w:tcPr>
          <w:p>
            <w:pPr>
              <w:jc w:val="center"/>
            </w:pPr>
            <w:r>
              <w:rPr>
                <w:rFonts w:ascii="Arial" w:cs="Arial" w:eastAsia="Arial" w:hAnsi="Arial"/>
                <w:b/>
                <w:bCs/>
                <w:color w:val="1E6B2E"/>
                <w:sz w:val="20"/>
                <w:szCs w:val="20"/>
              </w:rPr>
              <w:t xml:space="preserve">Hassan</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Aqua Trivy Security Gate, DevSecOps</w:t>
            </w:r>
          </w:p>
        </w:tc>
        <w:tc>
          <w:tcPr>
            <w:tcW w:type="dxa" w:w="2860"/>
            <w:tcBorders>
              <w:top w:val="single" w:color="CCCCCC" w:sz="1"/>
              <w:left w:val="single" w:color="CCCCCC" w:sz="1"/>
              <w:bottom w:val="single" w:color="CCCCCC" w:sz="1"/>
              <w:right w:val="single" w:color="CCCCCC" w:sz="1"/>
            </w:tcBorders>
            <w:shd w:fill="E8F5E9" w:val="clear"/>
            <w:tcMar>
              <w:top w:type="dxa" w:w="70"/>
              <w:left w:type="dxa" w:w="160"/>
              <w:bottom w:type="dxa" w:w="70"/>
              <w:right w:type="dxa" w:w="160"/>
            </w:tcMar>
          </w:tcPr>
          <w:p>
            <w:pPr>
              <w:jc w:val="center"/>
            </w:pPr>
            <w:r>
              <w:rPr>
                <w:rFonts w:ascii="Arial" w:cs="Arial" w:eastAsia="Arial" w:hAnsi="Arial"/>
                <w:b/>
                <w:bCs/>
                <w:color w:val="1E6B2E"/>
                <w:sz w:val="20"/>
                <w:szCs w:val="20"/>
              </w:rPr>
              <w:t xml:space="preserve">Hassan</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Infracost, FinOps, Cost Estimation</w:t>
            </w:r>
          </w:p>
        </w:tc>
        <w:tc>
          <w:tcPr>
            <w:tcW w:type="dxa" w:w="2860"/>
            <w:tcBorders>
              <w:top w:val="single" w:color="CCCCCC" w:sz="1"/>
              <w:left w:val="single" w:color="CCCCCC" w:sz="1"/>
              <w:bottom w:val="single" w:color="CCCCCC" w:sz="1"/>
              <w:right w:val="single" w:color="CCCCCC" w:sz="1"/>
            </w:tcBorders>
            <w:shd w:fill="E8F5E9" w:val="clear"/>
            <w:tcMar>
              <w:top w:type="dxa" w:w="70"/>
              <w:left w:type="dxa" w:w="160"/>
              <w:bottom w:type="dxa" w:w="70"/>
              <w:right w:type="dxa" w:w="160"/>
            </w:tcMar>
          </w:tcPr>
          <w:p>
            <w:pPr>
              <w:jc w:val="center"/>
            </w:pPr>
            <w:r>
              <w:rPr>
                <w:rFonts w:ascii="Arial" w:cs="Arial" w:eastAsia="Arial" w:hAnsi="Arial"/>
                <w:b/>
                <w:bCs/>
                <w:color w:val="1E6B2E"/>
                <w:sz w:val="20"/>
                <w:szCs w:val="20"/>
              </w:rPr>
              <w:t xml:space="preserve">Hassan</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EFS, Persistent Storage, KMS Encryption</w:t>
            </w:r>
          </w:p>
        </w:tc>
        <w:tc>
          <w:tcPr>
            <w:tcW w:type="dxa" w:w="2860"/>
            <w:tcBorders>
              <w:top w:val="single" w:color="CCCCCC" w:sz="1"/>
              <w:left w:val="single" w:color="CCCCCC" w:sz="1"/>
              <w:bottom w:val="single" w:color="CCCCCC" w:sz="1"/>
              <w:right w:val="single" w:color="CCCCCC" w:sz="1"/>
            </w:tcBorders>
            <w:shd w:fill="E8F5E9" w:val="clear"/>
            <w:tcMar>
              <w:top w:type="dxa" w:w="70"/>
              <w:left w:type="dxa" w:w="160"/>
              <w:bottom w:type="dxa" w:w="70"/>
              <w:right w:type="dxa" w:w="160"/>
            </w:tcMar>
          </w:tcPr>
          <w:p>
            <w:pPr>
              <w:jc w:val="center"/>
            </w:pPr>
            <w:r>
              <w:rPr>
                <w:rFonts w:ascii="Arial" w:cs="Arial" w:eastAsia="Arial" w:hAnsi="Arial"/>
                <w:b/>
                <w:bCs/>
                <w:color w:val="1E6B2E"/>
                <w:sz w:val="20"/>
                <w:szCs w:val="20"/>
              </w:rPr>
              <w:t xml:space="preserve">Hassan</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NestJS API, System Architecture, Module Design</w:t>
            </w:r>
          </w:p>
        </w:tc>
        <w:tc>
          <w:tcPr>
            <w:tcW w:type="dxa" w:w="2860"/>
            <w:tcBorders>
              <w:top w:val="single" w:color="CCCCCC" w:sz="1"/>
              <w:left w:val="single" w:color="CCCCCC" w:sz="1"/>
              <w:bottom w:val="single" w:color="CCCCCC" w:sz="1"/>
              <w:right w:val="single" w:color="CCCCCC" w:sz="1"/>
            </w:tcBorders>
            <w:shd w:fill="F3E5F5" w:val="clear"/>
            <w:tcMar>
              <w:top w:type="dxa" w:w="70"/>
              <w:left w:type="dxa" w:w="160"/>
              <w:bottom w:type="dxa" w:w="70"/>
              <w:right w:type="dxa" w:w="160"/>
            </w:tcMar>
          </w:tcPr>
          <w:p>
            <w:pPr>
              <w:jc w:val="center"/>
            </w:pPr>
            <w:r>
              <w:rPr>
                <w:rFonts w:ascii="Arial" w:cs="Arial" w:eastAsia="Arial" w:hAnsi="Arial"/>
                <w:b/>
                <w:bCs/>
                <w:color w:val="7B2D8B"/>
                <w:sz w:val="20"/>
                <w:szCs w:val="20"/>
              </w:rPr>
              <w:t xml:space="preserve">Faria</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Redis, BullMQ, Asynchronous Queuing</w:t>
            </w:r>
          </w:p>
        </w:tc>
        <w:tc>
          <w:tcPr>
            <w:tcW w:type="dxa" w:w="2860"/>
            <w:tcBorders>
              <w:top w:val="single" w:color="CCCCCC" w:sz="1"/>
              <w:left w:val="single" w:color="CCCCCC" w:sz="1"/>
              <w:bottom w:val="single" w:color="CCCCCC" w:sz="1"/>
              <w:right w:val="single" w:color="CCCCCC" w:sz="1"/>
            </w:tcBorders>
            <w:shd w:fill="F3E5F5" w:val="clear"/>
            <w:tcMar>
              <w:top w:type="dxa" w:w="70"/>
              <w:left w:type="dxa" w:w="160"/>
              <w:bottom w:type="dxa" w:w="70"/>
              <w:right w:type="dxa" w:w="160"/>
            </w:tcMar>
          </w:tcPr>
          <w:p>
            <w:pPr>
              <w:jc w:val="center"/>
            </w:pPr>
            <w:r>
              <w:rPr>
                <w:rFonts w:ascii="Arial" w:cs="Arial" w:eastAsia="Arial" w:hAnsi="Arial"/>
                <w:b/>
                <w:bCs/>
                <w:color w:val="7B2D8B"/>
                <w:sz w:val="20"/>
                <w:szCs w:val="20"/>
              </w:rPr>
              <w:t xml:space="preserve">Faria</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GitHub OAuth, RBAC, Authentication</w:t>
            </w:r>
          </w:p>
        </w:tc>
        <w:tc>
          <w:tcPr>
            <w:tcW w:type="dxa" w:w="2860"/>
            <w:tcBorders>
              <w:top w:val="single" w:color="CCCCCC" w:sz="1"/>
              <w:left w:val="single" w:color="CCCCCC" w:sz="1"/>
              <w:bottom w:val="single" w:color="CCCCCC" w:sz="1"/>
              <w:right w:val="single" w:color="CCCCCC" w:sz="1"/>
            </w:tcBorders>
            <w:shd w:fill="F3E5F5" w:val="clear"/>
            <w:tcMar>
              <w:top w:type="dxa" w:w="70"/>
              <w:left w:type="dxa" w:w="160"/>
              <w:bottom w:type="dxa" w:w="70"/>
              <w:right w:type="dxa" w:w="160"/>
            </w:tcMar>
          </w:tcPr>
          <w:p>
            <w:pPr>
              <w:jc w:val="center"/>
            </w:pPr>
            <w:r>
              <w:rPr>
                <w:rFonts w:ascii="Arial" w:cs="Arial" w:eastAsia="Arial" w:hAnsi="Arial"/>
                <w:b/>
                <w:bCs/>
                <w:color w:val="7B2D8B"/>
                <w:sz w:val="20"/>
                <w:szCs w:val="20"/>
              </w:rPr>
              <w:t xml:space="preserve">Faria</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PostgreSQL, TypeORM, Audit Logging</w:t>
            </w:r>
          </w:p>
        </w:tc>
        <w:tc>
          <w:tcPr>
            <w:tcW w:type="dxa" w:w="2860"/>
            <w:tcBorders>
              <w:top w:val="single" w:color="CCCCCC" w:sz="1"/>
              <w:left w:val="single" w:color="CCCCCC" w:sz="1"/>
              <w:bottom w:val="single" w:color="CCCCCC" w:sz="1"/>
              <w:right w:val="single" w:color="CCCCCC" w:sz="1"/>
            </w:tcBorders>
            <w:shd w:fill="F3E5F5" w:val="clear"/>
            <w:tcMar>
              <w:top w:type="dxa" w:w="70"/>
              <w:left w:type="dxa" w:w="160"/>
              <w:bottom w:type="dxa" w:w="70"/>
              <w:right w:type="dxa" w:w="160"/>
            </w:tcMar>
          </w:tcPr>
          <w:p>
            <w:pPr>
              <w:jc w:val="center"/>
            </w:pPr>
            <w:r>
              <w:rPr>
                <w:rFonts w:ascii="Arial" w:cs="Arial" w:eastAsia="Arial" w:hAnsi="Arial"/>
                <w:b/>
                <w:bCs/>
                <w:color w:val="7B2D8B"/>
                <w:sz w:val="20"/>
                <w:szCs w:val="20"/>
              </w:rPr>
              <w:t xml:space="preserve">Faria</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Stripe Payment Integration, Subscription Tiers</w:t>
            </w:r>
          </w:p>
        </w:tc>
        <w:tc>
          <w:tcPr>
            <w:tcW w:type="dxa" w:w="2860"/>
            <w:tcBorders>
              <w:top w:val="single" w:color="CCCCCC" w:sz="1"/>
              <w:left w:val="single" w:color="CCCCCC" w:sz="1"/>
              <w:bottom w:val="single" w:color="CCCCCC" w:sz="1"/>
              <w:right w:val="single" w:color="CCCCCC" w:sz="1"/>
            </w:tcBorders>
            <w:shd w:fill="F3E5F5" w:val="clear"/>
            <w:tcMar>
              <w:top w:type="dxa" w:w="70"/>
              <w:left w:type="dxa" w:w="160"/>
              <w:bottom w:type="dxa" w:w="70"/>
              <w:right w:type="dxa" w:w="160"/>
            </w:tcMar>
          </w:tcPr>
          <w:p>
            <w:pPr>
              <w:jc w:val="center"/>
            </w:pPr>
            <w:r>
              <w:rPr>
                <w:rFonts w:ascii="Arial" w:cs="Arial" w:eastAsia="Arial" w:hAnsi="Arial"/>
                <w:b/>
                <w:bCs/>
                <w:color w:val="7B2D8B"/>
                <w:sz w:val="20"/>
                <w:szCs w:val="20"/>
              </w:rPr>
              <w:t xml:space="preserve">Faria</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Project Scope, Academic Contribution, Novelty</w:t>
            </w:r>
          </w:p>
        </w:tc>
        <w:tc>
          <w:tcPr>
            <w:tcW w:type="dxa" w:w="2860"/>
            <w:tcBorders>
              <w:top w:val="single" w:color="CCCCCC" w:sz="1"/>
              <w:left w:val="single" w:color="CCCCCC" w:sz="1"/>
              <w:bottom w:val="single" w:color="CCCCCC" w:sz="1"/>
              <w:right w:val="single" w:color="CCCCCC" w:sz="1"/>
            </w:tcBorders>
            <w:shd w:fill="F3E5F5" w:val="clear"/>
            <w:tcMar>
              <w:top w:type="dxa" w:w="70"/>
              <w:left w:type="dxa" w:w="160"/>
              <w:bottom w:type="dxa" w:w="70"/>
              <w:right w:type="dxa" w:w="160"/>
            </w:tcMar>
          </w:tcPr>
          <w:p>
            <w:pPr>
              <w:jc w:val="center"/>
            </w:pPr>
            <w:r>
              <w:rPr>
                <w:rFonts w:ascii="Arial" w:cs="Arial" w:eastAsia="Arial" w:hAnsi="Arial"/>
                <w:b/>
                <w:bCs/>
                <w:color w:val="7B2D8B"/>
                <w:sz w:val="20"/>
                <w:szCs w:val="20"/>
              </w:rPr>
              <w:t xml:space="preserve">Faria</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Next.js Dashboard, UI/UX, Frontend Architecture</w:t>
            </w:r>
          </w:p>
        </w:tc>
        <w:tc>
          <w:tcPr>
            <w:tcW w:type="dxa" w:w="2860"/>
            <w:tcBorders>
              <w:top w:val="single" w:color="CCCCCC" w:sz="1"/>
              <w:left w:val="single" w:color="CCCCCC" w:sz="1"/>
              <w:bottom w:val="single" w:color="CCCCCC" w:sz="1"/>
              <w:right w:val="single" w:color="CCCCCC" w:sz="1"/>
            </w:tcBorders>
            <w:shd w:fill="FFF3E0" w:val="clear"/>
            <w:tcMar>
              <w:top w:type="dxa" w:w="70"/>
              <w:left w:type="dxa" w:w="160"/>
              <w:bottom w:type="dxa" w:w="70"/>
              <w:right w:type="dxa" w:w="160"/>
            </w:tcMar>
          </w:tcPr>
          <w:p>
            <w:pPr>
              <w:jc w:val="center"/>
            </w:pPr>
            <w:r>
              <w:rPr>
                <w:rFonts w:ascii="Arial" w:cs="Arial" w:eastAsia="Arial" w:hAnsi="Arial"/>
                <w:b/>
                <w:bCs/>
                <w:color w:val="B84C00"/>
                <w:sz w:val="20"/>
                <w:szCs w:val="20"/>
              </w:rPr>
              <w:t xml:space="preserve">Tania</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AI Chatbot, LLM API, Log Parsing</w:t>
            </w:r>
          </w:p>
        </w:tc>
        <w:tc>
          <w:tcPr>
            <w:tcW w:type="dxa" w:w="2860"/>
            <w:tcBorders>
              <w:top w:val="single" w:color="CCCCCC" w:sz="1"/>
              <w:left w:val="single" w:color="CCCCCC" w:sz="1"/>
              <w:bottom w:val="single" w:color="CCCCCC" w:sz="1"/>
              <w:right w:val="single" w:color="CCCCCC" w:sz="1"/>
            </w:tcBorders>
            <w:shd w:fill="FFF3E0" w:val="clear"/>
            <w:tcMar>
              <w:top w:type="dxa" w:w="70"/>
              <w:left w:type="dxa" w:w="160"/>
              <w:bottom w:type="dxa" w:w="70"/>
              <w:right w:type="dxa" w:w="160"/>
            </w:tcMar>
          </w:tcPr>
          <w:p>
            <w:pPr>
              <w:jc w:val="center"/>
            </w:pPr>
            <w:r>
              <w:rPr>
                <w:rFonts w:ascii="Arial" w:cs="Arial" w:eastAsia="Arial" w:hAnsi="Arial"/>
                <w:b/>
                <w:bCs/>
                <w:color w:val="B84C00"/>
                <w:sz w:val="20"/>
                <w:szCs w:val="20"/>
              </w:rPr>
              <w:t xml:space="preserve">Tania</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Server-Sent Events, Real-time Log Streaming</w:t>
            </w:r>
          </w:p>
        </w:tc>
        <w:tc>
          <w:tcPr>
            <w:tcW w:type="dxa" w:w="2860"/>
            <w:tcBorders>
              <w:top w:val="single" w:color="CCCCCC" w:sz="1"/>
              <w:left w:val="single" w:color="CCCCCC" w:sz="1"/>
              <w:bottom w:val="single" w:color="CCCCCC" w:sz="1"/>
              <w:right w:val="single" w:color="CCCCCC" w:sz="1"/>
            </w:tcBorders>
            <w:shd w:fill="FFF3E0" w:val="clear"/>
            <w:tcMar>
              <w:top w:type="dxa" w:w="70"/>
              <w:left w:type="dxa" w:w="160"/>
              <w:bottom w:type="dxa" w:w="70"/>
              <w:right w:type="dxa" w:w="160"/>
            </w:tcMar>
          </w:tcPr>
          <w:p>
            <w:pPr>
              <w:jc w:val="center"/>
            </w:pPr>
            <w:r>
              <w:rPr>
                <w:rFonts w:ascii="Arial" w:cs="Arial" w:eastAsia="Arial" w:hAnsi="Arial"/>
                <w:b/>
                <w:bCs/>
                <w:color w:val="B84C00"/>
                <w:sz w:val="20"/>
                <w:szCs w:val="20"/>
              </w:rPr>
              <w:t xml:space="preserve">Tania</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Prometheus, Monitoring, Observability</w:t>
            </w:r>
          </w:p>
        </w:tc>
        <w:tc>
          <w:tcPr>
            <w:tcW w:type="dxa" w:w="2860"/>
            <w:tcBorders>
              <w:top w:val="single" w:color="CCCCCC" w:sz="1"/>
              <w:left w:val="single" w:color="CCCCCC" w:sz="1"/>
              <w:bottom w:val="single" w:color="CCCCCC" w:sz="1"/>
              <w:right w:val="single" w:color="CCCCCC" w:sz="1"/>
            </w:tcBorders>
            <w:shd w:fill="FFF3E0" w:val="clear"/>
            <w:tcMar>
              <w:top w:type="dxa" w:w="70"/>
              <w:left w:type="dxa" w:w="160"/>
              <w:bottom w:type="dxa" w:w="70"/>
              <w:right w:type="dxa" w:w="160"/>
            </w:tcMar>
          </w:tcPr>
          <w:p>
            <w:pPr>
              <w:jc w:val="center"/>
            </w:pPr>
            <w:r>
              <w:rPr>
                <w:rFonts w:ascii="Arial" w:cs="Arial" w:eastAsia="Arial" w:hAnsi="Arial"/>
                <w:b/>
                <w:bCs/>
                <w:color w:val="B84C00"/>
                <w:sz w:val="20"/>
                <w:szCs w:val="20"/>
              </w:rPr>
              <w:t xml:space="preserve">Tania</w:t>
            </w:r>
          </w:p>
        </w:tc>
      </w:tr>
      <w:tr>
        <w:tc>
          <w:tcPr>
            <w:tcW w:type="dxa" w:w="6500"/>
            <w:tcBorders>
              <w:top w:val="single" w:color="CCCCCC" w:sz="1"/>
              <w:left w:val="single" w:color="CCCCCC" w:sz="1"/>
              <w:bottom w:val="single" w:color="CCCCCC" w:sz="1"/>
              <w:right w:val="single" w:color="CCCCCC" w:sz="1"/>
            </w:tcBorders>
            <w:shd w:fill="FFFFFF" w:val="clear"/>
            <w:tcMar>
              <w:top w:type="dxa" w:w="70"/>
              <w:left w:type="dxa" w:w="160"/>
              <w:bottom w:type="dxa" w:w="70"/>
              <w:right w:type="dxa" w:w="160"/>
            </w:tcMar>
          </w:tcPr>
          <w:p>
            <w:r>
              <w:rPr>
                <w:rFonts w:ascii="Arial" w:cs="Arial" w:eastAsia="Arial" w:hAnsi="Arial"/>
                <w:color w:val="1A1A1A"/>
                <w:sz w:val="20"/>
                <w:szCs w:val="20"/>
              </w:rPr>
              <w:t xml:space="preserve">CI/CD Pipeline Visualization, GitHub Actions</w:t>
            </w:r>
          </w:p>
        </w:tc>
        <w:tc>
          <w:tcPr>
            <w:tcW w:type="dxa" w:w="2860"/>
            <w:tcBorders>
              <w:top w:val="single" w:color="CCCCCC" w:sz="1"/>
              <w:left w:val="single" w:color="CCCCCC" w:sz="1"/>
              <w:bottom w:val="single" w:color="CCCCCC" w:sz="1"/>
              <w:right w:val="single" w:color="CCCCCC" w:sz="1"/>
            </w:tcBorders>
            <w:shd w:fill="FFF3E0" w:val="clear"/>
            <w:tcMar>
              <w:top w:type="dxa" w:w="70"/>
              <w:left w:type="dxa" w:w="160"/>
              <w:bottom w:type="dxa" w:w="70"/>
              <w:right w:type="dxa" w:w="160"/>
            </w:tcMar>
          </w:tcPr>
          <w:p>
            <w:pPr>
              <w:jc w:val="center"/>
            </w:pPr>
            <w:r>
              <w:rPr>
                <w:rFonts w:ascii="Arial" w:cs="Arial" w:eastAsia="Arial" w:hAnsi="Arial"/>
                <w:b/>
                <w:bCs/>
                <w:color w:val="B84C00"/>
                <w:sz w:val="20"/>
                <w:szCs w:val="20"/>
              </w:rPr>
              <w:t xml:space="preserve">Tania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thick" w:color="2E75B6" w:sz="12"/>
              <w:bottom w:val="single" w:color="2E75B6" w:sz="3"/>
              <w:right w:val="single" w:color="2E75B6" w:sz="3"/>
            </w:tcBorders>
            <w:shd w:fill="EAF2FB" w:val="clear"/>
            <w:tcMar>
              <w:top w:type="dxa" w:w="120"/>
              <w:left w:type="dxa" w:w="200"/>
              <w:bottom w:type="dxa" w:w="120"/>
              <w:right w:type="dxa" w:w="200"/>
            </w:tcMar>
          </w:tcPr>
          <w:p>
            <w:r>
              <w:rPr>
                <w:rFonts w:ascii="Arial" w:cs="Arial" w:eastAsia="Arial" w:hAnsi="Arial"/>
                <w:b/>
                <w:bCs/>
                <w:color w:val="2E75B6"/>
                <w:sz w:val="22"/>
                <w:szCs w:val="22"/>
              </w:rPr>
              <w:t xml:space="preserve">REMEMBER DURING DEFENSE</w:t>
            </w:r>
          </w:p>
          <w:p>
            <w:pPr>
              <w:spacing w:before="80"/>
            </w:pPr>
            <w:r>
              <w:rPr>
                <w:rFonts w:ascii="Arial" w:cs="Arial" w:eastAsia="Arial" w:hAnsi="Arial"/>
                <w:sz w:val="20"/>
                <w:szCs w:val="20"/>
              </w:rPr>
              <w:t xml:space="preserve">1.  Listen to the full question before responding. Do not interrupt.</w:t>
            </w:r>
          </w:p>
          <w:p>
            <w:r>
              <w:rPr>
                <w:rFonts w:ascii="Arial" w:cs="Arial" w:eastAsia="Arial" w:hAnsi="Arial"/>
                <w:sz w:val="20"/>
                <w:szCs w:val="20"/>
              </w:rPr>
              <w:t xml:space="preserve">2.  If unsure, say: "We considered this — our approach was X because of Y."</w:t>
            </w:r>
          </w:p>
          <w:p>
            <w:r>
              <w:rPr>
                <w:rFonts w:ascii="Arial" w:cs="Arial" w:eastAsia="Arial" w:hAnsi="Arial"/>
                <w:sz w:val="20"/>
                <w:szCs w:val="20"/>
              </w:rPr>
              <w:t xml:space="preserve">3.  If the question is out of scope, say: "That is listed as future work — we focused on X for this phase."</w:t>
            </w:r>
          </w:p>
          <w:p>
            <w:r>
              <w:rPr>
                <w:rFonts w:ascii="Arial" w:cs="Arial" w:eastAsia="Arial" w:hAnsi="Arial"/>
                <w:sz w:val="20"/>
                <w:szCs w:val="20"/>
              </w:rPr>
              <w:t xml:space="preserve">4.  Let the designated member answer their domain question. Do not interrupt each other.</w:t>
            </w:r>
          </w:p>
          <w:p>
            <w:r>
              <w:rPr>
                <w:rFonts w:ascii="Arial" w:cs="Arial" w:eastAsia="Arial" w:hAnsi="Arial"/>
                <w:sz w:val="20"/>
                <w:szCs w:val="20"/>
              </w:rPr>
              <w:t xml:space="preserve">5.  If a panel member gets an answer wrong in their framing, politely correct them with evidence from the document.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A3C5E"/>
      <w:sz w:val="32"/>
      <w:szCs w:val="32"/>
    </w:rPr>
  </w:style>
  <w:style w:type="paragraph" w:styleId="Heading2">
    <w:name w:val="Heading 2"/>
    <w:basedOn w:val="Normal"/>
    <w:next w:val="Normal"/>
    <w:qFormat/>
    <w:pPr>
      <w:spacing w:before="20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2026-03-05T19:07:16.706Z</dcterms:created>
  <dcterms:modified xsi:type="dcterms:W3CDTF">2026-03-05T19:07:16.708Z</dcterms:modified>
</cp:coreProperties>
</file>

<file path=docProps/custom.xml><?xml version="1.0" encoding="utf-8"?>
<Properties xmlns="http://schemas.openxmlformats.org/officeDocument/2006/custom-properties" xmlns:vt="http://schemas.openxmlformats.org/officeDocument/2006/docPropsVTypes"/>
</file>