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300"/>
              <w:left w:type="dxa" w:w="200"/>
              <w:bottom w:type="dxa" w:w="300"/>
              <w:right w:type="dxa" w:w="200"/>
            </w:tcMar>
          </w:tcPr>
          <w:p>
            <w:pPr>
              <w:spacing w:after="100" w:before="0"/>
              <w:jc w:val="center"/>
            </w:pPr>
            <w:r>
              <w:rPr>
                <w:rFonts w:ascii="Arial" w:cs="Arial" w:eastAsia="Arial" w:hAnsi="Arial"/>
                <w:b/>
                <w:bCs/>
                <w:i w:val="false"/>
                <w:iCs w:val="false"/>
                <w:color w:val="FFFFFF"/>
                <w:sz w:val="36"/>
                <w:szCs w:val="36"/>
              </w:rPr>
              <w:t xml:space="preserve">DeployGuard — FYP Defense Supplement</w:t>
            </w:r>
          </w:p>
          <w:p>
            <w:pPr>
              <w:spacing w:after="100" w:before="0"/>
              <w:jc w:val="center"/>
            </w:pPr>
            <w:r>
              <w:rPr>
                <w:rFonts w:ascii="Arial" w:cs="Arial" w:eastAsia="Arial" w:hAnsi="Arial"/>
                <w:b w:val="false"/>
                <w:bCs w:val="false"/>
                <w:i w:val="false"/>
                <w:iCs w:val="false"/>
                <w:color w:val="BDD7EE"/>
                <w:sz w:val="20"/>
                <w:szCs w:val="20"/>
              </w:rPr>
              <w:t xml:space="preserve">Viva Opening · Weaknesses &amp; Spin · Competitor Talking Points · Technical Jargon Cheat Sheet</w:t>
            </w:r>
          </w:p>
        </w:tc>
      </w:tr>
    </w:tbl>
    <w:p>
      <w:pPr>
        <w:spacing w:after="4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6"/>
              <w:bottom w:val="single" w:color="2E75B6" w:sz="1"/>
              <w:right w:val="single" w:color="2E75B6" w:sz="1"/>
            </w:tcBorders>
            <w:shd w:fill="EAF2FB" w:val="clear"/>
            <w:tcMar>
              <w:top w:type="dxa" w:w="120"/>
              <w:left w:type="dxa" w:w="220"/>
              <w:bottom w:type="dxa" w:w="120"/>
              <w:right w:type="dxa" w:w="220"/>
            </w:tcMar>
          </w:tcPr>
          <w:p>
            <w:pPr>
              <w:spacing w:after="80" w:before="0"/>
              <w:jc w:val="left"/>
            </w:pPr>
            <w:r>
              <w:rPr>
                <w:rFonts w:ascii="Arial" w:cs="Arial" w:eastAsia="Arial" w:hAnsi="Arial"/>
                <w:b/>
                <w:bCs/>
                <w:i w:val="false"/>
                <w:iCs w:val="false"/>
                <w:color w:val="2E75B6"/>
                <w:sz w:val="20"/>
                <w:szCs w:val="20"/>
              </w:rPr>
              <w:t xml:space="preserve">How to use this document</w:t>
            </w:r>
          </w:p>
          <w:p>
            <w:pPr>
              <w:spacing w:after="60" w:before="0"/>
              <w:jc w:val="left"/>
            </w:pPr>
            <w:r>
              <w:rPr>
                <w:rFonts w:ascii="Arial" w:cs="Arial" w:eastAsia="Arial" w:hAnsi="Arial"/>
                <w:b w:val="false"/>
                <w:bCs w:val="false"/>
                <w:i w:val="false"/>
                <w:iCs w:val="false"/>
                <w:color w:val="1A1A1A"/>
                <w:sz w:val="19"/>
                <w:szCs w:val="19"/>
              </w:rPr>
              <w:t xml:space="preserve">This supplement works alongside the Counter-Questions &amp; Answers document.</w:t>
            </w:r>
          </w:p>
          <w:p>
            <w:pPr>
              <w:spacing w:after="60" w:before="0"/>
              <w:jc w:val="left"/>
            </w:pPr>
            <w:r>
              <w:rPr>
                <w:rFonts w:ascii="Arial" w:cs="Arial" w:eastAsia="Arial" w:hAnsi="Arial"/>
                <w:b w:val="false"/>
                <w:bCs w:val="false"/>
                <w:i w:val="false"/>
                <w:iCs w:val="false"/>
                <w:color w:val="1A1A1A"/>
                <w:sz w:val="19"/>
                <w:szCs w:val="19"/>
              </w:rPr>
              <w:t xml:space="preserve">Read Part 1 aloud before your defense so the opening statement feels natural.</w:t>
            </w:r>
          </w:p>
          <w:p>
            <w:pPr>
              <w:spacing w:after="60" w:before="0"/>
              <w:jc w:val="left"/>
            </w:pPr>
            <w:r>
              <w:rPr>
                <w:rFonts w:ascii="Arial" w:cs="Arial" w:eastAsia="Arial" w:hAnsi="Arial"/>
                <w:b w:val="false"/>
                <w:bCs w:val="false"/>
                <w:i w:val="false"/>
                <w:iCs w:val="false"/>
                <w:color w:val="1A1A1A"/>
                <w:sz w:val="19"/>
                <w:szCs w:val="19"/>
              </w:rPr>
              <w:t xml:space="preserve">Study Part 2 so you are never caught off-guard by your own limitations.</w:t>
            </w:r>
          </w:p>
          <w:p>
            <w:pPr>
              <w:spacing w:after="60" w:before="0"/>
              <w:jc w:val="left"/>
            </w:pPr>
            <w:r>
              <w:rPr>
                <w:rFonts w:ascii="Arial" w:cs="Arial" w:eastAsia="Arial" w:hAnsi="Arial"/>
                <w:b w:val="false"/>
                <w:bCs w:val="false"/>
                <w:i w:val="false"/>
                <w:iCs w:val="false"/>
                <w:color w:val="1A1A1A"/>
                <w:sz w:val="19"/>
                <w:szCs w:val="19"/>
              </w:rPr>
              <w:t xml:space="preserve">Memorize the key phrases in Part 3 — panels love seeing you compare confidently.</w:t>
            </w:r>
          </w:p>
          <w:p>
            <w:pPr>
              <w:spacing w:after="60" w:before="0"/>
              <w:jc w:val="left"/>
            </w:pPr>
            <w:r>
              <w:rPr>
                <w:rFonts w:ascii="Arial" w:cs="Arial" w:eastAsia="Arial" w:hAnsi="Arial"/>
                <w:b w:val="false"/>
                <w:bCs w:val="false"/>
                <w:i w:val="false"/>
                <w:iCs w:val="false"/>
                <w:color w:val="1A1A1A"/>
                <w:sz w:val="19"/>
                <w:szCs w:val="19"/>
              </w:rPr>
              <w:t xml:space="preserve">Keep Part 4 as a last-minute revision on the morning of your defense.</w:t>
            </w:r>
          </w:p>
        </w:tc>
      </w:tr>
    </w:tbl>
    <w:p>
      <w:pPr>
        <w:spacing w:after="3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4"/>
                <w:szCs w:val="24"/>
              </w:rPr>
              <w:t xml:space="preserve">PART 1 — VIVA OPENING STATEMENT</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C00" w:sz="1"/>
              <w:left w:val="thick" w:color="B84C00" w:sz="16"/>
              <w:bottom w:val="single" w:color="B84C00" w:sz="1"/>
              <w:right w:val="single" w:color="B84C00" w:sz="1"/>
            </w:tcBorders>
            <w:shd w:fill="FFF3E0" w:val="clear"/>
            <w:tcMar>
              <w:top w:type="dxa" w:w="120"/>
              <w:left w:type="dxa" w:w="220"/>
              <w:bottom w:type="dxa" w:w="120"/>
              <w:right w:type="dxa" w:w="220"/>
            </w:tcMar>
          </w:tcPr>
          <w:p>
            <w:pPr>
              <w:spacing w:after="80" w:before="0"/>
              <w:jc w:val="left"/>
            </w:pPr>
            <w:r>
              <w:rPr>
                <w:rFonts w:ascii="Arial" w:cs="Arial" w:eastAsia="Arial" w:hAnsi="Arial"/>
                <w:b/>
                <w:bCs/>
                <w:i w:val="false"/>
                <w:iCs w:val="false"/>
                <w:color w:val="B84C00"/>
                <w:sz w:val="20"/>
                <w:szCs w:val="20"/>
              </w:rPr>
              <w:t xml:space="preserve">What is this section for?</w:t>
            </w:r>
          </w:p>
          <w:p>
            <w:pPr>
              <w:spacing w:after="60" w:before="0"/>
              <w:jc w:val="left"/>
            </w:pPr>
            <w:r>
              <w:rPr>
                <w:rFonts w:ascii="Arial" w:cs="Arial" w:eastAsia="Arial" w:hAnsi="Arial"/>
                <w:b w:val="false"/>
                <w:bCs w:val="false"/>
                <w:i w:val="false"/>
                <w:iCs w:val="false"/>
                <w:color w:val="1A1A1A"/>
                <w:sz w:val="19"/>
                <w:szCs w:val="19"/>
              </w:rPr>
              <w:t xml:space="preserve">Most students wait nervously for the first question instead of owning the room from the start.</w:t>
            </w:r>
          </w:p>
          <w:p>
            <w:pPr>
              <w:spacing w:after="60" w:before="0"/>
              <w:jc w:val="left"/>
            </w:pPr>
            <w:r>
              <w:rPr>
                <w:rFonts w:ascii="Arial" w:cs="Arial" w:eastAsia="Arial" w:hAnsi="Arial"/>
                <w:b w:val="false"/>
                <w:bCs w:val="false"/>
                <w:i w:val="false"/>
                <w:iCs w:val="false"/>
                <w:color w:val="1A1A1A"/>
                <w:sz w:val="19"/>
                <w:szCs w:val="19"/>
              </w:rPr>
              <w:t xml:space="preserve">A confident, well-structured opening tells the panel: we know what we built, why we built it, and what problem it solves.</w:t>
            </w:r>
          </w:p>
          <w:p>
            <w:pPr>
              <w:spacing w:after="60" w:before="0"/>
              <w:jc w:val="left"/>
            </w:pPr>
            <w:r>
              <w:rPr>
                <w:rFonts w:ascii="Arial" w:cs="Arial" w:eastAsia="Arial" w:hAnsi="Arial"/>
                <w:b w:val="false"/>
                <w:bCs w:val="false"/>
                <w:i w:val="false"/>
                <w:iCs w:val="false"/>
                <w:color w:val="1A1A1A"/>
                <w:sz w:val="19"/>
                <w:szCs w:val="19"/>
              </w:rPr>
              <w:t xml:space="preserve">Deliver this in approximately 3–4 minutes. Speak slowly. Make eye contact.</w:t>
            </w:r>
          </w:p>
          <w:p>
            <w:pPr>
              <w:spacing w:after="60" w:before="0"/>
              <w:jc w:val="left"/>
            </w:pPr>
            <w:r>
              <w:rPr>
                <w:rFonts w:ascii="Arial" w:cs="Arial" w:eastAsia="Arial" w:hAnsi="Arial"/>
                <w:b w:val="false"/>
                <w:bCs w:val="false"/>
                <w:i w:val="false"/>
                <w:iCs w:val="false"/>
                <w:color w:val="1A1A1A"/>
                <w:sz w:val="19"/>
                <w:szCs w:val="19"/>
              </w:rPr>
              <w:t xml:space="preserve">Do NOT read directly from slides. Internalize this, then say it naturally.</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Full Opening Statement (Recommended Speaker: Hassan as Lead, Others join)</w:t>
      </w:r>
    </w:p>
    <w:p>
      <w:pPr>
        <w:spacing w:after="120" w:before="0"/>
        <w:jc w:val="left"/>
      </w:pPr>
      <w:r>
        <w:rPr>
          <w:rFonts w:ascii="Arial" w:cs="Arial" w:eastAsia="Arial" w:hAnsi="Arial"/>
          <w:b/>
          <w:bCs/>
          <w:i w:val="false"/>
          <w:iCs w:val="false"/>
          <w:color w:val="1A1A1A"/>
          <w:sz w:val="20"/>
          <w:szCs w:val="20"/>
        </w:rPr>
        <w:t xml:space="preserve">Respected panel members — good morning / good afternoon.</w:t>
      </w:r>
    </w:p>
    <w:p>
      <w:pPr>
        <w:spacing w:after="140" w:before="0"/>
        <w:jc w:val="left"/>
      </w:pPr>
      <w:r>
        <w:rPr>
          <w:rFonts w:ascii="Arial" w:cs="Arial" w:eastAsia="Arial" w:hAnsi="Arial"/>
          <w:b w:val="false"/>
          <w:bCs w:val="false"/>
          <w:i w:val="false"/>
          <w:iCs w:val="false"/>
          <w:color w:val="1A1A1A"/>
          <w:sz w:val="20"/>
          <w:szCs w:val="20"/>
        </w:rPr>
        <w:t xml:space="preserve">We are here today to present DeployGuard — a reliable repository scanning and deployment orchestration system. Before we answer your questions, we would like to briefly set the context for why this project exists and what it delivers.</w:t>
      </w:r>
    </w:p>
    <w:p>
      <w:pPr>
        <w:spacing w:after="80" w:before="240"/>
        <w:jc w:val="left"/>
      </w:pPr>
      <w:r>
        <w:rPr>
          <w:rFonts w:ascii="Arial" w:cs="Arial" w:eastAsia="Arial" w:hAnsi="Arial"/>
          <w:b/>
          <w:bCs/>
          <w:i w:val="false"/>
          <w:iCs w:val="false"/>
          <w:color w:val="2E75B6"/>
          <w:sz w:val="24"/>
          <w:szCs w:val="24"/>
        </w:rPr>
        <w:t xml:space="preserve">Opening: The Problem (Hassan delivers this)</w:t>
      </w:r>
    </w:p>
    <w:p>
      <w:pPr>
        <w:spacing w:after="100" w:before="0"/>
        <w:jc w:val="left"/>
      </w:pPr>
      <w:r>
        <w:rPr>
          <w:rFonts w:ascii="Arial" w:cs="Arial" w:eastAsia="Arial" w:hAnsi="Arial"/>
          <w:b w:val="false"/>
          <w:bCs w:val="false"/>
          <w:i w:val="false"/>
          <w:iCs w:val="false"/>
          <w:color w:val="1A1A1A"/>
          <w:sz w:val="20"/>
          <w:szCs w:val="20"/>
        </w:rPr>
        <w:t xml:space="preserve">Cloud deployment is no longer optional for modern software businesses. Yet for startups and SMEs — the backbone of Pakistan's growing tech economy — deploying to the cloud remains a painful, expensive, and error-prone process. These teams face three specific problems simultaneously.</w:t>
      </w:r>
    </w:p>
    <w:p>
      <w:pPr>
        <w:spacing w:after="100" w:before="0"/>
        <w:jc w:val="left"/>
      </w:pPr>
      <w:r>
        <w:rPr>
          <w:rFonts w:ascii="Arial" w:cs="Arial" w:eastAsia="Arial" w:hAnsi="Arial"/>
          <w:b w:val="false"/>
          <w:bCs w:val="false"/>
          <w:i w:val="false"/>
          <w:iCs w:val="false"/>
          <w:color w:val="1A1A1A"/>
          <w:sz w:val="20"/>
          <w:szCs w:val="20"/>
        </w:rPr>
        <w:t xml:space="preserve">First: the DevOps skill gap. Properly configuring AWS infrastructure — VPCs, ECS clusters, load balancers, IAM roles — requires years of specialized experience that a three-person startup simply does not have. The alternative, hiring a dedicated DevOps engineer, costs more than most SME development budgets.</w:t>
      </w:r>
    </w:p>
    <w:p>
      <w:pPr>
        <w:spacing w:after="100" w:before="0"/>
        <w:jc w:val="left"/>
      </w:pPr>
      <w:r>
        <w:rPr>
          <w:rFonts w:ascii="Arial" w:cs="Arial" w:eastAsia="Arial" w:hAnsi="Arial"/>
          <w:b w:val="false"/>
          <w:bCs w:val="false"/>
          <w:i w:val="false"/>
          <w:iCs w:val="false"/>
          <w:color w:val="1A1A1A"/>
          <w:sz w:val="20"/>
          <w:szCs w:val="20"/>
        </w:rPr>
        <w:t xml:space="preserve">Second: the security blindspot. When teams use manual deployment scripts or basic CI/CD pipelines, there is no automated mechanism to prevent a container image with a critical vulnerability from reaching production. Security is an afterthought, not a gate.</w:t>
      </w:r>
    </w:p>
    <w:p>
      <w:pPr>
        <w:spacing w:after="140" w:before="0"/>
        <w:jc w:val="left"/>
      </w:pPr>
      <w:r>
        <w:rPr>
          <w:rFonts w:ascii="Arial" w:cs="Arial" w:eastAsia="Arial" w:hAnsi="Arial"/>
          <w:b w:val="false"/>
          <w:bCs w:val="false"/>
          <w:i w:val="false"/>
          <w:iCs w:val="false"/>
          <w:color w:val="1A1A1A"/>
          <w:sz w:val="20"/>
          <w:szCs w:val="20"/>
        </w:rPr>
        <w:t xml:space="preserve">Third: bill shock. Existing managed platforms are either expensive at scale, or they do not show you the estimated cost before deploying. Teams have no financial transparency until the AWS invoice arrives at the end of the month.</w:t>
      </w:r>
    </w:p>
    <w:p>
      <w:pPr>
        <w:spacing w:after="80" w:before="240"/>
        <w:jc w:val="left"/>
      </w:pPr>
      <w:r>
        <w:rPr>
          <w:rFonts w:ascii="Arial" w:cs="Arial" w:eastAsia="Arial" w:hAnsi="Arial"/>
          <w:b/>
          <w:bCs/>
          <w:i w:val="false"/>
          <w:iCs w:val="false"/>
          <w:color w:val="2E75B6"/>
          <w:sz w:val="24"/>
          <w:szCs w:val="24"/>
        </w:rPr>
        <w:t xml:space="preserve">The Solution (Faria delivers this)</w:t>
      </w:r>
    </w:p>
    <w:p>
      <w:pPr>
        <w:spacing w:after="100" w:before="0"/>
        <w:jc w:val="left"/>
      </w:pPr>
      <w:r>
        <w:rPr>
          <w:rFonts w:ascii="Arial" w:cs="Arial" w:eastAsia="Arial" w:hAnsi="Arial"/>
          <w:b w:val="false"/>
          <w:bCs w:val="false"/>
          <w:i w:val="false"/>
          <w:iCs w:val="false"/>
          <w:color w:val="1A1A1A"/>
          <w:sz w:val="20"/>
          <w:szCs w:val="20"/>
        </w:rPr>
        <w:t xml:space="preserve">DeployGuard is our answer to all three problems — and critically, it addresses them in a single, unified platform.</w:t>
      </w:r>
    </w:p>
    <w:p>
      <w:pPr>
        <w:spacing w:after="100" w:before="0"/>
        <w:jc w:val="left"/>
      </w:pPr>
      <w:r>
        <w:rPr>
          <w:rFonts w:ascii="Arial" w:cs="Arial" w:eastAsia="Arial" w:hAnsi="Arial"/>
          <w:b w:val="false"/>
          <w:bCs w:val="false"/>
          <w:i w:val="false"/>
          <w:iCs w:val="false"/>
          <w:color w:val="1A1A1A"/>
          <w:sz w:val="20"/>
          <w:szCs w:val="20"/>
        </w:rPr>
        <w:t xml:space="preserve">The platform works in three stages. A user links their GitHub repository to DeployGuard. Our rule-based stack detection engine performs a shallow clone, scans the repository's file signatures, and automatically maps the detected framework to a pre-tested, security-hardened Docker template. No manual Dockerfile writing. No configuration. Zero human error in containerization.</w:t>
      </w:r>
    </w:p>
    <w:p>
      <w:pPr>
        <w:spacing w:after="100" w:before="0"/>
        <w:jc w:val="left"/>
      </w:pPr>
      <w:r>
        <w:rPr>
          <w:rFonts w:ascii="Arial" w:cs="Arial" w:eastAsia="Arial" w:hAnsi="Arial"/>
          <w:b w:val="false"/>
          <w:bCs w:val="false"/>
          <w:i w:val="false"/>
          <w:iCs w:val="false"/>
          <w:color w:val="1A1A1A"/>
          <w:sz w:val="20"/>
          <w:szCs w:val="20"/>
        </w:rPr>
        <w:t xml:space="preserve">Before a single AWS resource is provisioned, the system runs two mandatory gates. First, Aqua Trivy scans the container image for critical and high-severity vulnerabilities. If any are found, the deployment is blocked immediately — the user cannot override this. Second, Infracost generates a cost estimate from the Terraform execution plan and requires the user's explicit approval before any infrastructure spend is incurred.</w:t>
      </w:r>
    </w:p>
    <w:p>
      <w:pPr>
        <w:spacing w:after="140" w:before="0"/>
        <w:jc w:val="left"/>
      </w:pPr>
      <w:r>
        <w:rPr>
          <w:rFonts w:ascii="Arial" w:cs="Arial" w:eastAsia="Arial" w:hAnsi="Arial"/>
          <w:b w:val="false"/>
          <w:bCs w:val="false"/>
          <w:i w:val="false"/>
          <w:iCs w:val="false"/>
          <w:color w:val="1A1A1A"/>
          <w:sz w:val="20"/>
          <w:szCs w:val="20"/>
        </w:rPr>
        <w:t xml:space="preserve">Once approved, HashiCorp Terraform provisions the full AWS networking stack — VPC, subnets, ECS Fargate, Application Load Balancer, and optional EFS persistent storage. Deployments use Fargate Spot instances, which typically cost 60 to 70 percent less than On-Demand compute.</w:t>
      </w:r>
    </w:p>
    <w:p>
      <w:pPr>
        <w:spacing w:after="80" w:before="240"/>
        <w:jc w:val="left"/>
      </w:pPr>
      <w:r>
        <w:rPr>
          <w:rFonts w:ascii="Arial" w:cs="Arial" w:eastAsia="Arial" w:hAnsi="Arial"/>
          <w:b/>
          <w:bCs/>
          <w:i w:val="false"/>
          <w:iCs w:val="false"/>
          <w:color w:val="2E75B6"/>
          <w:sz w:val="24"/>
          <w:szCs w:val="24"/>
        </w:rPr>
        <w:t xml:space="preserve">The AI Layer (Tania delivers this)</w:t>
      </w:r>
    </w:p>
    <w:p>
      <w:pPr>
        <w:spacing w:after="100" w:before="0"/>
        <w:jc w:val="left"/>
      </w:pPr>
      <w:r>
        <w:rPr>
          <w:rFonts w:ascii="Arial" w:cs="Arial" w:eastAsia="Arial" w:hAnsi="Arial"/>
          <w:b w:val="false"/>
          <w:bCs w:val="false"/>
          <w:i w:val="false"/>
          <w:iCs w:val="false"/>
          <w:color w:val="1A1A1A"/>
          <w:sz w:val="20"/>
          <w:szCs w:val="20"/>
        </w:rPr>
        <w:t xml:space="preserve">We built a final layer on top of this pipeline specifically for the developer experience. When a deployment fails — whether due to a Docker build error, a Terraform apply issue, or a Trivy block — our AI-powered chatbot automatically ingests the failed log and presents the developer with a plain-English explanation of what went wrong and step-by-step remediation instructions.</w:t>
      </w:r>
    </w:p>
    <w:p>
      <w:pPr>
        <w:spacing w:after="100" w:before="0"/>
        <w:jc w:val="left"/>
      </w:pPr>
      <w:r>
        <w:rPr>
          <w:rFonts w:ascii="Arial" w:cs="Arial" w:eastAsia="Arial" w:hAnsi="Arial"/>
          <w:b w:val="false"/>
          <w:bCs w:val="false"/>
          <w:i w:val="false"/>
          <w:iCs w:val="false"/>
          <w:color w:val="1A1A1A"/>
          <w:sz w:val="20"/>
          <w:szCs w:val="20"/>
        </w:rPr>
        <w:t xml:space="preserve">The dashboard provides real-time visibility into every pipeline stage — build times, Trivy scan results, Terraform provisioning status, and live ECS task logs streamed via Server-Sent Events. Prometheus plots CPU, memory, and HTTP latency metrics in real time.</w:t>
      </w:r>
    </w:p>
    <w:p>
      <w:pPr>
        <w:spacing w:after="140" w:before="0"/>
        <w:jc w:val="left"/>
      </w:pPr>
      <w:r>
        <w:rPr>
          <w:rFonts w:ascii="Arial" w:cs="Arial" w:eastAsia="Arial" w:hAnsi="Arial"/>
          <w:b w:val="false"/>
          <w:bCs w:val="false"/>
          <w:i w:val="false"/>
          <w:iCs w:val="false"/>
          <w:color w:val="1A1A1A"/>
          <w:sz w:val="20"/>
          <w:szCs w:val="20"/>
        </w:rPr>
        <w:t xml:space="preserve">Finally, because we believe in zero vendor lock-in, users can export their entire infrastructure as a Terraform zip archive at any time — giving them 100% ownership of their cloud resources, independent of our platform.</w:t>
      </w:r>
    </w:p>
    <w:p>
      <w:pPr>
        <w:spacing w:after="80" w:before="240"/>
        <w:jc w:val="left"/>
      </w:pPr>
      <w:r>
        <w:rPr>
          <w:rFonts w:ascii="Arial" w:cs="Arial" w:eastAsia="Arial" w:hAnsi="Arial"/>
          <w:b/>
          <w:bCs/>
          <w:i w:val="false"/>
          <w:iCs w:val="false"/>
          <w:color w:val="2E75B6"/>
          <w:sz w:val="24"/>
          <w:szCs w:val="24"/>
        </w:rPr>
        <w:t xml:space="preserve">Closing the Opening (Any member)</w:t>
      </w:r>
    </w:p>
    <w:p>
      <w:pPr>
        <w:spacing w:after="100" w:before="0"/>
        <w:jc w:val="left"/>
      </w:pPr>
      <w:r>
        <w:rPr>
          <w:rFonts w:ascii="Arial" w:cs="Arial" w:eastAsia="Arial" w:hAnsi="Arial"/>
          <w:b w:val="false"/>
          <w:bCs w:val="false"/>
          <w:i w:val="false"/>
          <w:iCs w:val="false"/>
          <w:color w:val="1A1A1A"/>
          <w:sz w:val="20"/>
          <w:szCs w:val="20"/>
        </w:rPr>
        <w:t xml:space="preserve">In summary, DeployGuard collapses what currently requires a dedicated DevOps engineer, a security toolchain, and a FinOps consultant into a single, accessible web platform. It is enterprise-grade DevSecOps, made practical for teams of three.</w:t>
      </w:r>
    </w:p>
    <w:p>
      <w:pPr>
        <w:spacing w:after="200" w:before="0"/>
        <w:jc w:val="left"/>
      </w:pPr>
      <w:r>
        <w:rPr>
          <w:rFonts w:ascii="Arial" w:cs="Arial" w:eastAsia="Arial" w:hAnsi="Arial"/>
          <w:b/>
          <w:bCs/>
          <w:i w:val="false"/>
          <w:iCs w:val="false"/>
          <w:color w:val="1A1A1A"/>
          <w:sz w:val="20"/>
          <w:szCs w:val="20"/>
        </w:rPr>
        <w:t xml:space="preserve">We are ready for your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thick" w:color="1E6B2E" w:sz="16"/>
              <w:bottom w:val="single" w:color="1E6B2E" w:sz="1"/>
              <w:right w:val="single" w:color="1E6B2E" w:sz="1"/>
            </w:tcBorders>
            <w:shd w:fill="E8F5E9" w:val="clear"/>
            <w:tcMar>
              <w:top w:type="dxa" w:w="120"/>
              <w:left w:type="dxa" w:w="220"/>
              <w:bottom w:type="dxa" w:w="120"/>
              <w:right w:type="dxa" w:w="220"/>
            </w:tcMar>
          </w:tcPr>
          <w:p>
            <w:pPr>
              <w:spacing w:after="80" w:before="0"/>
              <w:jc w:val="left"/>
            </w:pPr>
            <w:r>
              <w:rPr>
                <w:rFonts w:ascii="Arial" w:cs="Arial" w:eastAsia="Arial" w:hAnsi="Arial"/>
                <w:b/>
                <w:bCs/>
                <w:i w:val="false"/>
                <w:iCs w:val="false"/>
                <w:color w:val="1E6B2E"/>
                <w:sz w:val="20"/>
                <w:szCs w:val="20"/>
              </w:rPr>
              <w:t xml:space="preserve">Delivery Tips</w:t>
            </w:r>
          </w:p>
          <w:p>
            <w:pPr>
              <w:spacing w:after="60" w:before="0"/>
              <w:jc w:val="left"/>
            </w:pPr>
            <w:r>
              <w:rPr>
                <w:rFonts w:ascii="Arial" w:cs="Arial" w:eastAsia="Arial" w:hAnsi="Arial"/>
                <w:b w:val="false"/>
                <w:bCs w:val="false"/>
                <w:i w:val="false"/>
                <w:iCs w:val="false"/>
                <w:color w:val="1A1A1A"/>
                <w:sz w:val="19"/>
                <w:szCs w:val="19"/>
              </w:rPr>
              <w:t xml:space="preserve">Hassan introduces the problem — he owns the infrastructure pain, so he speaks with the most conviction here.</w:t>
            </w:r>
          </w:p>
          <w:p>
            <w:pPr>
              <w:spacing w:after="60" w:before="0"/>
              <w:jc w:val="left"/>
            </w:pPr>
            <w:r>
              <w:rPr>
                <w:rFonts w:ascii="Arial" w:cs="Arial" w:eastAsia="Arial" w:hAnsi="Arial"/>
                <w:b w:val="false"/>
                <w:bCs w:val="false"/>
                <w:i w:val="false"/>
                <w:iCs w:val="false"/>
                <w:color w:val="1A1A1A"/>
                <w:sz w:val="19"/>
                <w:szCs w:val="19"/>
              </w:rPr>
              <w:t xml:space="preserve">Faria explains the pipeline solution — she built the backend orchestration, so this is her natural domain.</w:t>
            </w:r>
          </w:p>
          <w:p>
            <w:pPr>
              <w:spacing w:after="60" w:before="0"/>
              <w:jc w:val="left"/>
            </w:pPr>
            <w:r>
              <w:rPr>
                <w:rFonts w:ascii="Arial" w:cs="Arial" w:eastAsia="Arial" w:hAnsi="Arial"/>
                <w:b w:val="false"/>
                <w:bCs w:val="false"/>
                <w:i w:val="false"/>
                <w:iCs w:val="false"/>
                <w:color w:val="1A1A1A"/>
                <w:sz w:val="19"/>
                <w:szCs w:val="19"/>
              </w:rPr>
              <w:t xml:space="preserve">Tania closes with the AI layer and dashboard — she owns these modules directly.</w:t>
            </w:r>
          </w:p>
          <w:p>
            <w:pPr>
              <w:spacing w:after="60" w:before="0"/>
              <w:jc w:val="left"/>
            </w:pPr>
            <w:r>
              <w:rPr>
                <w:rFonts w:ascii="Arial" w:cs="Arial" w:eastAsia="Arial" w:hAnsi="Arial"/>
                <w:b w:val="false"/>
                <w:bCs w:val="false"/>
                <w:i w:val="false"/>
                <w:iCs w:val="false"/>
                <w:color w:val="1A1A1A"/>
                <w:sz w:val="19"/>
                <w:szCs w:val="19"/>
              </w:rPr>
              <w:t xml:space="preserve">Pause for 2 seconds between each section change. It signals structure and confidence.</w:t>
            </w:r>
          </w:p>
          <w:p>
            <w:pPr>
              <w:spacing w:after="60" w:before="0"/>
              <w:jc w:val="left"/>
            </w:pPr>
            <w:r>
              <w:rPr>
                <w:rFonts w:ascii="Arial" w:cs="Arial" w:eastAsia="Arial" w:hAnsi="Arial"/>
                <w:b w:val="false"/>
                <w:bCs w:val="false"/>
                <w:i w:val="false"/>
                <w:iCs w:val="false"/>
                <w:color w:val="1A1A1A"/>
                <w:sz w:val="19"/>
                <w:szCs w:val="19"/>
              </w:rPr>
              <w:t xml:space="preserve">If you are nervous, slow down by 20%. You will still sound normal and much more composed.</w:t>
            </w:r>
          </w:p>
        </w:tc>
      </w:tr>
    </w:tbl>
    <w:p>
      <w:pPr>
        <w:spacing w:after="3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4"/>
                <w:szCs w:val="24"/>
              </w:rPr>
              <w:t xml:space="preserve">PART 2 — KNOWN WEAKNESSES &amp; HOW TO SPIN THEM CONFIDENTLY</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1"/>
              <w:left w:val="thick" w:color="D32F2F" w:sz="16"/>
              <w:bottom w:val="single" w:color="D32F2F" w:sz="1"/>
              <w:right w:val="single" w:color="D32F2F" w:sz="1"/>
            </w:tcBorders>
            <w:shd w:fill="FDECEA" w:val="clear"/>
            <w:tcMar>
              <w:top w:type="dxa" w:w="120"/>
              <w:left w:type="dxa" w:w="220"/>
              <w:bottom w:type="dxa" w:w="120"/>
              <w:right w:type="dxa" w:w="220"/>
            </w:tcMar>
          </w:tcPr>
          <w:p>
            <w:pPr>
              <w:spacing w:after="80" w:before="0"/>
              <w:jc w:val="left"/>
            </w:pPr>
            <w:r>
              <w:rPr>
                <w:rFonts w:ascii="Arial" w:cs="Arial" w:eastAsia="Arial" w:hAnsi="Arial"/>
                <w:b/>
                <w:bCs/>
                <w:i w:val="false"/>
                <w:iCs w:val="false"/>
                <w:color w:val="D32F2F"/>
                <w:sz w:val="20"/>
                <w:szCs w:val="20"/>
              </w:rPr>
              <w:t xml:space="preserve">Why you must prepare for this</w:t>
            </w:r>
          </w:p>
          <w:p>
            <w:pPr>
              <w:spacing w:after="60" w:before="0"/>
              <w:jc w:val="left"/>
            </w:pPr>
            <w:r>
              <w:rPr>
                <w:rFonts w:ascii="Arial" w:cs="Arial" w:eastAsia="Arial" w:hAnsi="Arial"/>
                <w:b w:val="false"/>
                <w:bCs w:val="false"/>
                <w:i w:val="false"/>
                <w:iCs w:val="false"/>
                <w:color w:val="1A1A1A"/>
                <w:sz w:val="19"/>
                <w:szCs w:val="19"/>
              </w:rPr>
              <w:t xml:space="preserve">The panel's job is to find holes. The worst thing you can do is be surprised by a weakness you already knew about.</w:t>
            </w:r>
          </w:p>
          <w:p>
            <w:pPr>
              <w:spacing w:after="60" w:before="0"/>
              <w:jc w:val="left"/>
            </w:pPr>
            <w:r>
              <w:rPr>
                <w:rFonts w:ascii="Arial" w:cs="Arial" w:eastAsia="Arial" w:hAnsi="Arial"/>
                <w:b w:val="false"/>
                <w:bCs w:val="false"/>
                <w:i w:val="false"/>
                <w:iCs w:val="false"/>
                <w:color w:val="1A1A1A"/>
                <w:sz w:val="19"/>
                <w:szCs w:val="19"/>
              </w:rPr>
              <w:t xml:space="preserve">Every system has limitations. Acknowledging them maturely — and framing them as deliberate, reasoned scope decisions — is a sign of engineering judgement, not failure.</w:t>
            </w:r>
          </w:p>
          <w:p>
            <w:pPr>
              <w:spacing w:after="60" w:before="0"/>
              <w:jc w:val="left"/>
            </w:pPr>
            <w:r>
              <w:rPr>
                <w:rFonts w:ascii="Arial" w:cs="Arial" w:eastAsia="Arial" w:hAnsi="Arial"/>
                <w:b w:val="false"/>
                <w:bCs w:val="false"/>
                <w:i w:val="false"/>
                <w:iCs w:val="false"/>
                <w:color w:val="1A1A1A"/>
                <w:sz w:val="19"/>
                <w:szCs w:val="19"/>
              </w:rPr>
              <w:t xml:space="preserve">The formula is always: Acknowledge → Reason → Mitigation → Future Work.</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B84C00"/>
                <w:sz w:val="22"/>
                <w:szCs w:val="22"/>
              </w:rPr>
              <w:t xml:space="preserve">Weakness 1 — AWS Only (No Azure or GCP Support)</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Your system is limited to AWS. That immediately excludes a large portion of the enterprise market.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This is true. DeployGuard's Terraform modules are specifically engineered for AWS APIs — ECS, Fargate, ECR, S3, DynamoDB, EFS, CloudMap, EventBridge. Supporting Azure or GCP would require entirely separate Terraform provider modules, different IAM models, and different container orchestration APIs.</w:t>
            </w:r>
          </w:p>
          <w:p>
            <w:pPr>
              <w:spacing w:after="0" w:before="0"/>
              <w:jc w:val="left"/>
            </w:pPr>
            <w:r>
              <w:rPr>
                <w:rFonts w:ascii="Arial" w:cs="Arial" w:eastAsia="Arial" w:hAnsi="Arial"/>
                <w:b/>
                <w:bCs/>
                <w:i w:val="false"/>
                <w:iCs w:val="false"/>
                <w:color w:val="B84C00"/>
                <w:sz w:val="19"/>
                <w:szCs w:val="19"/>
              </w:rPr>
              <w:t xml:space="preserve">HOW TO SPIN IT:  </w:t>
            </w:r>
            <w:r>
              <w:rPr>
                <w:rFonts w:ascii="Arial" w:cs="Arial" w:eastAsia="Arial" w:hAnsi="Arial"/>
                <w:b w:val="false"/>
                <w:bCs w:val="false"/>
                <w:i w:val="false"/>
                <w:iCs w:val="false"/>
                <w:color w:val="1A1A1A"/>
                <w:sz w:val="19"/>
                <w:szCs w:val="19"/>
              </w:rPr>
              <w:t xml:space="preserve">This was a deliberate architectural decision. Depth over breadth. AWS holds over 30% of global cloud market share and is the dominant provider for Pakistani tech companies and startups. By building deep AWS-native integrations, we deliver features that a generic multi-cloud tool simply cannot — such as Fargate Spot Interruption handling via EventBridge and DynamoDB-based state locking. Multi-cloud support is a clearly documented future scope item that the modular Terraform engine can accommodate as an extension.</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7B2D8B"/>
                <w:sz w:val="22"/>
                <w:szCs w:val="22"/>
              </w:rPr>
              <w:t xml:space="preserve">Weakness 2 — GitHub Only (No GitLab or Bitbucket)</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Many enterprises use GitLab or Bitbucket. Your platform excludes them.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Currently, the CI/CD pipeline and OAuth authentication are built specifically for GitHub's API, webhook events, and GitHub Actions workflow triggers.</w:t>
            </w:r>
          </w:p>
          <w:p>
            <w:pPr>
              <w:spacing w:after="0" w:before="0"/>
              <w:jc w:val="left"/>
            </w:pPr>
            <w:r>
              <w:rPr>
                <w:rFonts w:ascii="Arial" w:cs="Arial" w:eastAsia="Arial" w:hAnsi="Arial"/>
                <w:b/>
                <w:bCs/>
                <w:i w:val="false"/>
                <w:iCs w:val="false"/>
                <w:color w:val="7B2D8B"/>
                <w:sz w:val="19"/>
                <w:szCs w:val="19"/>
              </w:rPr>
              <w:t xml:space="preserve">HOW TO SPIN IT:  </w:t>
            </w:r>
            <w:r>
              <w:rPr>
                <w:rFonts w:ascii="Arial" w:cs="Arial" w:eastAsia="Arial" w:hAnsi="Arial"/>
                <w:b w:val="false"/>
                <w:bCs w:val="false"/>
                <w:i w:val="false"/>
                <w:iCs w:val="false"/>
                <w:color w:val="1A1A1A"/>
                <w:sz w:val="19"/>
                <w:szCs w:val="19"/>
              </w:rPr>
              <w:t xml:space="preserve">GitHub has the largest global developer base and is the most widely used platform among startups — our primary target users. The repository ingestion module uses shallow Git clones over standard HTTPS, which is protocol-agnostic. The webhook and OAuth layers are the only GitHub-specific components, and both are cleanly abstracted in separate NestJS modules. Adding GitLab or Bitbucket support is a matter of swapping the OAuth provider and webhook handler — it does not require rearchitecting the core orchestration engine.</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1E6B2E"/>
                <w:sz w:val="22"/>
                <w:szCs w:val="22"/>
              </w:rPr>
              <w:t xml:space="preserve">Weakness 3 — Template Mapping Has Boundaries</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What if someone uses a niche framework you have not templated? The system is useless for them.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The rule-based engine can only containerize frameworks for which we have pre-tested Docker templates in our registry. Highly unconventional or proprietary stacks are not automatically supported.</w:t>
            </w:r>
          </w:p>
          <w:p>
            <w:pPr>
              <w:spacing w:after="0" w:before="0"/>
              <w:jc w:val="left"/>
            </w:pPr>
            <w:r>
              <w:rPr>
                <w:rFonts w:ascii="Arial" w:cs="Arial" w:eastAsia="Arial" w:hAnsi="Arial"/>
                <w:b/>
                <w:bCs/>
                <w:i w:val="false"/>
                <w:iCs w:val="false"/>
                <w:color w:val="1E6B2E"/>
                <w:sz w:val="19"/>
                <w:szCs w:val="19"/>
              </w:rPr>
              <w:t xml:space="preserve">HOW TO SPIN IT:  </w:t>
            </w:r>
            <w:r>
              <w:rPr>
                <w:rFonts w:ascii="Arial" w:cs="Arial" w:eastAsia="Arial" w:hAnsi="Arial"/>
                <w:b w:val="false"/>
                <w:bCs w:val="false"/>
                <w:i w:val="false"/>
                <w:iCs w:val="false"/>
                <w:color w:val="1A1A1A"/>
                <w:sz w:val="19"/>
                <w:szCs w:val="19"/>
              </w:rPr>
              <w:t xml:space="preserve">This boundary is intentional and explicitly documented. For these cases, the system detects a user-provided Dockerfile in the repository root and falls back to using it directly — the same pattern used by Heroku, Railway, and Netlify. Our template registry covers Node.js, Python, Go, Java Spring Boot, and static frontends — the frameworks used by the overwhelming majority of SME projects. Expanding the template registry is a structured, low-risk future task: a new template is simply a YAML configuration file mapped to a Dockerfile, not an architectural change.</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1E6B2E"/>
                <w:sz w:val="22"/>
                <w:szCs w:val="22"/>
              </w:rPr>
              <w:t xml:space="preserve">Weakness 4 — Fargate Spot Interruptions</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Spot instances can be reclaimed anytime. This is unsuitable for production systems that need guaranteed uptime.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AWS can reclaim Fargate Spot capacity during regional capacity shortages with a 2-minute interruption notice. This is a real operational risk.</w:t>
            </w:r>
          </w:p>
          <w:p>
            <w:pPr>
              <w:spacing w:after="0" w:before="0"/>
              <w:jc w:val="left"/>
            </w:pPr>
            <w:r>
              <w:rPr>
                <w:rFonts w:ascii="Arial" w:cs="Arial" w:eastAsia="Arial" w:hAnsi="Arial"/>
                <w:b/>
                <w:bCs/>
                <w:i w:val="false"/>
                <w:iCs w:val="false"/>
                <w:color w:val="1E6B2E"/>
                <w:sz w:val="19"/>
                <w:szCs w:val="19"/>
              </w:rPr>
              <w:t xml:space="preserve">HOW TO SPIN IT:  </w:t>
            </w:r>
            <w:r>
              <w:rPr>
                <w:rFonts w:ascii="Arial" w:cs="Arial" w:eastAsia="Arial" w:hAnsi="Arial"/>
                <w:b w:val="false"/>
                <w:bCs w:val="false"/>
                <w:i w:val="false"/>
                <w:iCs w:val="false"/>
                <w:color w:val="1A1A1A"/>
                <w:sz w:val="19"/>
                <w:szCs w:val="19"/>
              </w:rPr>
              <w:t xml:space="preserve">We engineered a specific mitigation for this. DeployGuard subscribes to AWS EventBridge Spot Interruption notices in real time. The moment a 2-minute warning is received, the orchestration engine immediately provisions a replacement task on On-Demand capacity before the Spot task is terminated. The ALB continues routing traffic to healthy tasks throughout this process. Stateful data lives on Amazon EFS, not in the container, so no data is lost during a Spot reclaim event. This resilience pattern is a documented AWS best practice — we implement it natively. For workloads where even 2-minute resilience windows are unacceptable, users can configure On-Demand capacity at the cost of losing the Spot discount.</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1E6B2E"/>
                <w:sz w:val="22"/>
                <w:szCs w:val="22"/>
              </w:rPr>
              <w:t xml:space="preserve">Weakness 5 — Security Scanning is OS-Level Only (No SAST)</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Trivy only scans container packages. Application-level SQL injection and XSS vulnerabilities are completely ignored.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Aqua Trivy performs OS package and dependency CVE scanning. It does not perform Static Application Security Testing for application-level logic vulnerabilities.</w:t>
            </w:r>
          </w:p>
          <w:p>
            <w:pPr>
              <w:spacing w:after="0" w:before="0"/>
              <w:jc w:val="left"/>
            </w:pPr>
            <w:r>
              <w:rPr>
                <w:rFonts w:ascii="Arial" w:cs="Arial" w:eastAsia="Arial" w:hAnsi="Arial"/>
                <w:b/>
                <w:bCs/>
                <w:i w:val="false"/>
                <w:iCs w:val="false"/>
                <w:color w:val="1E6B2E"/>
                <w:sz w:val="19"/>
                <w:szCs w:val="19"/>
              </w:rPr>
              <w:t xml:space="preserve">HOW TO SPIN IT:  </w:t>
            </w:r>
            <w:r>
              <w:rPr>
                <w:rFonts w:ascii="Arial" w:cs="Arial" w:eastAsia="Arial" w:hAnsi="Arial"/>
                <w:b w:val="false"/>
                <w:bCs w:val="false"/>
                <w:i w:val="false"/>
                <w:iCs w:val="false"/>
                <w:color w:val="1A1A1A"/>
                <w:sz w:val="19"/>
                <w:szCs w:val="19"/>
              </w:rPr>
              <w:t xml:space="preserve">SAST tools like SonarQube operate at the source code level and are a fundamentally different category of tooling with different integration points. Our security focus was on container-level hardening — preventing the deployment of images with known, patchable CVEs — which is the most common attack vector for containerized workloads according to industry reports. The shift-left security gate we enforce already places DeployGuard significantly ahead of SMEs with no automated scanning whatsoever. SAST integration is documented as a future enhancement and would require adding a SonarQube stage to the GitHub Actions workflow — a well-defined, scoped addition.</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1E6B2E"/>
                <w:sz w:val="22"/>
                <w:szCs w:val="22"/>
              </w:rPr>
              <w:t xml:space="preserve">Weakness 6 — Infracost Estimates Are Not Exact Bills</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AWS bills depend on actual usage — data transfer, request counts, storage growth. Your cost estimate cannot be trusted.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Infracost provides estimates based on defined Terraform resources and static AWS pricing data. Variable costs such as outbound data transfer, NAT Gateway data processing, and CloudWatch log ingestion are usage-dependent and cannot be pre-calculated with certainty.</w:t>
            </w:r>
          </w:p>
          <w:p>
            <w:pPr>
              <w:spacing w:after="0" w:before="0"/>
              <w:jc w:val="left"/>
            </w:pPr>
            <w:r>
              <w:rPr>
                <w:rFonts w:ascii="Arial" w:cs="Arial" w:eastAsia="Arial" w:hAnsi="Arial"/>
                <w:b/>
                <w:bCs/>
                <w:i w:val="false"/>
                <w:iCs w:val="false"/>
                <w:color w:val="1E6B2E"/>
                <w:sz w:val="19"/>
                <w:szCs w:val="19"/>
              </w:rPr>
              <w:t xml:space="preserve">HOW TO SPIN IT:  </w:t>
            </w:r>
            <w:r>
              <w:rPr>
                <w:rFonts w:ascii="Arial" w:cs="Arial" w:eastAsia="Arial" w:hAnsi="Arial"/>
                <w:b w:val="false"/>
                <w:bCs w:val="false"/>
                <w:i w:val="false"/>
                <w:iCs w:val="false"/>
                <w:color w:val="1A1A1A"/>
                <w:sz w:val="19"/>
                <w:szCs w:val="19"/>
              </w:rPr>
              <w:t xml:space="preserve">This is true of every cloud cost estimation tool in the market, including AWS Cost Explorer's own budgets feature. The value of Infracost is not precision — it is transparency and order-of-magnitude decision-making. A developer who currently has zero cost visibility before deploying now knows they are looking at approximately 80 dollars per month rather than potentially 800 dollars per month. That information alone prevents most bill shock scenarios. Variable costs are clearly labeled as estimates in our UI, and users are advised to monitor actual AWS billing via CloudWatch Budgets for production workloads.</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7B2D8B"/>
                <w:sz w:val="22"/>
                <w:szCs w:val="22"/>
              </w:rPr>
              <w:t xml:space="preserve">Weakness 7 — No Offline or On-Premise Deployment</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What about organizations that cannot use cloud due to data residency or compliance requirements?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DeployGuard is designed exclusively as a cloud-native platform targeting AWS. On-premise or air-gapped deployments are out of scope.</w:t>
            </w:r>
          </w:p>
          <w:p>
            <w:pPr>
              <w:spacing w:after="0" w:before="0"/>
              <w:jc w:val="left"/>
            </w:pPr>
            <w:r>
              <w:rPr>
                <w:rFonts w:ascii="Arial" w:cs="Arial" w:eastAsia="Arial" w:hAnsi="Arial"/>
                <w:b/>
                <w:bCs/>
                <w:i w:val="false"/>
                <w:iCs w:val="false"/>
                <w:color w:val="7B2D8B"/>
                <w:sz w:val="19"/>
                <w:szCs w:val="19"/>
              </w:rPr>
              <w:t xml:space="preserve">HOW TO SPIN IT:  </w:t>
            </w:r>
            <w:r>
              <w:rPr>
                <w:rFonts w:ascii="Arial" w:cs="Arial" w:eastAsia="Arial" w:hAnsi="Arial"/>
                <w:b w:val="false"/>
                <w:bCs w:val="false"/>
                <w:i w:val="false"/>
                <w:iCs w:val="false"/>
                <w:color w:val="1A1A1A"/>
                <w:sz w:val="19"/>
                <w:szCs w:val="19"/>
              </w:rPr>
              <w:t xml:space="preserve">Our target users — startups and SMEs — are precisely the segment that benefits most from cloud infrastructure and does not have the operational capacity to run on-premise data centers. Government and highly regulated enterprises with strict data residency requirements have different procurement processes and dedicated DevOps teams, placing them outside our target market. The project scope is deliberately focused on the segment where the problem is most acute and the solution is most impactful.</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B84C00"/>
                <w:sz w:val="22"/>
                <w:szCs w:val="22"/>
              </w:rPr>
              <w:t xml:space="preserve">Weakness 8 — AI Chatbot May Give Incorrect Advice</w:t>
            </w:r>
          </w:p>
        </w:tc>
      </w:tr>
      <w:tr>
        <w:tc>
          <w:tcPr>
            <w:tcW w:type="dxa" w:w="9360"/>
            <w:tcBorders>
              <w:top w:val="single" w:color="CCCCCC" w:sz="1"/>
              <w:left w:val="single" w:color="CCCCCC" w:sz="1"/>
              <w:bottom w:val="single" w:color="CCCCCC" w:sz="1"/>
              <w:right w:val="single" w:color="CCCCCC" w:sz="1"/>
            </w:tcBorders>
            <w:shd w:fill="FFF8F8"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C62828"/>
                <w:sz w:val="19"/>
                <w:szCs w:val="19"/>
              </w:rPr>
              <w:t xml:space="preserve">WHAT THE PANEL MIGHT SAY:  </w:t>
            </w:r>
            <w:r>
              <w:rPr>
                <w:rFonts w:ascii="Arial" w:cs="Arial" w:eastAsia="Arial" w:hAnsi="Arial"/>
                <w:b w:val="false"/>
                <w:bCs w:val="false"/>
                <w:i/>
                <w:iCs/>
                <w:color w:val="C62828"/>
                <w:sz w:val="19"/>
                <w:szCs w:val="19"/>
              </w:rPr>
              <w:t xml:space="preserve">The panel may say: LLMs hallucinate. Your AI chatbot could give wrong remediation steps and make a bad situation worse.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546E7A"/>
                <w:sz w:val="19"/>
                <w:szCs w:val="19"/>
              </w:rPr>
              <w:t xml:space="preserve">HONEST ACKNOWLEDGEMENT:  </w:t>
            </w:r>
            <w:r>
              <w:rPr>
                <w:rFonts w:ascii="Arial" w:cs="Arial" w:eastAsia="Arial" w:hAnsi="Arial"/>
                <w:b w:val="false"/>
                <w:bCs w:val="false"/>
                <w:i w:val="false"/>
                <w:iCs w:val="false"/>
                <w:color w:val="546E7A"/>
                <w:sz w:val="19"/>
                <w:szCs w:val="19"/>
              </w:rPr>
              <w:t xml:space="preserve">LLMs can produce plausible-sounding but incorrect technical suggestions, particularly for highly specific infrastructure error patterns.</w:t>
            </w:r>
          </w:p>
          <w:p>
            <w:pPr>
              <w:spacing w:after="0" w:before="0"/>
              <w:jc w:val="left"/>
            </w:pPr>
            <w:r>
              <w:rPr>
                <w:rFonts w:ascii="Arial" w:cs="Arial" w:eastAsia="Arial" w:hAnsi="Arial"/>
                <w:b/>
                <w:bCs/>
                <w:i w:val="false"/>
                <w:iCs w:val="false"/>
                <w:color w:val="B84C00"/>
                <w:sz w:val="19"/>
                <w:szCs w:val="19"/>
              </w:rPr>
              <w:t xml:space="preserve">HOW TO SPIN IT:  </w:t>
            </w:r>
            <w:r>
              <w:rPr>
                <w:rFonts w:ascii="Arial" w:cs="Arial" w:eastAsia="Arial" w:hAnsi="Arial"/>
                <w:b w:val="false"/>
                <w:bCs w:val="false"/>
                <w:i w:val="false"/>
                <w:iCs w:val="false"/>
                <w:color w:val="1A1A1A"/>
                <w:sz w:val="19"/>
                <w:szCs w:val="19"/>
              </w:rPr>
              <w:t xml:space="preserve">Three design decisions directly mitigate this risk. First, the chatbot operates on a strictly scoped system prompt — it is not a general-purpose assistant. It is constrained to analyzing the specific log content injected into its context. Second, every AI suggestion is displayed with a clear disclaimer that it should be validated before execution. Third, the chatbot is a productivity tool, not an automated executor — it suggests remediation steps, but a human developer reads, evaluates, and decides whether to act on them. The cost of a wrong chatbot suggestion is developer time, not an automated destructive action. This is categorically different from, say, an AI that automatically applies fixes to production infrastructure.</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4"/>
                <w:szCs w:val="24"/>
              </w:rPr>
              <w:t xml:space="preserve">PART 3 — COMPETITOR COMPARISON TALKING POINTS</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1"/>
              <w:left w:val="thick" w:color="7B2D8B" w:sz="16"/>
              <w:bottom w:val="single" w:color="7B2D8B" w:sz="1"/>
              <w:right w:val="single" w:color="7B2D8B" w:sz="1"/>
            </w:tcBorders>
            <w:shd w:fill="F3E5F5" w:val="clear"/>
            <w:tcMar>
              <w:top w:type="dxa" w:w="120"/>
              <w:left w:type="dxa" w:w="220"/>
              <w:bottom w:type="dxa" w:w="120"/>
              <w:right w:type="dxa" w:w="220"/>
            </w:tcMar>
          </w:tcPr>
          <w:p>
            <w:pPr>
              <w:spacing w:after="80" w:before="0"/>
              <w:jc w:val="left"/>
            </w:pPr>
            <w:r>
              <w:rPr>
                <w:rFonts w:ascii="Arial" w:cs="Arial" w:eastAsia="Arial" w:hAnsi="Arial"/>
                <w:b/>
                <w:bCs/>
                <w:i w:val="false"/>
                <w:iCs w:val="false"/>
                <w:color w:val="7B2D8B"/>
                <w:sz w:val="20"/>
                <w:szCs w:val="20"/>
              </w:rPr>
              <w:t xml:space="preserve">Why this matters</w:t>
            </w:r>
          </w:p>
          <w:p>
            <w:pPr>
              <w:spacing w:after="60" w:before="0"/>
              <w:jc w:val="left"/>
            </w:pPr>
            <w:r>
              <w:rPr>
                <w:rFonts w:ascii="Arial" w:cs="Arial" w:eastAsia="Arial" w:hAnsi="Arial"/>
                <w:b w:val="false"/>
                <w:bCs w:val="false"/>
                <w:i w:val="false"/>
                <w:iCs w:val="false"/>
                <w:color w:val="1A1A1A"/>
                <w:sz w:val="19"/>
                <w:szCs w:val="19"/>
              </w:rPr>
              <w:t xml:space="preserve">Panels frequently ask: 'Why not just use X?' If you hesitate or give a vague answer, it signals you did not think this through.</w:t>
            </w:r>
          </w:p>
          <w:p>
            <w:pPr>
              <w:spacing w:after="60" w:before="0"/>
              <w:jc w:val="left"/>
            </w:pPr>
            <w:r>
              <w:rPr>
                <w:rFonts w:ascii="Arial" w:cs="Arial" w:eastAsia="Arial" w:hAnsi="Arial"/>
                <w:b w:val="false"/>
                <w:bCs w:val="false"/>
                <w:i w:val="false"/>
                <w:iCs w:val="false"/>
                <w:color w:val="1A1A1A"/>
                <w:sz w:val="19"/>
                <w:szCs w:val="19"/>
              </w:rPr>
              <w:t xml:space="preserve">You need a crisp, factual, confident answer for each competitor. Study this section until it feels automatic.</w:t>
            </w:r>
          </w:p>
          <w:p>
            <w:pPr>
              <w:spacing w:after="60" w:before="0"/>
              <w:jc w:val="left"/>
            </w:pPr>
            <w:r>
              <w:rPr>
                <w:rFonts w:ascii="Arial" w:cs="Arial" w:eastAsia="Arial" w:hAnsi="Arial"/>
                <w:b w:val="false"/>
                <w:bCs w:val="false"/>
                <w:i w:val="false"/>
                <w:iCs w:val="false"/>
                <w:color w:val="1A1A1A"/>
                <w:sz w:val="19"/>
                <w:szCs w:val="19"/>
              </w:rPr>
              <w:t xml:space="preserve">The key principle: do not say competitors are bad. Say they solve a different problem for a different audience, and identify the specific gap DeployGuard fills.</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Feature Comparison Matrix — Use This to Anchor Any Verbal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7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Raw AWS</w:t>
            </w:r>
          </w:p>
        </w:tc>
        <w:tc>
          <w:tcPr>
            <w:tcW w:type="dxa" w:w="13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Heroku/Render</w:t>
            </w:r>
          </w:p>
        </w:tc>
        <w:tc>
          <w:tcPr>
            <w:tcW w:type="dxa" w:w="13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GitHub Actions</w:t>
            </w:r>
          </w:p>
        </w:tc>
        <w:tc>
          <w:tcPr>
            <w:tcW w:type="dxa" w:w="13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AWS Copilot</w:t>
            </w:r>
          </w:p>
        </w:tc>
        <w:tc>
          <w:tcPr>
            <w:tcW w:type="dxa" w:w="1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DeployGuard</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Zero Configuration Deploy</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Partial</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Partial</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Deploys to User's Own AWS Account</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Pre-Deployment Cost Estimate</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Mandatory CVE Security Gate</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AI Log Analysis &amp; Chatbot</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Terraform IaC State Locking</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Manual</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Partial</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Fargate Spot Cost Optimization</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Manual</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Real-time Log Streaming (SSE)</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Manual</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Partial</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No Vendor Lock-in (IaC Export)</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N/A</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N/A</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Partial</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Persistent Storage (EFS)</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Manual</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olor w:val="1A1A1A"/>
                <w:sz w:val="18"/>
                <w:szCs w:val="18"/>
              </w:rPr>
              <w:t xml:space="preserve">RBAC &amp; Audit Logging</w:t>
            </w:r>
          </w:p>
        </w:tc>
        <w:tc>
          <w:tcPr>
            <w:tcW w:type="dxa" w:w="130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B84C00"/>
                <w:sz w:val="18"/>
                <w:szCs w:val="18"/>
              </w:rPr>
              <w:t xml:space="preserve">IAM</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3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olor w:val="C62828"/>
                <w:sz w:val="18"/>
                <w:szCs w:val="18"/>
              </w:rPr>
              <w:t xml:space="preserve">No</w:t>
            </w:r>
          </w:p>
        </w:tc>
        <w:tc>
          <w:tcPr>
            <w:tcW w:type="dxa" w:w="17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E6B2E"/>
                <w:sz w:val="18"/>
                <w:szCs w:val="18"/>
              </w:rPr>
              <w:t xml:space="preserve">Yes</w:t>
            </w:r>
          </w:p>
        </w:tc>
      </w:tr>
    </w:tbl>
    <w:p>
      <w:pPr>
        <w:spacing w:after="20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Verbal Talking Points — One Competitor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0"/>
              <w:jc w:val="left"/>
            </w:pPr>
            <w:r>
              <w:rPr>
                <w:rFonts w:ascii="Arial" w:cs="Arial" w:eastAsia="Arial" w:hAnsi="Arial"/>
                <w:b/>
                <w:bCs/>
                <w:i w:val="false"/>
                <w:iCs w:val="false"/>
                <w:color w:val="1E6B2E"/>
                <w:sz w:val="22"/>
                <w:szCs w:val="22"/>
              </w:rPr>
              <w:t xml:space="preserve">vs.  Raw AWS Console</w:t>
            </w:r>
          </w:p>
          <w:p>
            <w:pPr>
              <w:spacing w:after="0" w:before="0"/>
              <w:jc w:val="left"/>
            </w:pPr>
            <w:r>
              <w:rPr>
                <w:rFonts w:ascii="Arial" w:cs="Arial" w:eastAsia="Arial" w:hAnsi="Arial"/>
                <w:b/>
                <w:bCs/>
                <w:i w:val="false"/>
                <w:iCs w:val="false"/>
                <w:color w:val="546E7A"/>
                <w:sz w:val="19"/>
                <w:szCs w:val="19"/>
              </w:rPr>
              <w:t xml:space="preserve">Panel question:  </w:t>
            </w:r>
            <w:r>
              <w:rPr>
                <w:rFonts w:ascii="Arial" w:cs="Arial" w:eastAsia="Arial" w:hAnsi="Arial"/>
                <w:b w:val="false"/>
                <w:bCs w:val="false"/>
                <w:i/>
                <w:iCs/>
                <w:color w:val="546E7A"/>
                <w:sz w:val="19"/>
                <w:szCs w:val="19"/>
              </w:rPr>
              <w:t xml:space="preserve">Why not just use the AWS Console directly?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2E75B6"/>
                <w:sz w:val="19"/>
                <w:szCs w:val="19"/>
              </w:rPr>
              <w:t xml:space="preserve">Point 1:  </w:t>
            </w:r>
            <w:r>
              <w:rPr>
                <w:rFonts w:ascii="Arial" w:cs="Arial" w:eastAsia="Arial" w:hAnsi="Arial"/>
                <w:b w:val="false"/>
                <w:bCs w:val="false"/>
                <w:i w:val="false"/>
                <w:iCs w:val="false"/>
                <w:color w:val="1A1A1A"/>
                <w:sz w:val="19"/>
                <w:szCs w:val="19"/>
              </w:rPr>
              <w:t xml:space="preserve">The AWS Console requires you to manually configure VPCs, public and private subnets, NAT Gateways, ECS task definitions, ALB target groups, IAM roles, ECR repositories, and security groups — before a single line of your application code runs. That is typically two to three days of work for an experienced DevOps engineer.</w:t>
            </w:r>
          </w:p>
          <w:p>
            <w:pPr>
              <w:spacing w:after="80" w:before="0"/>
              <w:jc w:val="left"/>
            </w:pPr>
            <w:r>
              <w:rPr>
                <w:rFonts w:ascii="Arial" w:cs="Arial" w:eastAsia="Arial" w:hAnsi="Arial"/>
                <w:b/>
                <w:bCs/>
                <w:i w:val="false"/>
                <w:iCs w:val="false"/>
                <w:color w:val="2E75B6"/>
                <w:sz w:val="19"/>
                <w:szCs w:val="19"/>
              </w:rPr>
              <w:t xml:space="preserve">Point 2:  </w:t>
            </w:r>
            <w:r>
              <w:rPr>
                <w:rFonts w:ascii="Arial" w:cs="Arial" w:eastAsia="Arial" w:hAnsi="Arial"/>
                <w:b w:val="false"/>
                <w:bCs w:val="false"/>
                <w:i w:val="false"/>
                <w:iCs w:val="false"/>
                <w:color w:val="1A1A1A"/>
                <w:sz w:val="19"/>
                <w:szCs w:val="19"/>
              </w:rPr>
              <w:t xml:space="preserve">DeployGuard abstracts all of this into a single workflow. The developer provides their GitHub repository. The system does everything else, including infrastructure provisioning, security scanning, and cost estimation.</w:t>
            </w:r>
          </w:p>
          <w:p>
            <w:pPr>
              <w:spacing w:after="80" w:before="0"/>
              <w:jc w:val="left"/>
            </w:pPr>
            <w:r>
              <w:rPr>
                <w:rFonts w:ascii="Arial" w:cs="Arial" w:eastAsia="Arial" w:hAnsi="Arial"/>
                <w:b/>
                <w:bCs/>
                <w:i w:val="false"/>
                <w:iCs w:val="false"/>
                <w:color w:val="2E75B6"/>
                <w:sz w:val="19"/>
                <w:szCs w:val="19"/>
              </w:rPr>
              <w:t xml:space="preserve">Point 3:  </w:t>
            </w:r>
            <w:r>
              <w:rPr>
                <w:rFonts w:ascii="Arial" w:cs="Arial" w:eastAsia="Arial" w:hAnsi="Arial"/>
                <w:b w:val="false"/>
                <w:bCs w:val="false"/>
                <w:i w:val="false"/>
                <w:iCs w:val="false"/>
                <w:color w:val="1A1A1A"/>
                <w:sz w:val="19"/>
                <w:szCs w:val="19"/>
              </w:rPr>
              <w:t xml:space="preserve">More critically: the raw AWS Console has no built-in security gate. Nothing stops a developer from deploying a container image with 47 known critical vulnerabilities. DeployGuard blocks this automatically.</w:t>
            </w:r>
          </w:p>
          <w:p>
            <w:pPr>
              <w:spacing w:after="80" w:before="0"/>
              <w:jc w:val="left"/>
            </w:pPr>
            <w:r>
              <w:rPr>
                <w:rFonts w:ascii="Arial" w:cs="Arial" w:eastAsia="Arial" w:hAnsi="Arial"/>
                <w:b/>
                <w:bCs/>
                <w:i w:val="false"/>
                <w:iCs w:val="false"/>
                <w:color w:val="1E6B2E"/>
                <w:sz w:val="19"/>
                <w:szCs w:val="19"/>
              </w:rPr>
              <w:t xml:space="preserve">KEY PHRASE:  </w:t>
            </w:r>
            <w:r>
              <w:rPr>
                <w:rFonts w:ascii="Arial" w:cs="Arial" w:eastAsia="Arial" w:hAnsi="Arial"/>
                <w:b w:val="false"/>
                <w:bCs w:val="false"/>
                <w:i w:val="false"/>
                <w:iCs w:val="false"/>
                <w:color w:val="1A1A1A"/>
                <w:sz w:val="19"/>
                <w:szCs w:val="19"/>
              </w:rPr>
              <w:t xml:space="preserve">Key phrase to use: 'The raw AWS Console is the right tool for a senior cloud architect working on custom infrastructure. DeployGuard is the right tool for a startup developer who needs reliable cloud deployment without becoming a cloud architect first.'</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pPr>
              <w:spacing w:after="40" w:before="0"/>
              <w:jc w:val="left"/>
            </w:pPr>
            <w:r>
              <w:rPr>
                <w:rFonts w:ascii="Arial" w:cs="Arial" w:eastAsia="Arial" w:hAnsi="Arial"/>
                <w:b/>
                <w:bCs/>
                <w:i w:val="false"/>
                <w:iCs w:val="false"/>
                <w:color w:val="7B2D8B"/>
                <w:sz w:val="22"/>
                <w:szCs w:val="22"/>
              </w:rPr>
              <w:t xml:space="preserve">vs.  Heroku / Render / Railway</w:t>
            </w:r>
          </w:p>
          <w:p>
            <w:pPr>
              <w:spacing w:after="0" w:before="0"/>
              <w:jc w:val="left"/>
            </w:pPr>
            <w:r>
              <w:rPr>
                <w:rFonts w:ascii="Arial" w:cs="Arial" w:eastAsia="Arial" w:hAnsi="Arial"/>
                <w:b/>
                <w:bCs/>
                <w:i w:val="false"/>
                <w:iCs w:val="false"/>
                <w:color w:val="546E7A"/>
                <w:sz w:val="19"/>
                <w:szCs w:val="19"/>
              </w:rPr>
              <w:t xml:space="preserve">Panel question:  </w:t>
            </w:r>
            <w:r>
              <w:rPr>
                <w:rFonts w:ascii="Arial" w:cs="Arial" w:eastAsia="Arial" w:hAnsi="Arial"/>
                <w:b w:val="false"/>
                <w:bCs w:val="false"/>
                <w:i/>
                <w:iCs/>
                <w:color w:val="546E7A"/>
                <w:sz w:val="19"/>
                <w:szCs w:val="19"/>
              </w:rPr>
              <w:t xml:space="preserve">Why not just use Heroku or Render? They already abstract cloud deployment.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2E75B6"/>
                <w:sz w:val="19"/>
                <w:szCs w:val="19"/>
              </w:rPr>
              <w:t xml:space="preserve">Point 1:  </w:t>
            </w:r>
            <w:r>
              <w:rPr>
                <w:rFonts w:ascii="Arial" w:cs="Arial" w:eastAsia="Arial" w:hAnsi="Arial"/>
                <w:b w:val="false"/>
                <w:bCs w:val="false"/>
                <w:i w:val="false"/>
                <w:iCs w:val="false"/>
                <w:color w:val="1A1A1A"/>
                <w:sz w:val="19"/>
                <w:szCs w:val="19"/>
              </w:rPr>
              <w:t xml:space="preserve">Heroku, Render, and Railway deploy to their own infrastructure, not the user's cloud account. This means the user has no cost visibility, no control over the underlying resources, and no ability to export their infrastructure.</w:t>
            </w:r>
          </w:p>
          <w:p>
            <w:pPr>
              <w:spacing w:after="80" w:before="0"/>
              <w:jc w:val="left"/>
            </w:pPr>
            <w:r>
              <w:rPr>
                <w:rFonts w:ascii="Arial" w:cs="Arial" w:eastAsia="Arial" w:hAnsi="Arial"/>
                <w:b/>
                <w:bCs/>
                <w:i w:val="false"/>
                <w:iCs w:val="false"/>
                <w:color w:val="2E75B6"/>
                <w:sz w:val="19"/>
                <w:szCs w:val="19"/>
              </w:rPr>
              <w:t xml:space="preserve">Point 2:  </w:t>
            </w:r>
            <w:r>
              <w:rPr>
                <w:rFonts w:ascii="Arial" w:cs="Arial" w:eastAsia="Arial" w:hAnsi="Arial"/>
                <w:b w:val="false"/>
                <w:bCs w:val="false"/>
                <w:i w:val="false"/>
                <w:iCs w:val="false"/>
                <w:color w:val="1A1A1A"/>
                <w:sz w:val="19"/>
                <w:szCs w:val="19"/>
              </w:rPr>
              <w:t xml:space="preserve">At scale, these platforms become extremely expensive. A workload costing 40 dollars per month on AWS Fargate Spot might cost 200 to 400 dollars per month on Heroku's dyno pricing.</w:t>
            </w:r>
          </w:p>
          <w:p>
            <w:pPr>
              <w:spacing w:after="80" w:before="0"/>
              <w:jc w:val="left"/>
            </w:pPr>
            <w:r>
              <w:rPr>
                <w:rFonts w:ascii="Arial" w:cs="Arial" w:eastAsia="Arial" w:hAnsi="Arial"/>
                <w:b/>
                <w:bCs/>
                <w:i w:val="false"/>
                <w:iCs w:val="false"/>
                <w:color w:val="2E75B6"/>
                <w:sz w:val="19"/>
                <w:szCs w:val="19"/>
              </w:rPr>
              <w:t xml:space="preserve">Point 3:  </w:t>
            </w:r>
            <w:r>
              <w:rPr>
                <w:rFonts w:ascii="Arial" w:cs="Arial" w:eastAsia="Arial" w:hAnsi="Arial"/>
                <w:b w:val="false"/>
                <w:bCs w:val="false"/>
                <w:i w:val="false"/>
                <w:iCs w:val="false"/>
                <w:color w:val="1A1A1A"/>
                <w:sz w:val="19"/>
                <w:szCs w:val="19"/>
              </w:rPr>
              <w:t xml:space="preserve">None of these platforms offer pre-deployment cost estimation before provisioning. None have a mandatory security gate that blocks deployment on CVE detection. None provide Terraform IaC export for vendor independence.</w:t>
            </w:r>
          </w:p>
          <w:p>
            <w:pPr>
              <w:spacing w:after="80" w:before="0"/>
              <w:jc w:val="left"/>
            </w:pPr>
            <w:r>
              <w:rPr>
                <w:rFonts w:ascii="Arial" w:cs="Arial" w:eastAsia="Arial" w:hAnsi="Arial"/>
                <w:b/>
                <w:bCs/>
                <w:i w:val="false"/>
                <w:iCs w:val="false"/>
                <w:color w:val="2E75B6"/>
                <w:sz w:val="19"/>
                <w:szCs w:val="19"/>
              </w:rPr>
              <w:t xml:space="preserve">Point 4:  </w:t>
            </w:r>
            <w:r>
              <w:rPr>
                <w:rFonts w:ascii="Arial" w:cs="Arial" w:eastAsia="Arial" w:hAnsi="Arial"/>
                <w:b w:val="false"/>
                <w:bCs w:val="false"/>
                <w:i w:val="false"/>
                <w:iCs w:val="false"/>
                <w:color w:val="1A1A1A"/>
                <w:sz w:val="19"/>
                <w:szCs w:val="19"/>
              </w:rPr>
              <w:t xml:space="preserve">DeployGuard deploys to the user's own AWS account — they pay AWS directly, at AWS prices, with Fargate Spot discounts. DeployGuard is the orchestration layer, not the hosting provider.</w:t>
            </w:r>
          </w:p>
          <w:p>
            <w:pPr>
              <w:spacing w:after="80" w:before="0"/>
              <w:jc w:val="left"/>
            </w:pPr>
            <w:r>
              <w:rPr>
                <w:rFonts w:ascii="Arial" w:cs="Arial" w:eastAsia="Arial" w:hAnsi="Arial"/>
                <w:b/>
                <w:bCs/>
                <w:i w:val="false"/>
                <w:iCs w:val="false"/>
                <w:color w:val="7B2D8B"/>
                <w:sz w:val="19"/>
                <w:szCs w:val="19"/>
              </w:rPr>
              <w:t xml:space="preserve">KEY PHRASE:  </w:t>
            </w:r>
            <w:r>
              <w:rPr>
                <w:rFonts w:ascii="Arial" w:cs="Arial" w:eastAsia="Arial" w:hAnsi="Arial"/>
                <w:b w:val="false"/>
                <w:bCs w:val="false"/>
                <w:i w:val="false"/>
                <w:iCs w:val="false"/>
                <w:color w:val="1A1A1A"/>
                <w:sz w:val="19"/>
                <w:szCs w:val="19"/>
              </w:rPr>
              <w:t xml:space="preserve">Key phrase to use: 'Heroku makes deployment easy but expensive and opaque. DeployGuard makes deployment easy while keeping it affordable, secure, and fully owned by the developer.'</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40" w:before="0"/>
              <w:jc w:val="left"/>
            </w:pPr>
            <w:r>
              <w:rPr>
                <w:rFonts w:ascii="Arial" w:cs="Arial" w:eastAsia="Arial" w:hAnsi="Arial"/>
                <w:b/>
                <w:bCs/>
                <w:i w:val="false"/>
                <w:iCs w:val="false"/>
                <w:color w:val="B84C00"/>
                <w:sz w:val="22"/>
                <w:szCs w:val="22"/>
              </w:rPr>
              <w:t xml:space="preserve">vs.  GitHub Actions (Standalone)</w:t>
            </w:r>
          </w:p>
          <w:p>
            <w:pPr>
              <w:spacing w:after="0" w:before="0"/>
              <w:jc w:val="left"/>
            </w:pPr>
            <w:r>
              <w:rPr>
                <w:rFonts w:ascii="Arial" w:cs="Arial" w:eastAsia="Arial" w:hAnsi="Arial"/>
                <w:b/>
                <w:bCs/>
                <w:i w:val="false"/>
                <w:iCs w:val="false"/>
                <w:color w:val="546E7A"/>
                <w:sz w:val="19"/>
                <w:szCs w:val="19"/>
              </w:rPr>
              <w:t xml:space="preserve">Panel question:  </w:t>
            </w:r>
            <w:r>
              <w:rPr>
                <w:rFonts w:ascii="Arial" w:cs="Arial" w:eastAsia="Arial" w:hAnsi="Arial"/>
                <w:b w:val="false"/>
                <w:bCs w:val="false"/>
                <w:i/>
                <w:iCs/>
                <w:color w:val="546E7A"/>
                <w:sz w:val="19"/>
                <w:szCs w:val="19"/>
              </w:rPr>
              <w:t xml:space="preserve">You use GitHub Actions as part of your pipeline. Why can't teams just use GitHub Actions alone?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2E75B6"/>
                <w:sz w:val="19"/>
                <w:szCs w:val="19"/>
              </w:rPr>
              <w:t xml:space="preserve">Point 1:  </w:t>
            </w:r>
            <w:r>
              <w:rPr>
                <w:rFonts w:ascii="Arial" w:cs="Arial" w:eastAsia="Arial" w:hAnsi="Arial"/>
                <w:b w:val="false"/>
                <w:bCs w:val="false"/>
                <w:i w:val="false"/>
                <w:iCs w:val="false"/>
                <w:color w:val="1A1A1A"/>
                <w:sz w:val="19"/>
                <w:szCs w:val="19"/>
              </w:rPr>
              <w:t xml:space="preserve">GitHub Actions is a CI/CD runner — it automates build and test workflows. It does not provision infrastructure. It has no concept of Terraform state management. It has no built-in security scanning gate. It has no cost estimation layer.</w:t>
            </w:r>
          </w:p>
          <w:p>
            <w:pPr>
              <w:spacing w:after="80" w:before="0"/>
              <w:jc w:val="left"/>
            </w:pPr>
            <w:r>
              <w:rPr>
                <w:rFonts w:ascii="Arial" w:cs="Arial" w:eastAsia="Arial" w:hAnsi="Arial"/>
                <w:b/>
                <w:bCs/>
                <w:i w:val="false"/>
                <w:iCs w:val="false"/>
                <w:color w:val="2E75B6"/>
                <w:sz w:val="19"/>
                <w:szCs w:val="19"/>
              </w:rPr>
              <w:t xml:space="preserve">Point 2:  </w:t>
            </w:r>
            <w:r>
              <w:rPr>
                <w:rFonts w:ascii="Arial" w:cs="Arial" w:eastAsia="Arial" w:hAnsi="Arial"/>
                <w:b w:val="false"/>
                <w:bCs w:val="false"/>
                <w:i w:val="false"/>
                <w:iCs w:val="false"/>
                <w:color w:val="1A1A1A"/>
                <w:sz w:val="19"/>
                <w:szCs w:val="19"/>
              </w:rPr>
              <w:t xml:space="preserve">A team using only GitHub Actions still needs to manually write Dockerfiles, manually configure AWS ECS, manually manage Terraform state, and manually integrate Trivy and Infracost as separate, custom workflow steps requiring deep DevOps knowledge.</w:t>
            </w:r>
          </w:p>
          <w:p>
            <w:pPr>
              <w:spacing w:after="80" w:before="0"/>
              <w:jc w:val="left"/>
            </w:pPr>
            <w:r>
              <w:rPr>
                <w:rFonts w:ascii="Arial" w:cs="Arial" w:eastAsia="Arial" w:hAnsi="Arial"/>
                <w:b/>
                <w:bCs/>
                <w:i w:val="false"/>
                <w:iCs w:val="false"/>
                <w:color w:val="2E75B6"/>
                <w:sz w:val="19"/>
                <w:szCs w:val="19"/>
              </w:rPr>
              <w:t xml:space="preserve">Point 3:  </w:t>
            </w:r>
            <w:r>
              <w:rPr>
                <w:rFonts w:ascii="Arial" w:cs="Arial" w:eastAsia="Arial" w:hAnsi="Arial"/>
                <w:b w:val="false"/>
                <w:bCs w:val="false"/>
                <w:i w:val="false"/>
                <w:iCs w:val="false"/>
                <w:color w:val="1A1A1A"/>
                <w:sz w:val="19"/>
                <w:szCs w:val="19"/>
              </w:rPr>
              <w:t xml:space="preserve">DeployGuard uses GitHub Actions as one component in an orchestrated pipeline. The intelligence — stack detection, template injection, security gating, cost approval, state locking — lives in the DeployGuard orchestration engine, not in GitHub Actions.</w:t>
            </w:r>
          </w:p>
          <w:p>
            <w:pPr>
              <w:spacing w:after="80" w:before="0"/>
              <w:jc w:val="left"/>
            </w:pPr>
            <w:r>
              <w:rPr>
                <w:rFonts w:ascii="Arial" w:cs="Arial" w:eastAsia="Arial" w:hAnsi="Arial"/>
                <w:b/>
                <w:bCs/>
                <w:i w:val="false"/>
                <w:iCs w:val="false"/>
                <w:color w:val="B84C00"/>
                <w:sz w:val="19"/>
                <w:szCs w:val="19"/>
              </w:rPr>
              <w:t xml:space="preserve">KEY PHRASE:  </w:t>
            </w:r>
            <w:r>
              <w:rPr>
                <w:rFonts w:ascii="Arial" w:cs="Arial" w:eastAsia="Arial" w:hAnsi="Arial"/>
                <w:b w:val="false"/>
                <w:bCs w:val="false"/>
                <w:i w:val="false"/>
                <w:iCs w:val="false"/>
                <w:color w:val="1A1A1A"/>
                <w:sz w:val="19"/>
                <w:szCs w:val="19"/>
              </w:rPr>
              <w:t xml:space="preserve">Key phrase to use: 'GitHub Actions is the engine that runs our build jobs. DeployGuard is the brain that decides what to build, how to secure it, what it will cost, and how to deploy it.'</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0"/>
              <w:jc w:val="left"/>
            </w:pPr>
            <w:r>
              <w:rPr>
                <w:rFonts w:ascii="Arial" w:cs="Arial" w:eastAsia="Arial" w:hAnsi="Arial"/>
                <w:b/>
                <w:bCs/>
                <w:i w:val="false"/>
                <w:iCs w:val="false"/>
                <w:color w:val="1E6B2E"/>
                <w:sz w:val="22"/>
                <w:szCs w:val="22"/>
              </w:rPr>
              <w:t xml:space="preserve">vs.  AWS Copilot CLI</w:t>
            </w:r>
          </w:p>
          <w:p>
            <w:pPr>
              <w:spacing w:after="0" w:before="0"/>
              <w:jc w:val="left"/>
            </w:pPr>
            <w:r>
              <w:rPr>
                <w:rFonts w:ascii="Arial" w:cs="Arial" w:eastAsia="Arial" w:hAnsi="Arial"/>
                <w:b/>
                <w:bCs/>
                <w:i w:val="false"/>
                <w:iCs w:val="false"/>
                <w:color w:val="546E7A"/>
                <w:sz w:val="19"/>
                <w:szCs w:val="19"/>
              </w:rPr>
              <w:t xml:space="preserve">Panel question:  </w:t>
            </w:r>
            <w:r>
              <w:rPr>
                <w:rFonts w:ascii="Arial" w:cs="Arial" w:eastAsia="Arial" w:hAnsi="Arial"/>
                <w:b w:val="false"/>
                <w:bCs w:val="false"/>
                <w:i/>
                <w:iCs/>
                <w:color w:val="546E7A"/>
                <w:sz w:val="19"/>
                <w:szCs w:val="19"/>
              </w:rPr>
              <w:t xml:space="preserve">AWS has its own CLI tool called Copilot for ECS deployments. Why did you build DeployGuard?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80" w:before="0"/>
              <w:jc w:val="left"/>
            </w:pPr>
            <w:r>
              <w:rPr>
                <w:rFonts w:ascii="Arial" w:cs="Arial" w:eastAsia="Arial" w:hAnsi="Arial"/>
                <w:b/>
                <w:bCs/>
                <w:i w:val="false"/>
                <w:iCs w:val="false"/>
                <w:color w:val="2E75B6"/>
                <w:sz w:val="19"/>
                <w:szCs w:val="19"/>
              </w:rPr>
              <w:t xml:space="preserve">Point 1:  </w:t>
            </w:r>
            <w:r>
              <w:rPr>
                <w:rFonts w:ascii="Arial" w:cs="Arial" w:eastAsia="Arial" w:hAnsi="Arial"/>
                <w:b w:val="false"/>
                <w:bCs w:val="false"/>
                <w:i w:val="false"/>
                <w:iCs w:val="false"/>
                <w:color w:val="1A1A1A"/>
                <w:sz w:val="19"/>
                <w:szCs w:val="19"/>
              </w:rPr>
              <w:t xml:space="preserve">AWS Copilot is a command-line tool. It has no web UI, no dashboard, no real-time log streaming, no AI troubleshooting chatbot, no pre-deployment cost estimation, and no mandatory security scanning gate.</w:t>
            </w:r>
          </w:p>
          <w:p>
            <w:pPr>
              <w:spacing w:after="80" w:before="0"/>
              <w:jc w:val="left"/>
            </w:pPr>
            <w:r>
              <w:rPr>
                <w:rFonts w:ascii="Arial" w:cs="Arial" w:eastAsia="Arial" w:hAnsi="Arial"/>
                <w:b/>
                <w:bCs/>
                <w:i w:val="false"/>
                <w:iCs w:val="false"/>
                <w:color w:val="2E75B6"/>
                <w:sz w:val="19"/>
                <w:szCs w:val="19"/>
              </w:rPr>
              <w:t xml:space="preserve">Point 2:  </w:t>
            </w:r>
            <w:r>
              <w:rPr>
                <w:rFonts w:ascii="Arial" w:cs="Arial" w:eastAsia="Arial" w:hAnsi="Arial"/>
                <w:b w:val="false"/>
                <w:bCs w:val="false"/>
                <w:i w:val="false"/>
                <w:iCs w:val="false"/>
                <w:color w:val="1A1A1A"/>
                <w:sz w:val="19"/>
                <w:szCs w:val="19"/>
              </w:rPr>
              <w:t xml:space="preserve">Copilot still requires the developer to understand ECS concepts, service types, and environment configurations. It reduces — but does not eliminate — the required DevOps knowledge.</w:t>
            </w:r>
          </w:p>
          <w:p>
            <w:pPr>
              <w:spacing w:after="80" w:before="0"/>
              <w:jc w:val="left"/>
            </w:pPr>
            <w:r>
              <w:rPr>
                <w:rFonts w:ascii="Arial" w:cs="Arial" w:eastAsia="Arial" w:hAnsi="Arial"/>
                <w:b/>
                <w:bCs/>
                <w:i w:val="false"/>
                <w:iCs w:val="false"/>
                <w:color w:val="2E75B6"/>
                <w:sz w:val="19"/>
                <w:szCs w:val="19"/>
              </w:rPr>
              <w:t xml:space="preserve">Point 3:  </w:t>
            </w:r>
            <w:r>
              <w:rPr>
                <w:rFonts w:ascii="Arial" w:cs="Arial" w:eastAsia="Arial" w:hAnsi="Arial"/>
                <w:b w:val="false"/>
                <w:bCs w:val="false"/>
                <w:i w:val="false"/>
                <w:iCs w:val="false"/>
                <w:color w:val="1A1A1A"/>
                <w:sz w:val="19"/>
                <w:szCs w:val="19"/>
              </w:rPr>
              <w:t xml:space="preserve">Copilot does not support role-based access control for team environments, does not provide multi-tenant project workspaces, and does not manage subscription tiers.</w:t>
            </w:r>
          </w:p>
          <w:p>
            <w:pPr>
              <w:spacing w:after="80" w:before="0"/>
              <w:jc w:val="left"/>
            </w:pPr>
            <w:r>
              <w:rPr>
                <w:rFonts w:ascii="Arial" w:cs="Arial" w:eastAsia="Arial" w:hAnsi="Arial"/>
                <w:b/>
                <w:bCs/>
                <w:i w:val="false"/>
                <w:iCs w:val="false"/>
                <w:color w:val="2E75B6"/>
                <w:sz w:val="19"/>
                <w:szCs w:val="19"/>
              </w:rPr>
              <w:t xml:space="preserve">Point 4:  </w:t>
            </w:r>
            <w:r>
              <w:rPr>
                <w:rFonts w:ascii="Arial" w:cs="Arial" w:eastAsia="Arial" w:hAnsi="Arial"/>
                <w:b w:val="false"/>
                <w:bCs w:val="false"/>
                <w:i w:val="false"/>
                <w:iCs w:val="false"/>
                <w:color w:val="1A1A1A"/>
                <w:sz w:val="19"/>
                <w:szCs w:val="19"/>
              </w:rPr>
              <w:t xml:space="preserve">Most importantly, Copilot has no FinOps layer. There is no Infracost integration. The developer does not know what the infrastructure will cost before running a single command.</w:t>
            </w:r>
          </w:p>
          <w:p>
            <w:pPr>
              <w:spacing w:after="80" w:before="0"/>
              <w:jc w:val="left"/>
            </w:pPr>
            <w:r>
              <w:rPr>
                <w:rFonts w:ascii="Arial" w:cs="Arial" w:eastAsia="Arial" w:hAnsi="Arial"/>
                <w:b/>
                <w:bCs/>
                <w:i w:val="false"/>
                <w:iCs w:val="false"/>
                <w:color w:val="1E6B2E"/>
                <w:sz w:val="19"/>
                <w:szCs w:val="19"/>
              </w:rPr>
              <w:t xml:space="preserve">KEY PHRASE:  </w:t>
            </w:r>
            <w:r>
              <w:rPr>
                <w:rFonts w:ascii="Arial" w:cs="Arial" w:eastAsia="Arial" w:hAnsi="Arial"/>
                <w:b w:val="false"/>
                <w:bCs w:val="false"/>
                <w:i w:val="false"/>
                <w:iCs w:val="false"/>
                <w:color w:val="1A1A1A"/>
                <w:sz w:val="19"/>
                <w:szCs w:val="19"/>
              </w:rPr>
              <w:t xml:space="preserve">Key phrase to use: 'AWS Copilot is an excellent tool for a developer who is already comfortable with AWS and the command line. DeployGuard is for the developer who has never opened a terminal to configure cloud infrastructure.'</w:t>
            </w:r>
          </w:p>
        </w:tc>
      </w:tr>
    </w:tbl>
    <w:p>
      <w:pPr>
        <w:spacing w:after="20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4"/>
                <w:szCs w:val="24"/>
              </w:rPr>
              <w:t xml:space="preserve">PART 4 — TECHNICAL JARGON CHEAT SHEET</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C00" w:sz="1"/>
              <w:left w:val="thick" w:color="B84C00" w:sz="16"/>
              <w:bottom w:val="single" w:color="B84C00" w:sz="1"/>
              <w:right w:val="single" w:color="B84C00" w:sz="1"/>
            </w:tcBorders>
            <w:shd w:fill="FFF3E0" w:val="clear"/>
            <w:tcMar>
              <w:top w:type="dxa" w:w="120"/>
              <w:left w:type="dxa" w:w="220"/>
              <w:bottom w:type="dxa" w:w="120"/>
              <w:right w:type="dxa" w:w="220"/>
            </w:tcMar>
          </w:tcPr>
          <w:p>
            <w:pPr>
              <w:spacing w:after="80" w:before="0"/>
              <w:jc w:val="left"/>
            </w:pPr>
            <w:r>
              <w:rPr>
                <w:rFonts w:ascii="Arial" w:cs="Arial" w:eastAsia="Arial" w:hAnsi="Arial"/>
                <w:b/>
                <w:bCs/>
                <w:i w:val="false"/>
                <w:iCs w:val="false"/>
                <w:color w:val="B84C00"/>
                <w:sz w:val="20"/>
                <w:szCs w:val="20"/>
              </w:rPr>
              <w:t xml:space="preserve">How to use this cheat sheet</w:t>
            </w:r>
          </w:p>
          <w:p>
            <w:pPr>
              <w:spacing w:after="60" w:before="0"/>
              <w:jc w:val="left"/>
            </w:pPr>
            <w:r>
              <w:rPr>
                <w:rFonts w:ascii="Arial" w:cs="Arial" w:eastAsia="Arial" w:hAnsi="Arial"/>
                <w:b w:val="false"/>
                <w:bCs w:val="false"/>
                <w:i w:val="false"/>
                <w:iCs w:val="false"/>
                <w:color w:val="1A1A1A"/>
                <w:sz w:val="19"/>
                <w:szCs w:val="19"/>
              </w:rPr>
              <w:t xml:space="preserve">When a panel member uses a technical term, you should respond using that same term correctly and confidently.</w:t>
            </w:r>
          </w:p>
          <w:p>
            <w:pPr>
              <w:spacing w:after="60" w:before="0"/>
              <w:jc w:val="left"/>
            </w:pPr>
            <w:r>
              <w:rPr>
                <w:rFonts w:ascii="Arial" w:cs="Arial" w:eastAsia="Arial" w:hAnsi="Arial"/>
                <w:b w:val="false"/>
                <w:bCs w:val="false"/>
                <w:i w:val="false"/>
                <w:iCs w:val="false"/>
                <w:color w:val="1A1A1A"/>
                <w:sz w:val="19"/>
                <w:szCs w:val="19"/>
              </w:rPr>
              <w:t xml:space="preserve">If a panel member asks 'do you know what X means?', you should define it and immediately link it to your project.</w:t>
            </w:r>
          </w:p>
          <w:p>
            <w:pPr>
              <w:spacing w:after="60" w:before="0"/>
              <w:jc w:val="left"/>
            </w:pPr>
            <w:r>
              <w:rPr>
                <w:rFonts w:ascii="Arial" w:cs="Arial" w:eastAsia="Arial" w:hAnsi="Arial"/>
                <w:b w:val="false"/>
                <w:bCs w:val="false"/>
                <w:i w:val="false"/>
                <w:iCs w:val="false"/>
                <w:color w:val="1A1A1A"/>
                <w:sz w:val="19"/>
                <w:szCs w:val="19"/>
              </w:rPr>
              <w:t xml:space="preserve">Review this list on the morning of your defense. Read each term aloud. Associate it with the module it belongs to.</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Term</w:t>
            </w:r>
          </w:p>
        </w:tc>
        <w:tc>
          <w:tcPr>
            <w:tcW w:type="dxa" w:w="6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Definition — link to your project</w:t>
            </w:r>
          </w:p>
        </w:tc>
        <w:tc>
          <w:tcPr>
            <w:tcW w:type="dxa" w:w="11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ECS Fargate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Elastic Container Service Fargate — AWS's serverless container execution environment. Runs Docker containers without requiring you to manage the underlying EC2 servers. DeployGuard deploys all user applications here.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Fargate Spot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discounted ECS Fargate capacity type that uses spare AWS compute. Up to 70% cheaper than On-Demand but subject to interruption with 2-minute notice. DeployGuard uses Spot by default for cost savings and handles interruptions via EventBridge.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VPC (Virtual Private Cloud)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isolated private network environment within AWS. DeployGuard provisions a VPC with public subnets (for the ALB) and private subnets (for ECS tasks) to enforce network separation between public-facing and internal workloads.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ALB (Application Load Balancer)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Layer 7 (HTTP/HTTPS-aware) AWS load balancer that distributes incoming traffic across healthy ECS tasks. DeployGuard uses the ALB's health check endpoint to detect failed containers and trigger zero-downtime rollbacks.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NAT Gateway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Allows ECS tasks in private subnets to initiate outbound internet connections (e.g., to pull packages or call APIs) without being directly accessible from the internet. DeployGuard provisions this as part of the standard VPC topology.</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ECR (Elastic Container Registry)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AWS's managed Docker image registry. DeployGuard pushes built container images to ECR, tagged immutably with the Git commit hash, and enforces lifecycle policies to automatically delete untagged images older than 30 days.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EFS (Elastic File System)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AWS's managed, scalable NFS file system. DeployGuard provisions EFS for stateful workloads — databases, file uploads — ensuring data persists across container restarts and Spot interruptions. All EFS volumes are encrypted at rest via AWS KMS.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AWS Cloud Map</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AWS's service discovery mechanism. DeployGuard uses Cloud Map for microservice architectures, allowing interconnected services to communicate via internal DNS without exposing traffic to the public internet.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EventBridge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AWS's event bus. DeployGuard subscribes to EventBridge to receive real-time Spot Interruption notices and EC2/ECS lifecycle events, enabling proactive resilience responses.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AWS SNS (Simple Notification Service)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AWS's managed pub/sub messaging service. DeployGuard uses SNS to dispatch real-time email webhooks for critical pipeline events — build failures, security blocks, successful deployments.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Term</w:t>
            </w:r>
          </w:p>
        </w:tc>
        <w:tc>
          <w:tcPr>
            <w:tcW w:type="dxa" w:w="6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Definition — link to your project</w:t>
            </w:r>
          </w:p>
        </w:tc>
        <w:tc>
          <w:tcPr>
            <w:tcW w:type="dxa" w:w="11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HashiCorp Terraform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open-source IaC tool that uses declarative configuration files to provision and manage cloud infrastructure. DeployGuard generates Terraform plans, applies them to create AWS resources, and manages their entire lifecycle.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terraform.tfstate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Terraform's state file — a JSON document recording the mapping between Terraform configuration and real deployed AWS resources. Corruption of this file can destroy infrastructure. DeployGuard stores it remotely in S3 with versioning enabled.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State Locking (S3 + DynamoDB)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mechanism to prevent two simultaneous Terraform applies from corrupting the same state file. DeployGuard writes a lock record to DynamoDB before each apply and releases it on completion. Concurrent deployments are queued, not collided.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terraform destroy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Terraform command that tears down all resources defined in the state file. DeployGuard exposes this through a dual-confirmation UI workflow and is configured to skip EFS volumes to prevent accidental data loss.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Execution Plan (terraform plan)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Terraform command that previews what resources will be created, modified, or destroyed before any changes are applied. DeployGuard runs terraform plan before every deployment and passes the output to Infracost for cost estimation.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Security &amp; DevSecOps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Term</w:t>
            </w:r>
          </w:p>
        </w:tc>
        <w:tc>
          <w:tcPr>
            <w:tcW w:type="dxa" w:w="6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Definition — link to your project</w:t>
            </w:r>
          </w:p>
        </w:tc>
        <w:tc>
          <w:tcPr>
            <w:tcW w:type="dxa" w:w="11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CVE (Common Vulnerabilities and Exposures)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publicly catalogued list of known security vulnerabilities in software. Aqua Trivy scans container images against the CVE database. DeployGuard blocks deployment if any Critical or High severity CVEs are found.</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Aqua Trivy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open-source container security scanner. It scans OS packages and application dependencies within a Docker image for known CVEs. DeployGuard integrates Trivy as a mandatory pre-deployment gate.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Shift-Left Security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The practice of integrating security checks earlier in the development lifecycle — before deployment — rather than after a breach occurs. DeployGuard enforces shift-left security by blocking insecure images before they reach AWS.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Distroless / Alpine Base Images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Minimal Docker base images that contain only the application runtime and no shell, package manager, or OS utilities. They have a dramatically smaller attack surface. DeployGuard's Docker templates use these by default.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Multi-Stage Docker Build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Dockerfile pattern where build dependencies are discarded in a final production stage, resulting in a smaller, more secure image. All DeployGuard Docker templates use multi-stage builds.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RBAC (Role-Based Access Control)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authorization model where permissions are assigned to roles rather than individual users. DeployGuard implements Admin, Developer, and Read-Only roles to control who can trigger deployments, view logs, or manage billing.</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AWS KMS (Key Management Service)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AWS's managed encryption key service. DeployGuard configures EFS volumes with KMS encryption at rest, ensuring that persistent data cannot be accessed without the correct IAM-controlled key.</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Backend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Term</w:t>
            </w:r>
          </w:p>
        </w:tc>
        <w:tc>
          <w:tcPr>
            <w:tcW w:type="dxa" w:w="6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Definition — link to your project</w:t>
            </w:r>
          </w:p>
        </w:tc>
        <w:tc>
          <w:tcPr>
            <w:tcW w:type="dxa" w:w="11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NestJS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structured, opinionated Node.js backend framework built on TypeScript. DeployGuard's orchestration engine is built on NestJS for its modular architecture, native TypeORM integration, and built-in dependency injection.</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BullMQ / Redis Queue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BullMQ is a Node.js job queue library backed by Redis. DeployGuard queues all long-running jobs — Terraform applies, Docker builds — in BullMQ so the NestJS API remains responsive. Jobs persist in Redis and survive worker restarts.</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TypeORM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object-relational mapper for TypeScript that maps database tables to TypeScript classes. DeployGuard uses TypeORM with PostgreSQL to manage user records, project data, deployment history, and immutable audit logs.</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Shallow Clone (git clone --depth=1)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Git clone that downloads only the most recent commit, not the full commit history. DeployGuard uses shallow clones to minimize network I/O when scanning repositories for stack detection.</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Abstract Syntax Tree (AST)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tree representation of source code structure. DeployGuard's stack detection engine can parse ASTs from configuration files to identify framework-specific patterns beyond simple filename matching.</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left"/>
            </w:pPr>
            <w:r>
              <w:rPr>
                <w:rFonts w:ascii="Arial" w:cs="Arial" w:eastAsia="Arial" w:hAnsi="Arial"/>
                <w:b/>
                <w:bCs/>
                <w:i w:val="false"/>
                <w:iCs w:val="false"/>
                <w:color w:val="7B2D8B"/>
                <w:sz w:val="18"/>
                <w:szCs w:val="18"/>
              </w:rPr>
              <w:t xml:space="preserve">GitHub OAuth</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authorization protocol that allows users to grant DeployGuard read access to their GitHub repositories without sharing their password. DeployGuard uses OAuth to link user accounts to their GitHub organizations.</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7B2D8B"/>
                <w:sz w:val="18"/>
                <w:szCs w:val="18"/>
              </w:rPr>
              <w:t xml:space="preserve">Faria</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Frontend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Term</w:t>
            </w:r>
          </w:p>
        </w:tc>
        <w:tc>
          <w:tcPr>
            <w:tcW w:type="dxa" w:w="6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Definition — link to your project</w:t>
            </w:r>
          </w:p>
        </w:tc>
        <w:tc>
          <w:tcPr>
            <w:tcW w:type="dxa" w:w="11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left"/>
            </w:pPr>
            <w:r>
              <w:rPr>
                <w:rFonts w:ascii="Arial" w:cs="Arial" w:eastAsia="Arial" w:hAnsi="Arial"/>
                <w:b/>
                <w:bCs/>
                <w:i w:val="false"/>
                <w:iCs w:val="false"/>
                <w:color w:val="B84C00"/>
                <w:sz w:val="18"/>
                <w:szCs w:val="18"/>
              </w:rPr>
              <w:t xml:space="preserve">Server-Sent Events (SSE)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HTTP-based protocol for server-to-client one-directional event streaming. DeployGuard streams live ECS task logs from the NestJS backend to the Next.js dashboard using SSE. It is simpler than WebSockets for read-only streaming.</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B84C00"/>
                <w:sz w:val="18"/>
                <w:szCs w:val="18"/>
              </w:rPr>
              <w:t xml:space="preserve">Tania</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left"/>
            </w:pPr>
            <w:r>
              <w:rPr>
                <w:rFonts w:ascii="Arial" w:cs="Arial" w:eastAsia="Arial" w:hAnsi="Arial"/>
                <w:b/>
                <w:bCs/>
                <w:i w:val="false"/>
                <w:iCs w:val="false"/>
                <w:color w:val="B84C00"/>
                <w:sz w:val="18"/>
                <w:szCs w:val="18"/>
              </w:rPr>
              <w:t xml:space="preserve">Prometheus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open-source monitoring system that scrapes metrics from application endpoints at regular intervals. DeployGuard uses Prometheus to collect CPU usage, RAM consumption, and HTTP latency from ECS tasks for dashboard visualization.</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B84C00"/>
                <w:sz w:val="18"/>
                <w:szCs w:val="18"/>
              </w:rPr>
              <w:t xml:space="preserve">Tania</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left"/>
            </w:pPr>
            <w:r>
              <w:rPr>
                <w:rFonts w:ascii="Arial" w:cs="Arial" w:eastAsia="Arial" w:hAnsi="Arial"/>
                <w:b/>
                <w:bCs/>
                <w:i w:val="false"/>
                <w:iCs w:val="false"/>
                <w:color w:val="B84C00"/>
                <w:sz w:val="18"/>
                <w:szCs w:val="18"/>
              </w:rPr>
              <w:t xml:space="preserve">LLM (Large Language Model)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neural network model trained on large text corpora capable of generating human-like text responses. DeployGuard integrates an LLM API to parse failed deployment logs and generate plain-English remediation instructions.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B84C00"/>
                <w:sz w:val="18"/>
                <w:szCs w:val="18"/>
              </w:rPr>
              <w:t xml:space="preserve">Tania</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left"/>
            </w:pPr>
            <w:r>
              <w:rPr>
                <w:rFonts w:ascii="Arial" w:cs="Arial" w:eastAsia="Arial" w:hAnsi="Arial"/>
                <w:b/>
                <w:bCs/>
                <w:i w:val="false"/>
                <w:iCs w:val="false"/>
                <w:color w:val="B84C00"/>
                <w:sz w:val="18"/>
                <w:szCs w:val="18"/>
              </w:rPr>
              <w:t xml:space="preserve">System Prompt (LLM)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set of instructions given to an LLM before a conversation begins, constraining its behavior. DeployGuard's chatbot has a domain-scoped system prompt limiting it to deployment log analysis and platform guidance only.</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B84C00"/>
                <w:sz w:val="18"/>
                <w:szCs w:val="18"/>
              </w:rPr>
              <w:t xml:space="preserve">Tania</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left"/>
            </w:pPr>
            <w:r>
              <w:rPr>
                <w:rFonts w:ascii="Arial" w:cs="Arial" w:eastAsia="Arial" w:hAnsi="Arial"/>
                <w:b/>
                <w:bCs/>
                <w:i w:val="false"/>
                <w:iCs w:val="false"/>
                <w:color w:val="B84C00"/>
                <w:sz w:val="18"/>
                <w:szCs w:val="18"/>
              </w:rPr>
              <w:t xml:space="preserve">ECR Lifecycle Policy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 rule that automatically deletes container images from AWS ECR based on age or tag status. DeployGuard configures a lifecycle policy to purge untagged images older than 30 days, reducing storage costs.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B84C00"/>
                <w:sz w:val="18"/>
                <w:szCs w:val="18"/>
              </w:rPr>
              <w:t xml:space="preserve">Tania</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80" w:before="240"/>
        <w:jc w:val="left"/>
      </w:pPr>
      <w:r>
        <w:rPr>
          <w:rFonts w:ascii="Arial" w:cs="Arial" w:eastAsia="Arial" w:hAnsi="Arial"/>
          <w:b/>
          <w:bCs/>
          <w:i w:val="false"/>
          <w:iCs w:val="false"/>
          <w:color w:val="2E75B6"/>
          <w:sz w:val="24"/>
          <w:szCs w:val="24"/>
        </w:rPr>
        <w:t xml:space="preserve">FinOps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Term</w:t>
            </w:r>
          </w:p>
        </w:tc>
        <w:tc>
          <w:tcPr>
            <w:tcW w:type="dxa" w:w="64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Definition — link to your project</w:t>
            </w:r>
          </w:p>
        </w:tc>
        <w:tc>
          <w:tcPr>
            <w:tcW w:type="dxa" w:w="11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Infracost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An open-source tool that reads a Terraform execution plan and queries the AWS pricing API to generate an estimated monthly cost for the planned infrastructure. DeployGuard displays this estimate and requires user approval before applying.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left"/>
            </w:pPr>
            <w:r>
              <w:rPr>
                <w:rFonts w:ascii="Arial" w:cs="Arial" w:eastAsia="Arial" w:hAnsi="Arial"/>
                <w:b/>
                <w:bCs/>
                <w:i w:val="false"/>
                <w:iCs w:val="false"/>
                <w:color w:val="1E6B2E"/>
                <w:sz w:val="18"/>
                <w:szCs w:val="18"/>
              </w:rPr>
              <w:t xml:space="preserve">FinOps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A1A1A"/>
                <w:sz w:val="18"/>
                <w:szCs w:val="18"/>
              </w:rPr>
              <w:t xml:space="preserve">Financial Operations — the practice of managing and optimizing cloud spending. DeployGuard embeds FinOps principles natively through pre-deployment cost estimation, Fargate Spot usage, and ECR lifecycle cost controls.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1E6B2E"/>
                <w:sz w:val="18"/>
                <w:szCs w:val="18"/>
              </w:rPr>
              <w:t xml:space="preserve">Hassan</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32F2F"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4"/>
                <w:szCs w:val="24"/>
              </w:rPr>
              <w:t xml:space="preserve">FINAL DAY CHECKLIST — READ THIS 30 MINUTES BEFORE ENTRY</w:t>
            </w:r>
          </w:p>
        </w:tc>
      </w:tr>
    </w:tbl>
    <w:p>
      <w:pPr>
        <w:spacing w:after="16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Mindset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You built this system. The panel did not. You know more about DeployGuard than anyone in that room. Speak from that authority.</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Opening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Hassan leads the opening problem statement. Faria explains the pipeline. Tania covers the AI layer and dashboard. Practice the handoffs so they feel smooth.</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Weaknesses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Every limitation has a prepared answer. AWS-only, GitHub-only, template boundaries, Spot interruptions — you have a polished response for each. Do not be rattled.</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Competitors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For every 'why not just use X' question — Raw AWS, Heroku, GitHub Actions, AWS Copilot — you have specific, factual comparison points ready.</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Terminology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You can define any term in your document. If asked 'what is Fargate Spot?', you link it immediately to your EventBridge resilience architecture.</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Domain ownership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Hassan owns all cloud, IaC, and security questions. Faria owns backend, architecture, and scope questions. Tania owns frontend, AI, and monitoring questions. Respect this division — do not all talk at once.</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The formula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For every hard question: Acknowledge the concern → State your design decision → Explain the reasoning → Mention future work if relevant. Never be defensive.</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If you do not know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Say: 'That is an interesting point. Our current design handles it by X, and we acknowledge Y as a future research direction.' Never guess a technical fact.</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Body language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Sit up. Speak to the panel, not your slides. Nod when a good question is asked. A calm, engaged demeanor signals professional maturity.</w:t>
            </w:r>
          </w:p>
        </w:tc>
      </w:tr>
    </w:tbl>
    <w:p>
      <w:pPr>
        <w:spacing w:after="8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spacing w:after="0" w:before="0"/>
              <w:jc w:val="left"/>
            </w:pPr>
            <w:r>
              <w:rPr>
                <w:rFonts w:ascii="Arial" w:cs="Arial" w:eastAsia="Arial" w:hAnsi="Arial"/>
                <w:b/>
                <w:bCs/>
                <w:i w:val="false"/>
                <w:iCs w:val="false"/>
                <w:color w:val="FFFFFF"/>
                <w:sz w:val="20"/>
                <w:szCs w:val="20"/>
              </w:rPr>
              <w:t xml:space="preserve">Last thing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A1A1A"/>
                <w:sz w:val="20"/>
                <w:szCs w:val="20"/>
              </w:rPr>
              <w:t xml:space="preserve">The panel wants to see that you understood what you built. Demonstrate that understanding in every answer. Good luck — you have prepared well.</w:t>
            </w:r>
          </w:p>
        </w:tc>
      </w:tr>
    </w:tbl>
    <w:p>
      <w:pPr>
        <w:spacing w:after="80" w:before="0"/>
        <w:jc w:val="left"/>
      </w:pPr>
      <w:r>
        <w:rPr>
          <w:rFonts w:ascii="Arial" w:cs="Arial" w:eastAsia="Arial" w:hAnsi="Arial"/>
          <w:b w:val="false"/>
          <w:bCs w:val="false"/>
          <w:i w:val="false"/>
          <w:iCs w:val="false"/>
          <w:color w:val="1A1A1A"/>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3C5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2026-03-05T19:14:16.801Z</dcterms:created>
  <dcterms:modified xsi:type="dcterms:W3CDTF">2026-03-05T19:14:16.803Z</dcterms:modified>
</cp:coreProperties>
</file>

<file path=docProps/custom.xml><?xml version="1.0" encoding="utf-8"?>
<Properties xmlns="http://schemas.openxmlformats.org/officeDocument/2006/custom-properties" xmlns:vt="http://schemas.openxmlformats.org/officeDocument/2006/docPropsVTypes"/>
</file>