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BMW DATENSCHUTZ AGREEMENT PLAYBOOK</w:t>
      </w:r>
    </w:p>
    <w:p>
      <w:r>
        <w:t xml:space="preserve">A practical guide to reviewing and negotiating BMW-focused contract clauses.</w:t>
      </w:r>
    </w:p>
    <w:p>
      <w:r>
        <w:t xml:space="preserve">Classification: Synthetic demo playbook for Harvey hackathon use only.</w:t>
      </w:r>
    </w:p>
    <w:p>
      <w:r>
        <w:t xml:space="preserve">How to use this playbook: review each clause, compare the draft against the preferred position, use fallback language only where risk is acceptable, and escalate red lines before signature.</w:t>
      </w:r>
    </w:p>
    <w:p>
      <w:pPr>
        <w:pStyle w:val="Heading1"/>
      </w:pPr>
      <w:r>
        <w:t xml:space="preserve">Clause 1: BMW contracting entity required (DP-001)</w:t>
      </w:r>
    </w:p>
    <w:p>
      <w:r>
        <w:t xml:space="preserve">Why it matters: The legal entity determines controller identity, signature authority, notification routing, and audit ownership.</w:t>
      </w:r>
    </w:p>
    <w:p>
      <w:r>
        <w:t xml:space="preserve">Preferred position: Name the BMW entity, registered address, role as controller, and operational contact for privacy notices.</w:t>
      </w:r>
    </w:p>
    <w:p>
      <w:r>
        <w:t xml:space="preserve">Fallback 1: Permit a schedule to identify the BMW entity before signature if procurement routing is still open.</w:t>
      </w:r>
    </w:p>
    <w:p>
      <w:r>
        <w:t xml:space="preserve">Fallback 2: Use BMW AG as placeholder only with legal approval and a required pre-signature update.</w:t>
      </w:r>
    </w:p>
    <w:p>
      <w:r>
        <w:t xml:space="preserve">Red line: No BMW entity, wrong BMW entity, or supplier-only party description.</w:t>
      </w:r>
    </w:p>
    <w:p>
      <w:r>
        <w:t xml:space="preserve">Escalation trigger: Escalate if the supplier refuses to identify the BMW controller or insists on an affiliate catch-all.</w:t>
      </w:r>
    </w:p>
    <w:p>
      <w:r>
        <w:t xml:space="preserve">Approved fix: Controller means BMW AG, Petuelring 130, 80788 Muenchen, Germany, or the BMW group company identified in Order Form 1.</w:t>
      </w:r>
    </w:p>
    <w:p>
      <w:r>
        <w:t xml:space="preserve">Legal basis: GDPR Art. 28; accountability under GDPR Art. 5(2) and Art. 24.</w:t>
      </w:r>
    </w:p>
    <w:p>
      <w:pPr>
        <w:pStyle w:val="Heading1"/>
      </w:pPr>
      <w:r>
        <w:t xml:space="preserve">Clause 2: Subprocessor list required (DP-002)</w:t>
      </w:r>
    </w:p>
    <w:p>
      <w:r>
        <w:t xml:space="preserve">Why it matters: BMW needs an auditable chain of processors and a practical objection right before data is moved to a new supplier.</w:t>
      </w:r>
    </w:p>
    <w:p>
      <w:r>
        <w:t xml:space="preserve">Preferred position: Attach a named subprocessor table with role, location, data categories, and 30-day prior notice for changes.</w:t>
      </w:r>
    </w:p>
    <w:p>
      <w:r>
        <w:t xml:space="preserve">Fallback 1: Accept a live URL only if a dated export is attached at signature and BMW receives 30-day notice.</w:t>
      </w:r>
    </w:p>
    <w:p>
      <w:r>
        <w:t xml:space="preserve">Fallback 2: Accept general authorization for low-risk support subprocessors with a 30-day objection right.</w:t>
      </w:r>
    </w:p>
    <w:p>
      <w:r>
        <w:t xml:space="preserve">Red line: Undisclosed subprocessors, blanket approval, or notice after onboarding.</w:t>
      </w:r>
    </w:p>
    <w:p>
      <w:r>
        <w:t xml:space="preserve">Escalation trigger: Escalate if the subprocessor list is missing for personal data processing or objection rights are removed.</w:t>
      </w:r>
    </w:p>
    <w:p>
      <w:r>
        <w:t xml:space="preserve">Approved fix: Processor may use only the subprocessors listed in Annex 3 and must give BMW at least 30 days' prior written notice of changes.</w:t>
      </w:r>
    </w:p>
    <w:p>
      <w:r>
        <w:t xml:space="preserve">Legal basis: GDPR Art. 28(2) and 28(4).</w:t>
      </w:r>
    </w:p>
    <w:p>
      <w:pPr>
        <w:pStyle w:val="Heading1"/>
      </w:pPr>
      <w:r>
        <w:t xml:space="preserve">Clause 3: Data subject rights cannot be waived (DP-003)</w:t>
      </w:r>
    </w:p>
    <w:p>
      <w:r>
        <w:t xml:space="preserve">Why it matters: A waiver clause conflicts with the GDPR rights model and creates immediate legal and reputational risk.</w:t>
      </w:r>
    </w:p>
    <w:p>
      <w:r>
        <w:t xml:space="preserve">Preferred position: Preserve all statutory rights and require processor assistance within five business days.</w:t>
      </w:r>
    </w:p>
    <w:p>
      <w:r>
        <w:t xml:space="preserve">Fallback 1: Permit processor to redirect requests to BMW if it also preserves evidence and notifies BMW within two business days.</w:t>
      </w:r>
    </w:p>
    <w:p>
      <w:r>
        <w:t xml:space="preserve">Fallback 2: Permit operational request-routing language only if it does not limit statutory rights.</w:t>
      </w:r>
    </w:p>
    <w:p>
      <w:r>
        <w:t xml:space="preserve">Red line: Any waiver, release, opt-out, or contractual limitation of GDPR data subject rights.</w:t>
      </w:r>
    </w:p>
    <w:p>
      <w:r>
        <w:t xml:space="preserve">Escalation trigger: Escalate immediately if the contract says data subjects waive all data subject rights or similar wording.</w:t>
      </w:r>
    </w:p>
    <w:p>
      <w:r>
        <w:t xml:space="preserve">Approved fix: Nothing in this Agreement limits rights available to data subjects under applicable data protection law.</w:t>
      </w:r>
    </w:p>
    <w:p>
      <w:r>
        <w:t xml:space="preserve">Legal basis: GDPR Art. 12-22 and Art. 28(3)(e).</w:t>
      </w:r>
    </w:p>
    <w:p>
      <w:pPr>
        <w:pStyle w:val="Heading1"/>
      </w:pPr>
      <w:r>
        <w:t xml:space="preserve">Clause 4: Processor instructions and purpose limitation (DP-004)</w:t>
      </w:r>
    </w:p>
    <w:p>
      <w:r>
        <w:t xml:space="preserve">Why it matters: Purpose drift turns a processor into an uncontrolled decision-maker and can invalidate the processing structure.</w:t>
      </w:r>
    </w:p>
    <w:p>
      <w:r>
        <w:t xml:space="preserve">Preferred position: Processing only for documented BMW instructions, with immediate notice if an instruction appears unlawful.</w:t>
      </w:r>
    </w:p>
    <w:p>
      <w:r>
        <w:t xml:space="preserve">Fallback 1: Allow narrowly defined service analytics if aggregated and approved in the order form.</w:t>
      </w:r>
    </w:p>
    <w:p>
      <w:r>
        <w:t xml:space="preserve">Fallback 2: Allow security telemetry only if it cannot identify BMW personnel, drivers, or vehicle users.</w:t>
      </w:r>
    </w:p>
    <w:p>
      <w:r>
        <w:t xml:space="preserve">Red line: Supplier may reuse BMW personal data for product development, benchmarking, AI training, or unrelated analytics.</w:t>
      </w:r>
    </w:p>
    <w:p>
      <w:r>
        <w:t xml:space="preserve">Escalation trigger: Escalate if supplier claims independent rights to use personal data outside BMW instructions.</w:t>
      </w:r>
    </w:p>
    <w:p>
      <w:r>
        <w:t xml:space="preserve">Approved fix: Processor will not use BMW personal data for model training, benchmarking, or product development unless BMW gives prior written approval.</w:t>
      </w:r>
    </w:p>
    <w:p>
      <w:r>
        <w:t xml:space="preserve">Legal basis: GDPR Art. 5(1)(b), Art. 28(3)(a), and controller-processor guidance.</w:t>
      </w:r>
    </w:p>
    <w:p>
      <w:pPr>
        <w:pStyle w:val="Heading1"/>
      </w:pPr>
      <w:r>
        <w:t xml:space="preserve">Clause 5: Security measures and TOM annex (DP-005)</w:t>
      </w:r>
    </w:p>
    <w:p>
      <w:r>
        <w:t xml:space="preserve">Why it matters: BMW cannot assess risk or prove accountability if the contract only promises generic reasonable security.</w:t>
      </w:r>
    </w:p>
    <w:p>
      <w:r>
        <w:t xml:space="preserve">Preferred position: Attach a TOM annex with encryption in transit and at rest, MFA, least privilege, audit logs, backup controls, and vulnerability SLAs.</w:t>
      </w:r>
    </w:p>
    <w:p>
      <w:r>
        <w:t xml:space="preserve">Fallback 1: Accept SOC 2 Type II, ISO 27001, or TISAX evidence plus a short contract annex for BMW-specific controls.</w:t>
      </w:r>
    </w:p>
    <w:p>
      <w:r>
        <w:t xml:space="preserve">Fallback 2: Accept a security questionnaire only for low-risk processing and only until the TOM annex is complete.</w:t>
      </w:r>
    </w:p>
    <w:p>
      <w:r>
        <w:t xml:space="preserve">Red line: No TOM annex, no audit evidence, no encryption commitment, or supplier can lower controls unilaterally.</w:t>
      </w:r>
    </w:p>
    <w:p>
      <w:r>
        <w:t xml:space="preserve">Escalation trigger: Escalate if special category data, vehicle location data, or employee data is processed without a TOM annex.</w:t>
      </w:r>
    </w:p>
    <w:p>
      <w:r>
        <w:t xml:space="preserve">Approved fix: Processor shall maintain the TOMs in Annex 2 and may not materially reduce them without BMW's prior written approval.</w:t>
      </w:r>
    </w:p>
    <w:p>
      <w:r>
        <w:t xml:space="preserve">Legal basis: GDPR Art. 32 and Art. 28(3)(c).</w:t>
      </w:r>
    </w:p>
    <w:p>
      <w:pPr>
        <w:pStyle w:val="Heading1"/>
      </w:pPr>
      <w:r>
        <w:t xml:space="preserve">Clause 6: Personal data breach notification (DP-006)</w:t>
      </w:r>
    </w:p>
    <w:p>
      <w:r>
        <w:t xml:space="preserve">Why it matters: BMW may have a 72-hour supervisory authority deadline and needs facts, affected data, mitigation, and logs quickly.</w:t>
      </w:r>
    </w:p>
    <w:p>
      <w:r>
        <w:t xml:space="preserve">Preferred position: 24-hour initial notice, rolling updates every 12 hours during active containment, and a final report within five business days.</w:t>
      </w:r>
    </w:p>
    <w:p>
      <w:r>
        <w:t xml:space="preserve">Fallback 1: 36-hour notice only if supplier operates a staffed incident desk and provides immediate phone escalation for severe events.</w:t>
      </w:r>
    </w:p>
    <w:p>
      <w:r>
        <w:t xml:space="preserve">Fallback 2: 48-hour notice for low-risk support data with no vehicle, employee, payment, or credential data.</w:t>
      </w:r>
    </w:p>
    <w:p>
      <w:r>
        <w:t xml:space="preserve">Red line: Notice only after confirmation, more than 48 hours, or supplier discretion over whether BMW is notified.</w:t>
      </w:r>
    </w:p>
    <w:p>
      <w:r>
        <w:t xml:space="preserve">Escalation trigger: Escalate if the draft gives 72 hours or more, or starts the clock after full investigation rather than awareness.</w:t>
      </w:r>
    </w:p>
    <w:p>
      <w:r>
        <w:t xml:space="preserve">Approved fix: Processor shall notify BMW within 24 hours after becoming aware of any actual or suspected personal data breach.</w:t>
      </w:r>
    </w:p>
    <w:p>
      <w:r>
        <w:t xml:space="preserve">Legal basis: GDPR Art. 33, Art. 34, and Art. 28(3)(f).</w:t>
      </w:r>
    </w:p>
    <w:p>
      <w:pPr>
        <w:pStyle w:val="Heading1"/>
      </w:pPr>
      <w:r>
        <w:t xml:space="preserve">Clause 7: Third-country transfers and remote access (DP-007)</w:t>
      </w:r>
    </w:p>
    <w:p>
      <w:r>
        <w:t xml:space="preserve">Why it matters: Remote access from outside the EU/EEA can be a restricted transfer and must be controlled before signature.</w:t>
      </w:r>
    </w:p>
    <w:p>
      <w:r>
        <w:t xml:space="preserve">Preferred position: EU/EEA hosting and support, with named exceptions approved by BMW Privacy Legal and the DPO.</w:t>
      </w:r>
    </w:p>
    <w:p>
      <w:r>
        <w:t xml:space="preserve">Fallback 1: Permit approved third-country support under SCCs, transfer impact assessment, encryption, and named personnel.</w:t>
      </w:r>
    </w:p>
    <w:p>
      <w:r>
        <w:t xml:space="preserve">Fallback 2: Permit emergency break-glass support with access logs, time limits, and post-event reporting.</w:t>
      </w:r>
    </w:p>
    <w:p>
      <w:r>
        <w:t xml:space="preserve">Red line: Unrestricted US, India, or global access; SCCs to be agreed later; or onward transfers without BMW approval.</w:t>
      </w:r>
    </w:p>
    <w:p>
      <w:r>
        <w:t xml:space="preserve">Escalation trigger: Escalate if the draft references third-country processing without completed safeguards.</w:t>
      </w:r>
    </w:p>
    <w:p>
      <w:r>
        <w:t xml:space="preserve">Approved fix: No third-country transfer or remote access is permitted unless listed in Annex 3 and approved by BMW in writing.</w:t>
      </w:r>
    </w:p>
    <w:p>
      <w:r>
        <w:t xml:space="preserve">Legal basis: GDPR Art. 44-46 and Schrems II transfer assessment principles.</w:t>
      </w:r>
    </w:p>
    <w:p>
      <w:pPr>
        <w:pStyle w:val="Heading1"/>
      </w:pPr>
      <w:r>
        <w:t xml:space="preserve">Clause 8: Audit rights and evidence access (DP-008)</w:t>
      </w:r>
    </w:p>
    <w:p>
      <w:r>
        <w:t xml:space="preserve">Why it matters: Audit rights make processor commitments testable and support BMW accountability to regulators and customers.</w:t>
      </w:r>
    </w:p>
    <w:p>
      <w:r>
        <w:t xml:space="preserve">Preferred position: Annual third-party assurance report plus BMW audit right on 30 days' notice, with emergency audits after incidents.</w:t>
      </w:r>
    </w:p>
    <w:p>
      <w:r>
        <w:t xml:space="preserve">Fallback 1: Remote audit and evidence package if data is low risk and the supplier provides current independent assurance.</w:t>
      </w:r>
    </w:p>
    <w:p>
      <w:r>
        <w:t xml:space="preserve">Fallback 2: Questionnaire-only audit for small vendors with no production personal data.</w:t>
      </w:r>
    </w:p>
    <w:p>
      <w:r>
        <w:t xml:space="preserve">Red line: Supplier can refuse all audits or provide only self-certification for high-risk processing.</w:t>
      </w:r>
    </w:p>
    <w:p>
      <w:r>
        <w:t xml:space="preserve">Escalation trigger: Escalate if audit rights are missing for vehicle, employee, credential, or production customer data.</w:t>
      </w:r>
    </w:p>
    <w:p>
      <w:r>
        <w:t xml:space="preserve">Approved fix: Processor shall make available all information necessary to demonstrate compliance and allow audits by BMW or its auditor.</w:t>
      </w:r>
    </w:p>
    <w:p>
      <w:r>
        <w:t xml:space="preserve">Legal basis: GDPR Art. 28(3)(h).</w:t>
      </w:r>
    </w:p>
    <w:p>
      <w:pPr>
        <w:pStyle w:val="Heading1"/>
      </w:pPr>
      <w:r>
        <w:t xml:space="preserve">Clause 9: Return and deletion after termination (DP-009)</w:t>
      </w:r>
    </w:p>
    <w:p>
      <w:r>
        <w:t xml:space="preserve">Why it matters: Long retention increases breach exposure and can conflict with storage limitation requirements.</w:t>
      </w:r>
    </w:p>
    <w:p>
      <w:r>
        <w:t xml:space="preserve">Preferred position: Return or deletion within 30 days, backup purge within 90 days, and certificate of deletion.</w:t>
      </w:r>
    </w:p>
    <w:p>
      <w:r>
        <w:t xml:space="preserve">Fallback 1: 45-day production deletion with 120-day backup purge for complex hosted services.</w:t>
      </w:r>
    </w:p>
    <w:p>
      <w:r>
        <w:t xml:space="preserve">Fallback 2: Longer retention only for named legal obligations and segregated read-only archives.</w:t>
      </w:r>
    </w:p>
    <w:p>
      <w:r>
        <w:t xml:space="preserve">Red line: Retention for analytics, benchmarking, model training, or undefined business purposes after termination.</w:t>
      </w:r>
    </w:p>
    <w:p>
      <w:r>
        <w:t xml:space="preserve">Escalation trigger: Escalate if deletion exceeds 90 days for active systems or 180 days for backups.</w:t>
      </w:r>
    </w:p>
    <w:p>
      <w:r>
        <w:t xml:space="preserve">Approved fix: Processor shall delete or return BMW personal data within 30 days and purge backups within 90 days unless law requires retention.</w:t>
      </w:r>
    </w:p>
    <w:p>
      <w:r>
        <w:t xml:space="preserve">Legal basis: GDPR Art. 5(1)(e) and Art. 28(3)(g).</w:t>
      </w:r>
    </w:p>
    <w:p>
      <w:pPr>
        <w:pStyle w:val="Heading1"/>
      </w:pPr>
      <w:r>
        <w:t xml:space="preserve">Clause 10: Data subject request assistance (DP-010)</w:t>
      </w:r>
    </w:p>
    <w:p>
      <w:r>
        <w:t xml:space="preserve">Why it matters: BMW remains accountable for statutory response deadlines even when data is held by a supplier.</w:t>
      </w:r>
    </w:p>
    <w:p>
      <w:r>
        <w:t xml:space="preserve">Preferred position: Two-business-day notice to BMW and five-business-day assistance with search, export, correction, deletion, and restriction.</w:t>
      </w:r>
    </w:p>
    <w:p>
      <w:r>
        <w:t xml:space="preserve">Fallback 1: Seven-business-day assistance for low-volume back-office data.</w:t>
      </w:r>
    </w:p>
    <w:p>
      <w:r>
        <w:t xml:space="preserve">Fallback 2: Longer assistance only if the request requires archive restoration and supplier gives status updates.</w:t>
      </w:r>
    </w:p>
    <w:p>
      <w:r>
        <w:t xml:space="preserve">Red line: Supplier may ignore requests, charge uncapped fees, or respond to data subjects without BMW instruction.</w:t>
      </w:r>
    </w:p>
    <w:p>
      <w:r>
        <w:t xml:space="preserve">Escalation trigger: Escalate if supplier refuses operational assistance or tries to make BMW waive response obligations.</w:t>
      </w:r>
    </w:p>
    <w:p>
      <w:r>
        <w:t xml:space="preserve">Approved fix: Processor shall notify BMW within two business days and provide reasonable assistance within five business days at no extra charge.</w:t>
      </w:r>
    </w:p>
    <w:p>
      <w:r>
        <w:t xml:space="preserve">Legal basis: GDPR Art. 12-22 and Art. 28(3)(e).</w:t>
      </w:r>
    </w:p>
    <w:p>
      <w:pPr>
        <w:pStyle w:val="Heading1"/>
      </w:pPr>
      <w:r>
        <w:t xml:space="preserve">Clause 11: AI training and derived data (DP-011)</w:t>
      </w:r>
    </w:p>
    <w:p>
      <w:r>
        <w:t xml:space="preserve">Why it matters: AI training can create persistence, re-identification, trade secret, and transparency problems beyond the service purpose.</w:t>
      </w:r>
    </w:p>
    <w:p>
      <w:r>
        <w:t xml:space="preserve">Preferred position: No AI model training, benchmarking, or synthetic data generation from BMW data unless approved in a separate AI/data use addendum.</w:t>
      </w:r>
    </w:p>
    <w:p>
      <w:r>
        <w:t xml:space="preserve">Fallback 1: Allow aggregate service metrics only if irreversible, non-personal, and not customer-comparative.</w:t>
      </w:r>
    </w:p>
    <w:p>
      <w:r>
        <w:t xml:space="preserve">Fallback 2: Allow security anomaly models only on minimized logs and only for providing the service to BMW.</w:t>
      </w:r>
    </w:p>
    <w:p>
      <w:r>
        <w:t xml:space="preserve">Red line: Any right to train general models or share derived insights with other automotive customers.</w:t>
      </w:r>
    </w:p>
    <w:p>
      <w:r>
        <w:t xml:space="preserve">Escalation trigger: Escalate if supplier asks for AI training rights or a broad anonymized-data license.</w:t>
      </w:r>
    </w:p>
    <w:p>
      <w:r>
        <w:t xml:space="preserve">Approved fix: Supplier shall not use BMW data or derived data for AI training except under a separately signed BMW AI addendum.</w:t>
      </w:r>
    </w:p>
    <w:p>
      <w:r>
        <w:t xml:space="preserve">Legal basis: GDPR Art. 5, Art. 6, Art. 25, Art. 28, and BMW AI governance policy.</w:t>
      </w:r>
    </w:p>
    <w:p>
      <w:pPr>
        <w:pStyle w:val="Heading1"/>
      </w:pPr>
      <w:r>
        <w:t xml:space="preserve">Clause 12: Employee, driver, and vehicle data sensitivity (DP-012)</w:t>
      </w:r>
    </w:p>
    <w:p>
      <w:r>
        <w:t xml:space="preserve">Why it matters: These categories raise heightened privacy, employment, works council, and reputational risk in Germany.</w:t>
      </w:r>
    </w:p>
    <w:p>
      <w:r>
        <w:t xml:space="preserve">Preferred position: Attach a schedule covering data categories, legal basis, retention, works council dependency, and DPIA status.</w:t>
      </w:r>
    </w:p>
    <w:p>
      <w:r>
        <w:t xml:space="preserve">Fallback 1: Permit only pseudonymous vehicle telemetry until the complete schedule is approved.</w:t>
      </w:r>
    </w:p>
    <w:p>
      <w:r>
        <w:t xml:space="preserve">Fallback 2: Permit pilot data with synthetic or masked identifiers and no employee monitoring use.</w:t>
      </w:r>
    </w:p>
    <w:p>
      <w:r>
        <w:t xml:space="preserve">Red line: Hidden employee monitoring, location tracking without necessity analysis, or missing DPIA decision.</w:t>
      </w:r>
    </w:p>
    <w:p>
      <w:r>
        <w:t xml:space="preserve">Escalation trigger: Escalate if the draft includes employee, precise location, or driver behavior data without a schedule.</w:t>
      </w:r>
    </w:p>
    <w:p>
      <w:r>
        <w:t xml:space="preserve">Approved fix: The data categories in Annex 1 are exhaustive and may be expanded only by written BMW Privacy Legal approval.</w:t>
      </w:r>
    </w:p>
    <w:p>
      <w:r>
        <w:t xml:space="preserve">Legal basis: GDPR Art. 5, Art. 6, Art. 9 where relevant, BDSG Section 26, and GDPR Art. 35.</w:t>
      </w:r>
    </w:p>
    <w:sectPr>
      <w:pgSz w:w="11906" w:h="16838"/>
      <w:pgMar w:top="1440" w:right="1440" w:bottom="1440" w:left="1440"/>
    </w:sectPr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BMW_Datenschutz_Playbook_2026</dc:title>
  <dc:creator>Harvey mock data generator</dc:creator>
  <cp:lastModifiedBy>Harvey mock data generator</cp:lastModifiedBy>
  <dcterms:created xsi:type="dcterms:W3CDTF">2026-04-25T17:10:44Z</dcterms:created>
  <dcterms:modified xsi:type="dcterms:W3CDTF">2026-04-25T17:10:44Z</dcterms:modified>
</cp:coreProperties>
</file>