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BMW GERMAN LITIGATION PLAYBOOK</w:t>
      </w:r>
    </w:p>
    <w:p>
      <w:r>
        <w:t xml:space="preserve">A practical guide to reviewing and negotiating BMW-focused contract clauses.</w:t>
      </w:r>
    </w:p>
    <w:p>
      <w:r>
        <w:t xml:space="preserve">Classification: Synthetic demo playbook for Harvey hackathon use only.</w:t>
      </w:r>
    </w:p>
    <w:p>
      <w:r>
        <w:t xml:space="preserve">How to use this playbook: review each clause, compare the draft against the preferred position, use fallback language only where risk is acceptable, and escalate red lines before signature.</w:t>
      </w:r>
    </w:p>
    <w:p>
      <w:pPr>
        <w:pStyle w:val="Heading1"/>
      </w:pPr>
      <w:r>
        <w:t xml:space="preserve">Clause 1: Governing law required (LT-001)</w:t>
      </w:r>
    </w:p>
    <w:p>
      <w:r>
        <w:t xml:space="preserve">Why it matters: Undefined law and forum increase procedural uncertainty, cost, and enforcement risk.</w:t>
      </w:r>
    </w:p>
    <w:p>
      <w:r>
        <w:t xml:space="preserve">Preferred position: German law with Munich courts or DIS arbitration seated in Munich, with interim relief carve-out.</w:t>
      </w:r>
    </w:p>
    <w:p>
      <w:r>
        <w:t xml:space="preserve">Fallback 1: Neutral EU law and forum approved by BMW Legal for balanced cross-border matters.</w:t>
      </w:r>
    </w:p>
    <w:p>
      <w:r>
        <w:t xml:space="preserve">Fallback 2: Counterparty forum only for low-value, local, non-precedential disputes with legal sign-off.</w:t>
      </w:r>
    </w:p>
    <w:p>
      <w:r>
        <w:t xml:space="preserve">Red line: No governing law, no forum, or exclusive supplier home courts for high-value BMW disputes.</w:t>
      </w:r>
    </w:p>
    <w:p>
      <w:r>
        <w:t xml:space="preserve">Escalation trigger: Escalate if governing law is missing, non-EU, or conflicts with the litigation strategy.</w:t>
      </w:r>
    </w:p>
    <w:p>
      <w:r>
        <w:t xml:space="preserve">Approved fix: This Agreement is governed by German law. The courts of Munich have exclusive jurisdiction, subject to interim relief.</w:t>
      </w:r>
    </w:p>
    <w:p>
      <w:r>
        <w:t xml:space="preserve">Legal basis: ZPO Section 38; Rome I; commercial arbitration practice.</w:t>
      </w:r>
    </w:p>
    <w:p>
      <w:pPr>
        <w:pStyle w:val="Heading1"/>
      </w:pPr>
      <w:r>
        <w:t xml:space="preserve">Clause 2: Settlement authority (LT-002)</w:t>
      </w:r>
    </w:p>
    <w:p>
      <w:r>
        <w:t xml:space="preserve">Why it matters: Settlement decisions can create precedent, regulatory admissions, financial exposure, and publicity risk.</w:t>
      </w:r>
    </w:p>
    <w:p>
      <w:r>
        <w:t xml:space="preserve">Preferred position: Only BMW Legal or a named authorized representative may approve settlement, admission, compromise, or consent order.</w:t>
      </w:r>
    </w:p>
    <w:p>
      <w:r>
        <w:t xml:space="preserve">Fallback 1: Business owner may approve purely commercial service credits below a named threshold with legal notice.</w:t>
      </w:r>
    </w:p>
    <w:p>
      <w:r>
        <w:t xml:space="preserve">Fallback 2: Outside counsel may negotiate but not bind BMW without written authority.</w:t>
      </w:r>
    </w:p>
    <w:p>
      <w:r>
        <w:t xml:space="preserve">Red line: Supplier, business stakeholder, insurer, or outside counsel can settle or admit liability without BMW Legal approval.</w:t>
      </w:r>
    </w:p>
    <w:p>
      <w:r>
        <w:t xml:space="preserve">Escalation trigger: Escalate if settlement authority is delegated outside BMW Legal or is silent in a dispute-support contract.</w:t>
      </w:r>
    </w:p>
    <w:p>
      <w:r>
        <w:t xml:space="preserve">Approved fix: No settlement, admission, consent order, or compromise may be made without prior written approval from BMW Legal.</w:t>
      </w:r>
    </w:p>
    <w:p>
      <w:r>
        <w:t xml:space="preserve">Legal basis: BMW litigation governance; authority and mandate principles under German civil law.</w:t>
      </w:r>
    </w:p>
    <w:p>
      <w:pPr>
        <w:pStyle w:val="Heading1"/>
      </w:pPr>
      <w:r>
        <w:t xml:space="preserve">Clause 3: Unlimited liability escalation (LT-003)</w:t>
      </w:r>
    </w:p>
    <w:p>
      <w:r>
        <w:t xml:space="preserve">Why it matters: Unlimited liability can exceed the value of the transaction and may interact with statutory non-excludable liability.</w:t>
      </w:r>
    </w:p>
    <w:p>
      <w:r>
        <w:t xml:space="preserve">Preferred position: Use the approved cap matrix, with carve-outs only for intent, gross negligence where required, confidentiality, IP, and data protection as approved.</w:t>
      </w:r>
    </w:p>
    <w:p>
      <w:r>
        <w:t xml:space="preserve">Fallback 1: Higher cap for defined high-risk breaches if insurance, fault standard, and direct-damages limits are clear.</w:t>
      </w:r>
    </w:p>
    <w:p>
      <w:r>
        <w:t xml:space="preserve">Fallback 2: Separate super-cap for data protection or confidentiality breaches approved by BMW Legal.</w:t>
      </w:r>
    </w:p>
    <w:p>
      <w:r>
        <w:t xml:space="preserve">Red line: BMW accepts unlimited liability, uncapped indemnity, punitive damages, or open-ended consequential damages.</w:t>
      </w:r>
    </w:p>
    <w:p>
      <w:r>
        <w:t xml:space="preserve">Escalation trigger: Escalate any unlimited liability clause before business approval.</w:t>
      </w:r>
    </w:p>
    <w:p>
      <w:r>
        <w:t xml:space="preserve">Approved fix: Liability is capped at 100 percent of annual fees, except for mandatory statutory liability and agreed carve-outs approved by BMW Legal.</w:t>
      </w:r>
    </w:p>
    <w:p>
      <w:r>
        <w:t xml:space="preserve">Legal basis: BGB Sections 276, 307, 309, and 310; BMW liability matrix.</w:t>
      </w:r>
    </w:p>
    <w:p>
      <w:pPr>
        <w:pStyle w:val="Heading1"/>
      </w:pPr>
      <w:r>
        <w:t xml:space="preserve">Clause 4: Litigation hold and evidence preservation (LT-004)</w:t>
      </w:r>
    </w:p>
    <w:p>
      <w:r>
        <w:t xml:space="preserve">Why it matters: Deleted evidence can damage BMW's position, increase sanctions risk, and undermine expert testimony.</w:t>
      </w:r>
    </w:p>
    <w:p>
      <w:r>
        <w:t xml:space="preserve">Preferred position: Immediate hold acknowledgement, preservation of custodians and systems, audit log retention, and named hold owner.</w:t>
      </w:r>
    </w:p>
    <w:p>
      <w:r>
        <w:t xml:space="preserve">Fallback 1: 48-hour acknowledgement for low-risk suppliers with automated deletion paused within five business days.</w:t>
      </w:r>
    </w:p>
    <w:p>
      <w:r>
        <w:t xml:space="preserve">Fallback 2: Targeted preservation scope if BMW Legal approves search terms, custodians, and date ranges.</w:t>
      </w:r>
    </w:p>
    <w:p>
      <w:r>
        <w:t xml:space="preserve">Red line: Supplier may delete, overwrite, rotate logs, or charge hold fees before preserving evidence.</w:t>
      </w:r>
    </w:p>
    <w:p>
      <w:r>
        <w:t xml:space="preserve">Escalation trigger: Escalate if the supplier refuses to suspend deletion or limits preservation to paid work orders.</w:t>
      </w:r>
    </w:p>
    <w:p>
      <w:r>
        <w:t xml:space="preserve">Approved fix: Upon BMW's notice, Supplier shall immediately preserve relevant records and suspend deletion routines for held data.</w:t>
      </w:r>
    </w:p>
    <w:p>
      <w:r>
        <w:t xml:space="preserve">Legal basis: German civil procedure evidence strategy; ZPO disclosure and proof principles.</w:t>
      </w:r>
    </w:p>
    <w:p>
      <w:pPr>
        <w:pStyle w:val="Heading1"/>
      </w:pPr>
      <w:r>
        <w:t xml:space="preserve">Clause 5: Privilege and legal confidentiality (LT-005)</w:t>
      </w:r>
    </w:p>
    <w:p>
      <w:r>
        <w:t xml:space="preserve">Why it matters: Poor privilege handling can waive protections or reveal litigation strategy.</w:t>
      </w:r>
    </w:p>
    <w:p>
      <w:r>
        <w:t xml:space="preserve">Preferred position: Segregate privileged materials, label counsel work product, and route third-party requests to BMW Legal immediately.</w:t>
      </w:r>
    </w:p>
    <w:p>
      <w:r>
        <w:t xml:space="preserve">Fallback 1: Use a privilege protocol in the statement of work if the supplier handles mixed technical and legal materials.</w:t>
      </w:r>
    </w:p>
    <w:p>
      <w:r>
        <w:t xml:space="preserve">Fallback 2: Permit disclosure only after legally required production and only after BMW has a chance to seek protection.</w:t>
      </w:r>
    </w:p>
    <w:p>
      <w:r>
        <w:t xml:space="preserve">Red line: Supplier may disclose privileged documents, investigation notes, or legal strategy without prior notice.</w:t>
      </w:r>
    </w:p>
    <w:p>
      <w:r>
        <w:t xml:space="preserve">Escalation trigger: Escalate if subpoena, regulator, or adverse-party language lacks prompt BMW Legal notice.</w:t>
      </w:r>
    </w:p>
    <w:p>
      <w:r>
        <w:t xml:space="preserve">Approved fix: Supplier shall notify BMW Legal immediately and disclose only the minimum required after BMW has had an opportunity to object.</w:t>
      </w:r>
    </w:p>
    <w:p>
      <w:r>
        <w:t xml:space="preserve">Legal basis: German professional secrecy and litigation confidentiality practice; ZPO protective strategy.</w:t>
      </w:r>
    </w:p>
    <w:p>
      <w:pPr>
        <w:pStyle w:val="Heading1"/>
      </w:pPr>
      <w:r>
        <w:t xml:space="preserve">Clause 6: Interim relief and injunctive remedies (LT-006)</w:t>
      </w:r>
    </w:p>
    <w:p>
      <w:r>
        <w:t xml:space="preserve">Why it matters: Confidentiality, IP, data misuse, and evidence preservation disputes may need rapid court intervention.</w:t>
      </w:r>
    </w:p>
    <w:p>
      <w:r>
        <w:t xml:space="preserve">Preferred position: Arbitration or court clause includes explicit carve-out for interim relief and preservation orders.</w:t>
      </w:r>
    </w:p>
    <w:p>
      <w:r>
        <w:t xml:space="preserve">Fallback 1: Emergency arbitrator relief plus court fallback where arbitral relief is unavailable.</w:t>
      </w:r>
    </w:p>
    <w:p>
      <w:r>
        <w:t xml:space="preserve">Fallback 2: Mutual injunctive relief limited to confidentiality, IP, data protection, and evidence preservation.</w:t>
      </w:r>
    </w:p>
    <w:p>
      <w:r>
        <w:t xml:space="preserve">Red line: Cooling-off, mediation, or escalation steps block urgent relief.</w:t>
      </w:r>
    </w:p>
    <w:p>
      <w:r>
        <w:t xml:space="preserve">Escalation trigger: Escalate if the dispute clause requires executive negotiation before urgent court action.</w:t>
      </w:r>
    </w:p>
    <w:p>
      <w:r>
        <w:t xml:space="preserve">Approved fix: Nothing prevents either party from seeking interim or injunctive relief from a competent court at any time.</w:t>
      </w:r>
    </w:p>
    <w:p>
      <w:r>
        <w:t xml:space="preserve">Legal basis: ZPO interim relief practice; arbitration interim measure practice.</w:t>
      </w:r>
    </w:p>
    <w:p>
      <w:pPr>
        <w:pStyle w:val="Heading1"/>
      </w:pPr>
      <w:r>
        <w:t xml:space="preserve">Clause 7: Forum, arbitration, and language (LT-007)</w:t>
      </w:r>
    </w:p>
    <w:p>
      <w:r>
        <w:t xml:space="preserve">Why it matters: Procedural ambiguity can create expensive satellite disputes before the merits are reached.</w:t>
      </w:r>
    </w:p>
    <w:p>
      <w:r>
        <w:t xml:space="preserve">Preferred position: DIS or ICC arbitration seated in Munich, German law, English language if cross-border, and confidentiality of proceedings.</w:t>
      </w:r>
    </w:p>
    <w:p>
      <w:r>
        <w:t xml:space="preserve">Fallback 1: Munich courts with English-language evidence protocol for technical exhibits.</w:t>
      </w:r>
    </w:p>
    <w:p>
      <w:r>
        <w:t xml:space="preserve">Fallback 2: Neutral EU seat and English language if legal confirms enforceability and business need.</w:t>
      </w:r>
    </w:p>
    <w:p>
      <w:r>
        <w:t xml:space="preserve">Red line: Ad hoc arbitration with no seat, no appointing authority, or counterparty-only local court jurisdiction.</w:t>
      </w:r>
    </w:p>
    <w:p>
      <w:r>
        <w:t xml:space="preserve">Escalation trigger: Escalate any forum clause that could force BMW into non-EU courts or unclear arbitration.</w:t>
      </w:r>
    </w:p>
    <w:p>
      <w:r>
        <w:t xml:space="preserve">Approved fix: Disputes shall be finally resolved under DIS Rules by one arbitrator seated in Munich; proceedings are in English.</w:t>
      </w:r>
    </w:p>
    <w:p>
      <w:r>
        <w:t xml:space="preserve">Legal basis: ZPO Section 1031 and New York Convention enforcement considerations.</w:t>
      </w:r>
    </w:p>
    <w:p>
      <w:pPr>
        <w:pStyle w:val="Heading1"/>
      </w:pPr>
      <w:r>
        <w:t xml:space="preserve">Clause 8: Limitation periods and claims preservation (LT-008)</w:t>
      </w:r>
    </w:p>
    <w:p>
      <w:r>
        <w:t xml:space="preserve">Why it matters: Short contractual limitation periods can cut off claims before technical defects or data incidents are understood.</w:t>
      </w:r>
    </w:p>
    <w:p>
      <w:r>
        <w:t xml:space="preserve">Preferred position: Statutory limitation periods apply unless BMW Legal approves a specific commercial limitation.</w:t>
      </w:r>
    </w:p>
    <w:p>
      <w:r>
        <w:t xml:space="preserve">Fallback 1: One-year limitation only for ordinary fee claims, excluding confidentiality, data, IP, and intentional misconduct.</w:t>
      </w:r>
    </w:p>
    <w:p>
      <w:r>
        <w:t xml:space="preserve">Fallback 2: Toll limitation periods during remediation, audit, settlement discussions, or legal hold.</w:t>
      </w:r>
    </w:p>
    <w:p>
      <w:r>
        <w:t xml:space="preserve">Red line: Six-month limitation for all claims, or shortened limitation for intent or gross negligence.</w:t>
      </w:r>
    </w:p>
    <w:p>
      <w:r>
        <w:t xml:space="preserve">Escalation trigger: Escalate if the draft shortens limitation periods for data breach, intentional misconduct, or pending disputes.</w:t>
      </w:r>
    </w:p>
    <w:p>
      <w:r>
        <w:t xml:space="preserve">Approved fix: Statutory limitation periods apply to confidentiality, data protection, IP, intentional misconduct, and legal-hold matters.</w:t>
      </w:r>
    </w:p>
    <w:p>
      <w:r>
        <w:t xml:space="preserve">Legal basis: BGB Section 202; BGB Section 203; BGB Section 276.</w:t>
      </w:r>
    </w:p>
    <w:p>
      <w:pPr>
        <w:pStyle w:val="Heading1"/>
      </w:pPr>
      <w:r>
        <w:t xml:space="preserve">Clause 9: Indemnity and third-party claims (LT-009)</w:t>
      </w:r>
    </w:p>
    <w:p>
      <w:r>
        <w:t xml:space="preserve">Why it matters: Broad indemnities can bypass caps and create exposure for remote or speculative damages.</w:t>
      </w:r>
    </w:p>
    <w:p>
      <w:r>
        <w:t xml:space="preserve">Preferred position: No general indemnity; targeted indemnities for IP infringement, confidentiality breach, data breach, and willful misconduct.</w:t>
      </w:r>
    </w:p>
    <w:p>
      <w:r>
        <w:t xml:space="preserve">Fallback 1: Indemnity capped and limited to direct third-party claims caused by the indemnifying party's breach.</w:t>
      </w:r>
    </w:p>
    <w:p>
      <w:r>
        <w:t xml:space="preserve">Fallback 2: Defense-control language with BMW approval over counsel, admissions, and settlement.</w:t>
      </w:r>
    </w:p>
    <w:p>
      <w:r>
        <w:t xml:space="preserve">Red line: Uncapped, one-sided, punitive, consequential, or regulator-fine indemnity imposed on BMW.</w:t>
      </w:r>
    </w:p>
    <w:p>
      <w:r>
        <w:t xml:space="preserve">Escalation trigger: Escalate if indemnity bypasses the liability cap or gives settlement control to the supplier.</w:t>
      </w:r>
    </w:p>
    <w:p>
      <w:r>
        <w:t xml:space="preserve">Approved fix: Indemnity applies only to direct third-party claims caused by a party's breach and remains subject to the agreed cap.</w:t>
      </w:r>
    </w:p>
    <w:p>
      <w:r>
        <w:t xml:space="preserve">Legal basis: BGB Sections 276, 307, 309, and BMW liability matrix.</w:t>
      </w:r>
    </w:p>
    <w:p>
      <w:pPr>
        <w:pStyle w:val="Heading1"/>
      </w:pPr>
      <w:r>
        <w:t xml:space="preserve">Clause 10: eDiscovery, data exports, and confidentiality (LT-010)</w:t>
      </w:r>
    </w:p>
    <w:p>
      <w:r>
        <w:t xml:space="preserve">Why it matters: Exporting case data can expose personal data, trade secrets, and privileged materials.</w:t>
      </w:r>
    </w:p>
    <w:p>
      <w:r>
        <w:t xml:space="preserve">Preferred position: Named EU repository, hashed exports, custodian log, privilege screen, encryption, and BMW approval for any external production.</w:t>
      </w:r>
    </w:p>
    <w:p>
      <w:r>
        <w:t xml:space="preserve">Fallback 1: External forensic provider approved by BMW Legal with EU hosting and documented chain of custody.</w:t>
      </w:r>
    </w:p>
    <w:p>
      <w:r>
        <w:t xml:space="preserve">Fallback 2: Temporary transfer to a third country only with SCCs, transfer assessment, encryption, and legal approval.</w:t>
      </w:r>
    </w:p>
    <w:p>
      <w:r>
        <w:t xml:space="preserve">Red line: Uncontrolled exports to global eDiscovery platforms or adverse parties without review.</w:t>
      </w:r>
    </w:p>
    <w:p>
      <w:r>
        <w:t xml:space="preserve">Escalation trigger: Escalate if case materials leave the EU/EEA or include personal data without a litigation data protocol.</w:t>
      </w:r>
    </w:p>
    <w:p>
      <w:r>
        <w:t xml:space="preserve">Approved fix: All litigation exports require BMW Legal approval, encryption, chain-of-custody logging, and the safeguards in Annex 4.</w:t>
      </w:r>
    </w:p>
    <w:p>
      <w:r>
        <w:t xml:space="preserve">Legal basis: GDPR Art. 5, 6, 28, 32, 44-46; ZPO evidence practice.</w:t>
      </w:r>
    </w:p>
    <w:p>
      <w:pPr>
        <w:pStyle w:val="Heading1"/>
      </w:pPr>
      <w:r>
        <w:t xml:space="preserve">Clause 11: Regulatory communications and admissions (LT-011)</w:t>
      </w:r>
    </w:p>
    <w:p>
      <w:r>
        <w:t xml:space="preserve">Why it matters: Uncoordinated statements can create admissions, inconsistent facts, privilege loss, and reputational harm.</w:t>
      </w:r>
    </w:p>
    <w:p>
      <w:r>
        <w:t xml:space="preserve">Preferred position: Immediate notice to BMW Legal, joint communication plan, and no admission of fault without written approval.</w:t>
      </w:r>
    </w:p>
    <w:p>
      <w:r>
        <w:t xml:space="preserve">Fallback 1: Mandatory legal notification permitted only after notice to BMW and with minimum required facts.</w:t>
      </w:r>
    </w:p>
    <w:p>
      <w:r>
        <w:t xml:space="preserve">Fallback 2: Supplier can notify its insurer if confidentiality and no-admission obligations are preserved.</w:t>
      </w:r>
    </w:p>
    <w:p>
      <w:r>
        <w:t xml:space="preserve">Red line: Supplier may make voluntary disclosures, admissions, press statements, or regulator filings at its discretion.</w:t>
      </w:r>
    </w:p>
    <w:p>
      <w:r>
        <w:t xml:space="preserve">Escalation trigger: Escalate any clause allowing unilateral admissions or customer/regulator communications.</w:t>
      </w:r>
    </w:p>
    <w:p>
      <w:r>
        <w:t xml:space="preserve">Approved fix: Supplier shall not make voluntary statements or admissions concerning BMW without prior written approval from BMW Legal.</w:t>
      </w:r>
    </w:p>
    <w:p>
      <w:r>
        <w:t xml:space="preserve">Legal basis: BMW litigation governance; privilege and admission risk controls.</w:t>
      </w:r>
    </w:p>
    <w:p>
      <w:pPr>
        <w:pStyle w:val="Heading1"/>
      </w:pPr>
      <w:r>
        <w:t xml:space="preserve">Clause 12: Counsel, expert, and vendor conflict checks (LT-012)</w:t>
      </w:r>
    </w:p>
    <w:p>
      <w:r>
        <w:t xml:space="preserve">Why it matters: Conflicts and loose onboarding can compromise strategy, evidence integrity, and confidentiality.</w:t>
      </w:r>
    </w:p>
    <w:p>
      <w:r>
        <w:t xml:space="preserve">Preferred position: No external expert or vendor access until BMW Legal approves conflicts, scope, and NDA/DPA coverage.</w:t>
      </w:r>
    </w:p>
    <w:p>
      <w:r>
        <w:t xml:space="preserve">Fallback 1: Pre-approved vendor panel for urgent forensic matters with post-engagement confirmation within 48 hours.</w:t>
      </w:r>
    </w:p>
    <w:p>
      <w:r>
        <w:t xml:space="preserve">Fallback 2: Limited clean-team access for technical experts under a signed confidentiality undertaking.</w:t>
      </w:r>
    </w:p>
    <w:p>
      <w:r>
        <w:t xml:space="preserve">Red line: Supplier can use affiliates, experts, or subcontractors without naming them or clearing conflicts.</w:t>
      </w:r>
    </w:p>
    <w:p>
      <w:r>
        <w:t xml:space="preserve">Escalation trigger: Escalate if an expert or vendor will see privileged, personal, or trade secret material without BMW approval.</w:t>
      </w:r>
    </w:p>
    <w:p>
      <w:r>
        <w:t xml:space="preserve">Approved fix: Supplier may use only BMW-approved experts and vendors listed in Annex 5 after conflict clearance and confidentiality onboarding.</w:t>
      </w:r>
    </w:p>
    <w:p>
      <w:r>
        <w:t xml:space="preserve">Legal basis: Professional secrecy, conflict management, and BMW litigation vendor governance.</w:t>
      </w:r>
    </w:p>
    <w:sectPr>
      <w:pgSz w:w="11906" w:h="16838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BMW_German_Litigation_Playbook_2026</dc:title>
  <dc:creator>Harvey mock data generator</dc:creator>
  <cp:lastModifiedBy>Harvey mock data generator</cp:lastModifiedBy>
  <dcterms:created xsi:type="dcterms:W3CDTF">2026-04-25T17:10:44Z</dcterms:created>
  <dcterms:modified xsi:type="dcterms:W3CDTF">2026-04-25T17:10:44Z</dcterms:modified>
</cp:coreProperties>
</file>