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9EC61B" w14:textId="77777777" w:rsidR="00D00C60" w:rsidRPr="00D00C60" w:rsidRDefault="00D00C60" w:rsidP="00D00C60">
      <w:pPr>
        <w:spacing w:after="80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de-DE"/>
          <w14:ligatures w14:val="none"/>
        </w:rPr>
      </w:pPr>
      <w:r w:rsidRPr="00D00C60">
        <w:rPr>
          <w:rFonts w:ascii="Arial" w:eastAsia="Times New Roman" w:hAnsi="Arial" w:cs="Arial"/>
          <w:b/>
          <w:bCs/>
          <w:color w:val="000000"/>
          <w:kern w:val="0"/>
          <w:sz w:val="34"/>
          <w:szCs w:val="34"/>
          <w:lang w:eastAsia="de-DE"/>
          <w14:ligatures w14:val="none"/>
        </w:rPr>
        <w:t>DPA NEGOTIATION PLAYBOOK: BMW Group</w:t>
      </w:r>
    </w:p>
    <w:p w14:paraId="6F22AB55" w14:textId="77777777" w:rsidR="00D00C60" w:rsidRPr="00D00C60" w:rsidRDefault="00D00C60" w:rsidP="00D00C60">
      <w:pPr>
        <w:spacing w:after="240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D00C60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de-DE"/>
          <w14:ligatures w14:val="none"/>
        </w:rPr>
        <w:t>Classification:</w:t>
      </w:r>
      <w:r w:rsidRPr="00D00C60">
        <w:rPr>
          <w:rFonts w:ascii="Arial" w:eastAsia="Times New Roman" w:hAnsi="Arial" w:cs="Arial"/>
          <w:color w:val="000000"/>
          <w:kern w:val="0"/>
          <w:sz w:val="22"/>
          <w:szCs w:val="22"/>
          <w:lang w:eastAsia="de-DE"/>
          <w14:ligatures w14:val="none"/>
        </w:rPr>
        <w:t xml:space="preserve"> Internal Use Only — Synthetic Data</w:t>
      </w:r>
    </w:p>
    <w:p w14:paraId="2013DE8E" w14:textId="77777777" w:rsidR="00D00C60" w:rsidRPr="00D00C60" w:rsidRDefault="00D00C60" w:rsidP="00D00C60">
      <w:pPr>
        <w:spacing w:after="240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D00C60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de-DE"/>
          <w14:ligatures w14:val="none"/>
        </w:rPr>
        <w:t>Date:</w:t>
      </w:r>
      <w:r w:rsidRPr="00D00C60">
        <w:rPr>
          <w:rFonts w:ascii="Arial" w:eastAsia="Times New Roman" w:hAnsi="Arial" w:cs="Arial"/>
          <w:color w:val="000000"/>
          <w:kern w:val="0"/>
          <w:sz w:val="22"/>
          <w:szCs w:val="22"/>
          <w:lang w:eastAsia="de-DE"/>
          <w14:ligatures w14:val="none"/>
        </w:rPr>
        <w:t xml:space="preserve"> April 2026</w:t>
      </w:r>
    </w:p>
    <w:p w14:paraId="354DBF09" w14:textId="77777777" w:rsidR="00D00C60" w:rsidRPr="00D00C60" w:rsidRDefault="00D00C60" w:rsidP="00D00C60">
      <w:pPr>
        <w:spacing w:after="80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de-DE"/>
          <w14:ligatures w14:val="none"/>
        </w:rPr>
      </w:pPr>
      <w:r w:rsidRPr="00D00C60">
        <w:rPr>
          <w:rFonts w:ascii="Arial" w:eastAsia="Times New Roman" w:hAnsi="Arial" w:cs="Arial"/>
          <w:b/>
          <w:bCs/>
          <w:color w:val="000000"/>
          <w:kern w:val="0"/>
          <w:sz w:val="26"/>
          <w:szCs w:val="26"/>
          <w:lang w:eastAsia="de-DE"/>
          <w14:ligatures w14:val="none"/>
        </w:rPr>
        <w:t>Introduction</w:t>
      </w:r>
    </w:p>
    <w:p w14:paraId="02A680C2" w14:textId="77777777" w:rsidR="00D00C60" w:rsidRPr="00D00C60" w:rsidRDefault="00D00C60" w:rsidP="00D00C60">
      <w:pPr>
        <w:spacing w:after="240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D00C60">
        <w:rPr>
          <w:rFonts w:ascii="Arial" w:eastAsia="Times New Roman" w:hAnsi="Arial" w:cs="Arial"/>
          <w:color w:val="000000"/>
          <w:kern w:val="0"/>
          <w:sz w:val="22"/>
          <w:szCs w:val="22"/>
          <w:lang w:eastAsia="de-DE"/>
          <w14:ligatures w14:val="none"/>
        </w:rPr>
        <w:t xml:space="preserve">This playbook provides guidance for reviewing and negotiating </w:t>
      </w:r>
      <w:r w:rsidRPr="00D00C60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de-DE"/>
          <w14:ligatures w14:val="none"/>
        </w:rPr>
        <w:t>Data Processing Agreements (DPAs)</w:t>
      </w:r>
      <w:r w:rsidRPr="00D00C60">
        <w:rPr>
          <w:rFonts w:ascii="Arial" w:eastAsia="Times New Roman" w:hAnsi="Arial" w:cs="Arial"/>
          <w:color w:val="000000"/>
          <w:kern w:val="0"/>
          <w:sz w:val="22"/>
          <w:szCs w:val="22"/>
          <w:lang w:eastAsia="de-DE"/>
          <w14:ligatures w14:val="none"/>
        </w:rPr>
        <w:t xml:space="preserve"> where BMW Group ("the Company") acts as the </w:t>
      </w:r>
      <w:r w:rsidRPr="00D00C60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de-DE"/>
          <w14:ligatures w14:val="none"/>
        </w:rPr>
        <w:t>Data Controller</w:t>
      </w:r>
      <w:r w:rsidRPr="00D00C60">
        <w:rPr>
          <w:rFonts w:ascii="Arial" w:eastAsia="Times New Roman" w:hAnsi="Arial" w:cs="Arial"/>
          <w:color w:val="000000"/>
          <w:kern w:val="0"/>
          <w:sz w:val="22"/>
          <w:szCs w:val="22"/>
          <w:lang w:eastAsia="de-DE"/>
          <w14:ligatures w14:val="none"/>
        </w:rPr>
        <w:t xml:space="preserve"> and a third party acts as the </w:t>
      </w:r>
      <w:r w:rsidRPr="00D00C60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de-DE"/>
          <w14:ligatures w14:val="none"/>
        </w:rPr>
        <w:t>Data Processor</w:t>
      </w:r>
      <w:r w:rsidRPr="00D00C60">
        <w:rPr>
          <w:rFonts w:ascii="Arial" w:eastAsia="Times New Roman" w:hAnsi="Arial" w:cs="Arial"/>
          <w:color w:val="000000"/>
          <w:kern w:val="0"/>
          <w:sz w:val="22"/>
          <w:szCs w:val="22"/>
          <w:lang w:eastAsia="de-DE"/>
          <w14:ligatures w14:val="none"/>
        </w:rPr>
        <w:t xml:space="preserve">. Compliance with the </w:t>
      </w:r>
      <w:r w:rsidRPr="00D00C60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de-DE"/>
          <w14:ligatures w14:val="none"/>
        </w:rPr>
        <w:t>GDPR</w:t>
      </w:r>
      <w:r w:rsidRPr="00D00C60">
        <w:rPr>
          <w:rFonts w:ascii="Arial" w:eastAsia="Times New Roman" w:hAnsi="Arial" w:cs="Arial"/>
          <w:color w:val="000000"/>
          <w:kern w:val="0"/>
          <w:sz w:val="22"/>
          <w:szCs w:val="22"/>
          <w:lang w:eastAsia="de-DE"/>
          <w14:ligatures w14:val="none"/>
        </w:rPr>
        <w:t xml:space="preserve"> is a mandatory requirement for all such processing activities.</w:t>
      </w:r>
    </w:p>
    <w:p w14:paraId="48A646B4" w14:textId="77777777" w:rsidR="00D00C60" w:rsidRPr="00D00C60" w:rsidRDefault="000C3A98" w:rsidP="00D00C60">
      <w:pPr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0C3A98">
        <w:rPr>
          <w:rFonts w:ascii="Times New Roman" w:eastAsia="Times New Roman" w:hAnsi="Times New Roman" w:cs="Times New Roman"/>
          <w:noProof/>
          <w:color w:val="000000"/>
          <w:kern w:val="0"/>
          <w:lang w:eastAsia="de-DE"/>
        </w:rPr>
        <w:pict w14:anchorId="4B28DC8E">
          <v:rect id="_x0000_i1026" alt="" style="width:453.6pt;height:.05pt;mso-width-percent:0;mso-height-percent:0;mso-width-percent:0;mso-height-percent:0" o:hralign="center" o:hrstd="t" o:hr="t" fillcolor="#a0a0a0" stroked="f"/>
        </w:pict>
      </w:r>
    </w:p>
    <w:p w14:paraId="2DF33206" w14:textId="77777777" w:rsidR="00D00C60" w:rsidRPr="00D00C60" w:rsidRDefault="00D00C60" w:rsidP="00D00C60">
      <w:pPr>
        <w:spacing w:after="80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de-DE"/>
          <w14:ligatures w14:val="none"/>
        </w:rPr>
      </w:pPr>
      <w:r w:rsidRPr="00D00C60">
        <w:rPr>
          <w:rFonts w:ascii="Arial" w:eastAsia="Times New Roman" w:hAnsi="Arial" w:cs="Arial"/>
          <w:b/>
          <w:bCs/>
          <w:color w:val="000000"/>
          <w:kern w:val="0"/>
          <w:sz w:val="26"/>
          <w:szCs w:val="26"/>
          <w:lang w:eastAsia="de-DE"/>
          <w14:ligatures w14:val="none"/>
        </w:rPr>
        <w:t>Clause 1: Processing Instructions</w:t>
      </w:r>
    </w:p>
    <w:p w14:paraId="65D2D75C" w14:textId="77777777" w:rsidR="00D00C60" w:rsidRPr="00D00C60" w:rsidRDefault="00D00C60" w:rsidP="00D00C60">
      <w:pPr>
        <w:numPr>
          <w:ilvl w:val="0"/>
          <w:numId w:val="3"/>
        </w:numPr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:lang w:eastAsia="de-DE"/>
          <w14:ligatures w14:val="none"/>
        </w:rPr>
      </w:pPr>
      <w:r w:rsidRPr="00D00C60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de-DE"/>
          <w14:ligatures w14:val="none"/>
        </w:rPr>
        <w:t>Why It Matters:</w:t>
      </w:r>
      <w:r w:rsidRPr="00D00C60">
        <w:rPr>
          <w:rFonts w:ascii="Arial" w:eastAsia="Times New Roman" w:hAnsi="Arial" w:cs="Arial"/>
          <w:color w:val="000000"/>
          <w:kern w:val="0"/>
          <w:sz w:val="22"/>
          <w:szCs w:val="22"/>
          <w:lang w:eastAsia="de-DE"/>
          <w14:ligatures w14:val="none"/>
        </w:rPr>
        <w:t xml:space="preserve"> As the Controller, the Company must maintain control over how personal data is handled.</w:t>
      </w:r>
    </w:p>
    <w:p w14:paraId="649CD3B0" w14:textId="77777777" w:rsidR="00D00C60" w:rsidRPr="00D00C60" w:rsidRDefault="00D00C60" w:rsidP="00D00C60">
      <w:pPr>
        <w:numPr>
          <w:ilvl w:val="0"/>
          <w:numId w:val="3"/>
        </w:numPr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:lang w:eastAsia="de-DE"/>
          <w14:ligatures w14:val="none"/>
        </w:rPr>
      </w:pPr>
      <w:r w:rsidRPr="00D00C60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de-DE"/>
          <w14:ligatures w14:val="none"/>
        </w:rPr>
        <w:t>What to Watch For:</w:t>
      </w:r>
      <w:r w:rsidRPr="00D00C60">
        <w:rPr>
          <w:rFonts w:ascii="Arial" w:eastAsia="Times New Roman" w:hAnsi="Arial" w:cs="Arial"/>
          <w:color w:val="000000"/>
          <w:kern w:val="0"/>
          <w:sz w:val="22"/>
          <w:szCs w:val="22"/>
          <w:lang w:eastAsia="de-DE"/>
          <w14:ligatures w14:val="none"/>
        </w:rPr>
        <w:t xml:space="preserve"> Clauses that allow the Processor to determine the purposes or means of processing.</w:t>
      </w:r>
    </w:p>
    <w:p w14:paraId="6F71FD06" w14:textId="77777777" w:rsidR="00D00C60" w:rsidRPr="00D00C60" w:rsidRDefault="00D00C60" w:rsidP="00D00C60">
      <w:pPr>
        <w:numPr>
          <w:ilvl w:val="0"/>
          <w:numId w:val="3"/>
        </w:numPr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:lang w:eastAsia="de-DE"/>
          <w14:ligatures w14:val="none"/>
        </w:rPr>
      </w:pPr>
      <w:r w:rsidRPr="00D00C60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de-DE"/>
          <w14:ligatures w14:val="none"/>
        </w:rPr>
        <w:t>Recommended Positions:</w:t>
      </w:r>
    </w:p>
    <w:p w14:paraId="0304B337" w14:textId="77777777" w:rsidR="00D00C60" w:rsidRPr="00D00C60" w:rsidRDefault="00D00C60" w:rsidP="00D00C60">
      <w:pPr>
        <w:numPr>
          <w:ilvl w:val="1"/>
          <w:numId w:val="3"/>
        </w:numPr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:lang w:eastAsia="de-DE"/>
          <w14:ligatures w14:val="none"/>
        </w:rPr>
      </w:pPr>
      <w:r w:rsidRPr="00D00C60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de-DE"/>
          <w14:ligatures w14:val="none"/>
        </w:rPr>
        <w:t>Preferred:</w:t>
      </w:r>
      <w:r w:rsidRPr="00D00C60">
        <w:rPr>
          <w:rFonts w:ascii="Arial" w:eastAsia="Times New Roman" w:hAnsi="Arial" w:cs="Arial"/>
          <w:color w:val="000000"/>
          <w:kern w:val="0"/>
          <w:sz w:val="22"/>
          <w:szCs w:val="22"/>
          <w:lang w:eastAsia="de-DE"/>
          <w14:ligatures w14:val="none"/>
        </w:rPr>
        <w:t xml:space="preserve"> The Processor shall process Company Personal Data </w:t>
      </w:r>
      <w:r w:rsidRPr="00D00C60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de-DE"/>
          <w14:ligatures w14:val="none"/>
        </w:rPr>
        <w:t>only</w:t>
      </w:r>
      <w:r w:rsidRPr="00D00C60">
        <w:rPr>
          <w:rFonts w:ascii="Arial" w:eastAsia="Times New Roman" w:hAnsi="Arial" w:cs="Arial"/>
          <w:color w:val="000000"/>
          <w:kern w:val="0"/>
          <w:sz w:val="22"/>
          <w:szCs w:val="22"/>
          <w:lang w:eastAsia="de-DE"/>
          <w14:ligatures w14:val="none"/>
        </w:rPr>
        <w:t xml:space="preserve"> on the Company’s documented instructions.</w:t>
      </w:r>
    </w:p>
    <w:p w14:paraId="665BE4F9" w14:textId="77777777" w:rsidR="00D00C60" w:rsidRPr="00D00C60" w:rsidRDefault="00D00C60" w:rsidP="00D00C60">
      <w:pPr>
        <w:numPr>
          <w:ilvl w:val="1"/>
          <w:numId w:val="3"/>
        </w:numPr>
        <w:spacing w:after="240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:lang w:eastAsia="de-DE"/>
          <w14:ligatures w14:val="none"/>
        </w:rPr>
      </w:pPr>
      <w:r w:rsidRPr="00D00C60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de-DE"/>
          <w14:ligatures w14:val="none"/>
        </w:rPr>
        <w:t>Red Line:</w:t>
      </w:r>
      <w:r w:rsidRPr="00D00C60">
        <w:rPr>
          <w:rFonts w:ascii="Arial" w:eastAsia="Times New Roman" w:hAnsi="Arial" w:cs="Arial"/>
          <w:color w:val="000000"/>
          <w:kern w:val="0"/>
          <w:sz w:val="22"/>
          <w:szCs w:val="22"/>
          <w:lang w:eastAsia="de-DE"/>
          <w14:ligatures w14:val="none"/>
        </w:rPr>
        <w:t xml:space="preserve"> Reject any language allowing the Processor to use Company Personal Data for its own purposes (e.g., marketing or product improvement) unless specifically authorized.</w:t>
      </w:r>
    </w:p>
    <w:p w14:paraId="6E6C13CD" w14:textId="77777777" w:rsidR="00D00C60" w:rsidRPr="00D00C60" w:rsidRDefault="00D00C60" w:rsidP="00D00C60">
      <w:pPr>
        <w:spacing w:after="80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de-DE"/>
          <w14:ligatures w14:val="none"/>
        </w:rPr>
      </w:pPr>
      <w:r w:rsidRPr="00D00C60">
        <w:rPr>
          <w:rFonts w:ascii="Arial" w:eastAsia="Times New Roman" w:hAnsi="Arial" w:cs="Arial"/>
          <w:b/>
          <w:bCs/>
          <w:color w:val="000000"/>
          <w:kern w:val="0"/>
          <w:sz w:val="26"/>
          <w:szCs w:val="26"/>
          <w:lang w:eastAsia="de-DE"/>
          <w14:ligatures w14:val="none"/>
        </w:rPr>
        <w:t>Clause 2: Subprocessing</w:t>
      </w:r>
    </w:p>
    <w:p w14:paraId="43408D2B" w14:textId="77777777" w:rsidR="00D00C60" w:rsidRPr="00D00C60" w:rsidRDefault="00D00C60" w:rsidP="00D00C60">
      <w:pPr>
        <w:numPr>
          <w:ilvl w:val="0"/>
          <w:numId w:val="4"/>
        </w:numPr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:lang w:eastAsia="de-DE"/>
          <w14:ligatures w14:val="none"/>
        </w:rPr>
      </w:pPr>
      <w:r w:rsidRPr="00D00C60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de-DE"/>
          <w14:ligatures w14:val="none"/>
        </w:rPr>
        <w:t>Why It Matters:</w:t>
      </w:r>
      <w:r w:rsidRPr="00D00C60">
        <w:rPr>
          <w:rFonts w:ascii="Arial" w:eastAsia="Times New Roman" w:hAnsi="Arial" w:cs="Arial"/>
          <w:color w:val="000000"/>
          <w:kern w:val="0"/>
          <w:sz w:val="22"/>
          <w:szCs w:val="22"/>
          <w:lang w:eastAsia="de-DE"/>
          <w14:ligatures w14:val="none"/>
        </w:rPr>
        <w:t xml:space="preserve"> The Company must know and approve who has access to its data to ensure security throughout the supply chain.</w:t>
      </w:r>
    </w:p>
    <w:p w14:paraId="1E748177" w14:textId="77777777" w:rsidR="00D00C60" w:rsidRPr="00D00C60" w:rsidRDefault="00D00C60" w:rsidP="00D00C60">
      <w:pPr>
        <w:numPr>
          <w:ilvl w:val="0"/>
          <w:numId w:val="4"/>
        </w:numPr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:lang w:eastAsia="de-DE"/>
          <w14:ligatures w14:val="none"/>
        </w:rPr>
      </w:pPr>
      <w:r w:rsidRPr="00D00C60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de-DE"/>
          <w14:ligatures w14:val="none"/>
        </w:rPr>
        <w:t>What to Watch For:</w:t>
      </w:r>
      <w:r w:rsidRPr="00D00C60">
        <w:rPr>
          <w:rFonts w:ascii="Arial" w:eastAsia="Times New Roman" w:hAnsi="Arial" w:cs="Arial"/>
          <w:color w:val="000000"/>
          <w:kern w:val="0"/>
          <w:sz w:val="22"/>
          <w:szCs w:val="22"/>
          <w:lang w:eastAsia="de-DE"/>
          <w14:ligatures w14:val="none"/>
        </w:rPr>
        <w:t xml:space="preserve"> "General authorizations" that allow the Processor to add subprocessors without informing the Company.</w:t>
      </w:r>
    </w:p>
    <w:p w14:paraId="769779B6" w14:textId="77777777" w:rsidR="00D00C60" w:rsidRPr="00D00C60" w:rsidRDefault="00D00C60" w:rsidP="00D00C60">
      <w:pPr>
        <w:numPr>
          <w:ilvl w:val="0"/>
          <w:numId w:val="4"/>
        </w:numPr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:lang w:eastAsia="de-DE"/>
          <w14:ligatures w14:val="none"/>
        </w:rPr>
      </w:pPr>
      <w:r w:rsidRPr="00D00C60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de-DE"/>
          <w14:ligatures w14:val="none"/>
        </w:rPr>
        <w:t>Recommended Positions:</w:t>
      </w:r>
    </w:p>
    <w:p w14:paraId="2C251FE6" w14:textId="77777777" w:rsidR="00D00C60" w:rsidRPr="00D00C60" w:rsidRDefault="00D00C60" w:rsidP="00D00C60">
      <w:pPr>
        <w:numPr>
          <w:ilvl w:val="1"/>
          <w:numId w:val="4"/>
        </w:numPr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:lang w:eastAsia="de-DE"/>
          <w14:ligatures w14:val="none"/>
        </w:rPr>
      </w:pPr>
      <w:r w:rsidRPr="00D00C60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de-DE"/>
          <w14:ligatures w14:val="none"/>
        </w:rPr>
        <w:t>Preferred:</w:t>
      </w:r>
      <w:r w:rsidRPr="00D00C60">
        <w:rPr>
          <w:rFonts w:ascii="Arial" w:eastAsia="Times New Roman" w:hAnsi="Arial" w:cs="Arial"/>
          <w:color w:val="000000"/>
          <w:kern w:val="0"/>
          <w:sz w:val="22"/>
          <w:szCs w:val="22"/>
          <w:lang w:eastAsia="de-DE"/>
          <w14:ligatures w14:val="none"/>
        </w:rPr>
        <w:t xml:space="preserve"> The Processor shall not appoint any Subprocessor without the </w:t>
      </w:r>
      <w:r w:rsidRPr="00D00C60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de-DE"/>
          <w14:ligatures w14:val="none"/>
        </w:rPr>
        <w:t>prior written consent</w:t>
      </w:r>
      <w:r w:rsidRPr="00D00C60">
        <w:rPr>
          <w:rFonts w:ascii="Arial" w:eastAsia="Times New Roman" w:hAnsi="Arial" w:cs="Arial"/>
          <w:color w:val="000000"/>
          <w:kern w:val="0"/>
          <w:sz w:val="22"/>
          <w:szCs w:val="22"/>
          <w:lang w:eastAsia="de-DE"/>
          <w14:ligatures w14:val="none"/>
        </w:rPr>
        <w:t xml:space="preserve"> or authorization of the Company.</w:t>
      </w:r>
    </w:p>
    <w:p w14:paraId="274579DF" w14:textId="77777777" w:rsidR="00D00C60" w:rsidRPr="00D00C60" w:rsidRDefault="00D00C60" w:rsidP="00D00C60">
      <w:pPr>
        <w:numPr>
          <w:ilvl w:val="1"/>
          <w:numId w:val="4"/>
        </w:numPr>
        <w:spacing w:after="240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:lang w:eastAsia="de-DE"/>
          <w14:ligatures w14:val="none"/>
        </w:rPr>
      </w:pPr>
      <w:r w:rsidRPr="00D00C60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de-DE"/>
          <w14:ligatures w14:val="none"/>
        </w:rPr>
        <w:t>Fallback:</w:t>
      </w:r>
      <w:r w:rsidRPr="00D00C60">
        <w:rPr>
          <w:rFonts w:ascii="Arial" w:eastAsia="Times New Roman" w:hAnsi="Arial" w:cs="Arial"/>
          <w:color w:val="000000"/>
          <w:kern w:val="0"/>
          <w:sz w:val="22"/>
          <w:szCs w:val="22"/>
          <w:lang w:eastAsia="de-DE"/>
          <w14:ligatures w14:val="none"/>
        </w:rPr>
        <w:t xml:space="preserve"> General written authorization provided the Processor informs the Company of any intended changes, giving the Company the opportunity to object.</w:t>
      </w:r>
    </w:p>
    <w:p w14:paraId="2F612625" w14:textId="77777777" w:rsidR="00D00C60" w:rsidRPr="00D00C60" w:rsidRDefault="00D00C60" w:rsidP="00D00C60">
      <w:pPr>
        <w:spacing w:after="80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de-DE"/>
          <w14:ligatures w14:val="none"/>
        </w:rPr>
      </w:pPr>
      <w:r w:rsidRPr="00D00C60">
        <w:rPr>
          <w:rFonts w:ascii="Arial" w:eastAsia="Times New Roman" w:hAnsi="Arial" w:cs="Arial"/>
          <w:b/>
          <w:bCs/>
          <w:color w:val="000000"/>
          <w:kern w:val="0"/>
          <w:sz w:val="26"/>
          <w:szCs w:val="26"/>
          <w:lang w:eastAsia="de-DE"/>
          <w14:ligatures w14:val="none"/>
        </w:rPr>
        <w:t>Clause 3: Data Subject Rights</w:t>
      </w:r>
    </w:p>
    <w:p w14:paraId="3D0133E1" w14:textId="77777777" w:rsidR="00D00C60" w:rsidRPr="00D00C60" w:rsidRDefault="00D00C60" w:rsidP="00D00C60">
      <w:pPr>
        <w:numPr>
          <w:ilvl w:val="0"/>
          <w:numId w:val="5"/>
        </w:numPr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:lang w:eastAsia="de-DE"/>
          <w14:ligatures w14:val="none"/>
        </w:rPr>
      </w:pPr>
      <w:r w:rsidRPr="00D00C60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de-DE"/>
          <w14:ligatures w14:val="none"/>
        </w:rPr>
        <w:t>Why It Matters:</w:t>
      </w:r>
      <w:r w:rsidRPr="00D00C60">
        <w:rPr>
          <w:rFonts w:ascii="Arial" w:eastAsia="Times New Roman" w:hAnsi="Arial" w:cs="Arial"/>
          <w:color w:val="000000"/>
          <w:kern w:val="0"/>
          <w:sz w:val="22"/>
          <w:szCs w:val="22"/>
          <w:lang w:eastAsia="de-DE"/>
          <w14:ligatures w14:val="none"/>
        </w:rPr>
        <w:t xml:space="preserve"> The Company is legally obligated to respond to individuals (Data Subjects) exercising their rights (e.g., access, deletion).</w:t>
      </w:r>
    </w:p>
    <w:p w14:paraId="723021CA" w14:textId="77777777" w:rsidR="00D00C60" w:rsidRPr="00D00C60" w:rsidRDefault="00D00C60" w:rsidP="00D00C60">
      <w:pPr>
        <w:numPr>
          <w:ilvl w:val="0"/>
          <w:numId w:val="5"/>
        </w:numPr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:lang w:eastAsia="de-DE"/>
          <w14:ligatures w14:val="none"/>
        </w:rPr>
      </w:pPr>
      <w:r w:rsidRPr="00D00C60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de-DE"/>
          <w14:ligatures w14:val="none"/>
        </w:rPr>
        <w:t>What to Watch For:</w:t>
      </w:r>
      <w:r w:rsidRPr="00D00C60">
        <w:rPr>
          <w:rFonts w:ascii="Arial" w:eastAsia="Times New Roman" w:hAnsi="Arial" w:cs="Arial"/>
          <w:color w:val="000000"/>
          <w:kern w:val="0"/>
          <w:sz w:val="22"/>
          <w:szCs w:val="22"/>
          <w:lang w:eastAsia="de-DE"/>
          <w14:ligatures w14:val="none"/>
        </w:rPr>
        <w:t xml:space="preserve"> Processors attempting to charge high fees for assistance or refusing to help with complex requests.</w:t>
      </w:r>
    </w:p>
    <w:p w14:paraId="3B8D4788" w14:textId="77777777" w:rsidR="00D00C60" w:rsidRPr="00D00C60" w:rsidRDefault="00D00C60" w:rsidP="00D00C60">
      <w:pPr>
        <w:numPr>
          <w:ilvl w:val="0"/>
          <w:numId w:val="5"/>
        </w:numPr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:lang w:eastAsia="de-DE"/>
          <w14:ligatures w14:val="none"/>
        </w:rPr>
      </w:pPr>
      <w:r w:rsidRPr="00D00C60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de-DE"/>
          <w14:ligatures w14:val="none"/>
        </w:rPr>
        <w:t>Recommended Positions:</w:t>
      </w:r>
    </w:p>
    <w:p w14:paraId="35FDFDB4" w14:textId="77777777" w:rsidR="00D00C60" w:rsidRPr="00D00C60" w:rsidRDefault="00D00C60" w:rsidP="00D00C60">
      <w:pPr>
        <w:numPr>
          <w:ilvl w:val="1"/>
          <w:numId w:val="5"/>
        </w:numPr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:lang w:eastAsia="de-DE"/>
          <w14:ligatures w14:val="none"/>
        </w:rPr>
      </w:pPr>
      <w:r w:rsidRPr="00D00C60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de-DE"/>
          <w14:ligatures w14:val="none"/>
        </w:rPr>
        <w:t>Preferred:</w:t>
      </w:r>
      <w:r w:rsidRPr="00D00C60">
        <w:rPr>
          <w:rFonts w:ascii="Arial" w:eastAsia="Times New Roman" w:hAnsi="Arial" w:cs="Arial"/>
          <w:color w:val="000000"/>
          <w:kern w:val="0"/>
          <w:sz w:val="22"/>
          <w:szCs w:val="22"/>
          <w:lang w:eastAsia="de-DE"/>
          <w14:ligatures w14:val="none"/>
        </w:rPr>
        <w:t xml:space="preserve"> Processor must promptly notify the Company of any request and </w:t>
      </w:r>
      <w:r w:rsidRPr="00D00C60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de-DE"/>
          <w14:ligatures w14:val="none"/>
        </w:rPr>
        <w:t>must not respond</w:t>
      </w:r>
      <w:r w:rsidRPr="00D00C60">
        <w:rPr>
          <w:rFonts w:ascii="Arial" w:eastAsia="Times New Roman" w:hAnsi="Arial" w:cs="Arial"/>
          <w:color w:val="000000"/>
          <w:kern w:val="0"/>
          <w:sz w:val="22"/>
          <w:szCs w:val="22"/>
          <w:lang w:eastAsia="de-DE"/>
          <w14:ligatures w14:val="none"/>
        </w:rPr>
        <w:t xml:space="preserve"> directly to the Data Subject unless instructed by the Company or required by law.</w:t>
      </w:r>
    </w:p>
    <w:p w14:paraId="6BFABF4D" w14:textId="77777777" w:rsidR="00D00C60" w:rsidRPr="00D00C60" w:rsidRDefault="00D00C60" w:rsidP="00D00C60">
      <w:pPr>
        <w:numPr>
          <w:ilvl w:val="1"/>
          <w:numId w:val="5"/>
        </w:numPr>
        <w:spacing w:after="240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:lang w:eastAsia="de-DE"/>
          <w14:ligatures w14:val="none"/>
        </w:rPr>
      </w:pPr>
      <w:r w:rsidRPr="00D00C60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de-DE"/>
          <w14:ligatures w14:val="none"/>
        </w:rPr>
        <w:t>Requirement:</w:t>
      </w:r>
      <w:r w:rsidRPr="00D00C60">
        <w:rPr>
          <w:rFonts w:ascii="Arial" w:eastAsia="Times New Roman" w:hAnsi="Arial" w:cs="Arial"/>
          <w:color w:val="000000"/>
          <w:kern w:val="0"/>
          <w:sz w:val="22"/>
          <w:szCs w:val="22"/>
          <w:lang w:eastAsia="de-DE"/>
          <w14:ligatures w14:val="none"/>
        </w:rPr>
        <w:t xml:space="preserve"> The Processor must implement technical and organizational measures to assist the Company in fulfilling these obligations.</w:t>
      </w:r>
    </w:p>
    <w:p w14:paraId="0D89CFCE" w14:textId="77777777" w:rsidR="00D00C60" w:rsidRPr="00D00C60" w:rsidRDefault="00D00C60" w:rsidP="00D00C60">
      <w:pPr>
        <w:spacing w:after="80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de-DE"/>
          <w14:ligatures w14:val="none"/>
        </w:rPr>
      </w:pPr>
      <w:r w:rsidRPr="00D00C60">
        <w:rPr>
          <w:rFonts w:ascii="Arial" w:eastAsia="Times New Roman" w:hAnsi="Arial" w:cs="Arial"/>
          <w:b/>
          <w:bCs/>
          <w:color w:val="000000"/>
          <w:kern w:val="0"/>
          <w:sz w:val="26"/>
          <w:szCs w:val="26"/>
          <w:lang w:eastAsia="de-DE"/>
          <w14:ligatures w14:val="none"/>
        </w:rPr>
        <w:t>Clause 4: Personal Data Breach Notification</w:t>
      </w:r>
    </w:p>
    <w:p w14:paraId="7AF5DBC9" w14:textId="77777777" w:rsidR="00D00C60" w:rsidRPr="00D00C60" w:rsidRDefault="00D00C60" w:rsidP="00D00C60">
      <w:pPr>
        <w:numPr>
          <w:ilvl w:val="0"/>
          <w:numId w:val="6"/>
        </w:numPr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:lang w:eastAsia="de-DE"/>
          <w14:ligatures w14:val="none"/>
        </w:rPr>
      </w:pPr>
      <w:r w:rsidRPr="00D00C60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de-DE"/>
          <w14:ligatures w14:val="none"/>
        </w:rPr>
        <w:t>Why It Matters:</w:t>
      </w:r>
      <w:r w:rsidRPr="00D00C60">
        <w:rPr>
          <w:rFonts w:ascii="Arial" w:eastAsia="Times New Roman" w:hAnsi="Arial" w:cs="Arial"/>
          <w:color w:val="000000"/>
          <w:kern w:val="0"/>
          <w:sz w:val="22"/>
          <w:szCs w:val="22"/>
          <w:lang w:eastAsia="de-DE"/>
          <w14:ligatures w14:val="none"/>
        </w:rPr>
        <w:t xml:space="preserve"> The GDPR imposes strict timelines (72 hours) for reporting breaches.</w:t>
      </w:r>
    </w:p>
    <w:p w14:paraId="44FDB8F0" w14:textId="77777777" w:rsidR="00D00C60" w:rsidRPr="00D00C60" w:rsidRDefault="00D00C60" w:rsidP="00D00C60">
      <w:pPr>
        <w:numPr>
          <w:ilvl w:val="0"/>
          <w:numId w:val="6"/>
        </w:numPr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:lang w:eastAsia="de-DE"/>
          <w14:ligatures w14:val="none"/>
        </w:rPr>
      </w:pPr>
      <w:r w:rsidRPr="00D00C60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de-DE"/>
          <w14:ligatures w14:val="none"/>
        </w:rPr>
        <w:lastRenderedPageBreak/>
        <w:t>What to Watch For:</w:t>
      </w:r>
      <w:r w:rsidRPr="00D00C60">
        <w:rPr>
          <w:rFonts w:ascii="Arial" w:eastAsia="Times New Roman" w:hAnsi="Arial" w:cs="Arial"/>
          <w:color w:val="000000"/>
          <w:kern w:val="0"/>
          <w:sz w:val="22"/>
          <w:szCs w:val="22"/>
          <w:lang w:eastAsia="de-DE"/>
          <w14:ligatures w14:val="none"/>
        </w:rPr>
        <w:t xml:space="preserve"> Phrases like "as soon as reasonably practicable" which are too vague.</w:t>
      </w:r>
    </w:p>
    <w:p w14:paraId="54AC9FE2" w14:textId="77777777" w:rsidR="00D00C60" w:rsidRPr="00D00C60" w:rsidRDefault="00D00C60" w:rsidP="00D00C60">
      <w:pPr>
        <w:numPr>
          <w:ilvl w:val="0"/>
          <w:numId w:val="6"/>
        </w:numPr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:lang w:eastAsia="de-DE"/>
          <w14:ligatures w14:val="none"/>
        </w:rPr>
      </w:pPr>
      <w:r w:rsidRPr="00D00C60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de-DE"/>
          <w14:ligatures w14:val="none"/>
        </w:rPr>
        <w:t>Recommended Positions:</w:t>
      </w:r>
    </w:p>
    <w:p w14:paraId="7D7E92FD" w14:textId="77777777" w:rsidR="00D00C60" w:rsidRPr="00D00C60" w:rsidRDefault="00D00C60" w:rsidP="00D00C60">
      <w:pPr>
        <w:numPr>
          <w:ilvl w:val="1"/>
          <w:numId w:val="6"/>
        </w:numPr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:lang w:eastAsia="de-DE"/>
          <w14:ligatures w14:val="none"/>
        </w:rPr>
      </w:pPr>
      <w:r w:rsidRPr="00D00C60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de-DE"/>
          <w14:ligatures w14:val="none"/>
        </w:rPr>
        <w:t>Preferred:</w:t>
      </w:r>
      <w:r w:rsidRPr="00D00C60">
        <w:rPr>
          <w:rFonts w:ascii="Arial" w:eastAsia="Times New Roman" w:hAnsi="Arial" w:cs="Arial"/>
          <w:color w:val="000000"/>
          <w:kern w:val="0"/>
          <w:sz w:val="22"/>
          <w:szCs w:val="22"/>
          <w:lang w:eastAsia="de-DE"/>
          <w14:ligatures w14:val="none"/>
        </w:rPr>
        <w:t xml:space="preserve"> Notification </w:t>
      </w:r>
      <w:r w:rsidRPr="00D00C60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de-DE"/>
          <w14:ligatures w14:val="none"/>
        </w:rPr>
        <w:t>without undue delay</w:t>
      </w:r>
      <w:r w:rsidRPr="00D00C60">
        <w:rPr>
          <w:rFonts w:ascii="Arial" w:eastAsia="Times New Roman" w:hAnsi="Arial" w:cs="Arial"/>
          <w:color w:val="000000"/>
          <w:kern w:val="0"/>
          <w:sz w:val="22"/>
          <w:szCs w:val="22"/>
          <w:lang w:eastAsia="de-DE"/>
          <w14:ligatures w14:val="none"/>
        </w:rPr>
        <w:t xml:space="preserve"> upon the Processor becoming aware of a breach.</w:t>
      </w:r>
    </w:p>
    <w:p w14:paraId="7BD9F7B5" w14:textId="77777777" w:rsidR="00D00C60" w:rsidRPr="00D00C60" w:rsidRDefault="00D00C60" w:rsidP="00D00C60">
      <w:pPr>
        <w:numPr>
          <w:ilvl w:val="1"/>
          <w:numId w:val="6"/>
        </w:numPr>
        <w:spacing w:after="240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:lang w:eastAsia="de-DE"/>
          <w14:ligatures w14:val="none"/>
        </w:rPr>
      </w:pPr>
      <w:r w:rsidRPr="00D00C60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de-DE"/>
          <w14:ligatures w14:val="none"/>
        </w:rPr>
        <w:t>Requirement:</w:t>
      </w:r>
      <w:r w:rsidRPr="00D00C60">
        <w:rPr>
          <w:rFonts w:ascii="Arial" w:eastAsia="Times New Roman" w:hAnsi="Arial" w:cs="Arial"/>
          <w:color w:val="000000"/>
          <w:kern w:val="0"/>
          <w:sz w:val="22"/>
          <w:szCs w:val="22"/>
          <w:lang w:eastAsia="de-DE"/>
          <w14:ligatures w14:val="none"/>
        </w:rPr>
        <w:t xml:space="preserve"> The Processor must provide sufficient information to allow the Company to meet its legal reporting obligations and co-operate in the investigation.</w:t>
      </w:r>
    </w:p>
    <w:p w14:paraId="7400C812" w14:textId="77777777" w:rsidR="00D00C60" w:rsidRPr="00D00C60" w:rsidRDefault="00D00C60" w:rsidP="00D00C60">
      <w:pPr>
        <w:spacing w:after="80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de-DE"/>
          <w14:ligatures w14:val="none"/>
        </w:rPr>
      </w:pPr>
      <w:r w:rsidRPr="00D00C60">
        <w:rPr>
          <w:rFonts w:ascii="Arial" w:eastAsia="Times New Roman" w:hAnsi="Arial" w:cs="Arial"/>
          <w:b/>
          <w:bCs/>
          <w:color w:val="000000"/>
          <w:kern w:val="0"/>
          <w:sz w:val="26"/>
          <w:szCs w:val="26"/>
          <w:lang w:eastAsia="de-DE"/>
          <w14:ligatures w14:val="none"/>
        </w:rPr>
        <w:t>Clause 5: Security Measures</w:t>
      </w:r>
    </w:p>
    <w:p w14:paraId="5D085B57" w14:textId="77777777" w:rsidR="00D00C60" w:rsidRPr="00D00C60" w:rsidRDefault="00D00C60" w:rsidP="00D00C60">
      <w:pPr>
        <w:numPr>
          <w:ilvl w:val="0"/>
          <w:numId w:val="7"/>
        </w:numPr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:lang w:eastAsia="de-DE"/>
          <w14:ligatures w14:val="none"/>
        </w:rPr>
      </w:pPr>
      <w:r w:rsidRPr="00D00C60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de-DE"/>
          <w14:ligatures w14:val="none"/>
        </w:rPr>
        <w:t>Why It Matters:</w:t>
      </w:r>
      <w:r w:rsidRPr="00D00C60">
        <w:rPr>
          <w:rFonts w:ascii="Arial" w:eastAsia="Times New Roman" w:hAnsi="Arial" w:cs="Arial"/>
          <w:color w:val="000000"/>
          <w:kern w:val="0"/>
          <w:sz w:val="22"/>
          <w:szCs w:val="22"/>
          <w:lang w:eastAsia="de-DE"/>
          <w14:ligatures w14:val="none"/>
        </w:rPr>
        <w:t xml:space="preserve"> The Processor is responsible for protecting data against unauthorized access or loss.</w:t>
      </w:r>
    </w:p>
    <w:p w14:paraId="24A4FBBD" w14:textId="77777777" w:rsidR="00D00C60" w:rsidRPr="00D00C60" w:rsidRDefault="00D00C60" w:rsidP="00D00C60">
      <w:pPr>
        <w:numPr>
          <w:ilvl w:val="0"/>
          <w:numId w:val="7"/>
        </w:numPr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:lang w:eastAsia="de-DE"/>
          <w14:ligatures w14:val="none"/>
        </w:rPr>
      </w:pPr>
      <w:r w:rsidRPr="00D00C60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de-DE"/>
          <w14:ligatures w14:val="none"/>
        </w:rPr>
        <w:t>What to Watch For:</w:t>
      </w:r>
      <w:r w:rsidRPr="00D00C60">
        <w:rPr>
          <w:rFonts w:ascii="Arial" w:eastAsia="Times New Roman" w:hAnsi="Arial" w:cs="Arial"/>
          <w:color w:val="000000"/>
          <w:kern w:val="0"/>
          <w:sz w:val="22"/>
          <w:szCs w:val="22"/>
          <w:lang w:eastAsia="de-DE"/>
          <w14:ligatures w14:val="none"/>
        </w:rPr>
        <w:t xml:space="preserve"> Generic "best effort" language without reference to specific standards.</w:t>
      </w:r>
    </w:p>
    <w:p w14:paraId="685A410C" w14:textId="77777777" w:rsidR="00D00C60" w:rsidRPr="00D00C60" w:rsidRDefault="00D00C60" w:rsidP="00D00C60">
      <w:pPr>
        <w:numPr>
          <w:ilvl w:val="0"/>
          <w:numId w:val="7"/>
        </w:numPr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:lang w:eastAsia="de-DE"/>
          <w14:ligatures w14:val="none"/>
        </w:rPr>
      </w:pPr>
      <w:r w:rsidRPr="00D00C60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de-DE"/>
          <w14:ligatures w14:val="none"/>
        </w:rPr>
        <w:t>Recommended Positions:</w:t>
      </w:r>
    </w:p>
    <w:p w14:paraId="697E5CD2" w14:textId="77777777" w:rsidR="00D00C60" w:rsidRPr="00D00C60" w:rsidRDefault="00D00C60" w:rsidP="00D00C60">
      <w:pPr>
        <w:numPr>
          <w:ilvl w:val="1"/>
          <w:numId w:val="7"/>
        </w:numPr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:lang w:eastAsia="de-DE"/>
          <w14:ligatures w14:val="none"/>
        </w:rPr>
      </w:pPr>
      <w:r w:rsidRPr="00D00C60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de-DE"/>
          <w14:ligatures w14:val="none"/>
        </w:rPr>
        <w:t>Preferred:</w:t>
      </w:r>
      <w:r w:rsidRPr="00D00C60">
        <w:rPr>
          <w:rFonts w:ascii="Arial" w:eastAsia="Times New Roman" w:hAnsi="Arial" w:cs="Arial"/>
          <w:color w:val="000000"/>
          <w:kern w:val="0"/>
          <w:sz w:val="22"/>
          <w:szCs w:val="22"/>
          <w:lang w:eastAsia="de-DE"/>
          <w14:ligatures w14:val="none"/>
        </w:rPr>
        <w:t xml:space="preserve"> Implementation of appropriate technical and organizational measures as per </w:t>
      </w:r>
      <w:r w:rsidRPr="00D00C60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de-DE"/>
          <w14:ligatures w14:val="none"/>
        </w:rPr>
        <w:t>Article 32 of the GDPR</w:t>
      </w:r>
      <w:r w:rsidRPr="00D00C60">
        <w:rPr>
          <w:rFonts w:ascii="Arial" w:eastAsia="Times New Roman" w:hAnsi="Arial" w:cs="Arial"/>
          <w:color w:val="000000"/>
          <w:kern w:val="0"/>
          <w:sz w:val="22"/>
          <w:szCs w:val="22"/>
          <w:lang w:eastAsia="de-DE"/>
          <w14:ligatures w14:val="none"/>
        </w:rPr>
        <w:t>.</w:t>
      </w:r>
    </w:p>
    <w:p w14:paraId="2FBBE0F9" w14:textId="77777777" w:rsidR="00D00C60" w:rsidRPr="00D00C60" w:rsidRDefault="00D00C60" w:rsidP="00D00C60">
      <w:pPr>
        <w:numPr>
          <w:ilvl w:val="1"/>
          <w:numId w:val="7"/>
        </w:numPr>
        <w:spacing w:after="240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:lang w:eastAsia="de-DE"/>
          <w14:ligatures w14:val="none"/>
        </w:rPr>
      </w:pPr>
      <w:r w:rsidRPr="00D00C60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de-DE"/>
          <w14:ligatures w14:val="none"/>
        </w:rPr>
        <w:t>Requirement:</w:t>
      </w:r>
      <w:r w:rsidRPr="00D00C60">
        <w:rPr>
          <w:rFonts w:ascii="Arial" w:eastAsia="Times New Roman" w:hAnsi="Arial" w:cs="Arial"/>
          <w:color w:val="000000"/>
          <w:kern w:val="0"/>
          <w:sz w:val="22"/>
          <w:szCs w:val="22"/>
          <w:lang w:eastAsia="de-DE"/>
          <w14:ligatures w14:val="none"/>
        </w:rPr>
        <w:t xml:space="preserve"> Access must be limited to personnel who "need to know" and who are subject to strict confidentiality obligations.</w:t>
      </w:r>
    </w:p>
    <w:p w14:paraId="55B26D86" w14:textId="77777777" w:rsidR="00D00C60" w:rsidRPr="00D00C60" w:rsidRDefault="00D00C60" w:rsidP="00D00C60">
      <w:pPr>
        <w:spacing w:after="80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de-DE"/>
          <w14:ligatures w14:val="none"/>
        </w:rPr>
      </w:pPr>
      <w:r w:rsidRPr="00D00C60">
        <w:rPr>
          <w:rFonts w:ascii="Arial" w:eastAsia="Times New Roman" w:hAnsi="Arial" w:cs="Arial"/>
          <w:b/>
          <w:bCs/>
          <w:color w:val="000000"/>
          <w:kern w:val="0"/>
          <w:sz w:val="26"/>
          <w:szCs w:val="26"/>
          <w:lang w:eastAsia="de-DE"/>
          <w14:ligatures w14:val="none"/>
        </w:rPr>
        <w:t>Clause 6: Deletion or Return of Data</w:t>
      </w:r>
    </w:p>
    <w:p w14:paraId="392088F1" w14:textId="77777777" w:rsidR="00D00C60" w:rsidRPr="00D00C60" w:rsidRDefault="00D00C60" w:rsidP="00D00C60">
      <w:pPr>
        <w:numPr>
          <w:ilvl w:val="0"/>
          <w:numId w:val="8"/>
        </w:numPr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:lang w:eastAsia="de-DE"/>
          <w14:ligatures w14:val="none"/>
        </w:rPr>
      </w:pPr>
      <w:r w:rsidRPr="00D00C60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de-DE"/>
          <w14:ligatures w14:val="none"/>
        </w:rPr>
        <w:t>Why It Matters:</w:t>
      </w:r>
      <w:r w:rsidRPr="00D00C60">
        <w:rPr>
          <w:rFonts w:ascii="Arial" w:eastAsia="Times New Roman" w:hAnsi="Arial" w:cs="Arial"/>
          <w:color w:val="000000"/>
          <w:kern w:val="0"/>
          <w:sz w:val="22"/>
          <w:szCs w:val="22"/>
          <w:lang w:eastAsia="de-DE"/>
          <w14:ligatures w14:val="none"/>
        </w:rPr>
        <w:t xml:space="preserve"> Data should not be retained longer than necessary once the services end.</w:t>
      </w:r>
    </w:p>
    <w:p w14:paraId="30326888" w14:textId="77777777" w:rsidR="00D00C60" w:rsidRPr="00D00C60" w:rsidRDefault="00D00C60" w:rsidP="00D00C60">
      <w:pPr>
        <w:numPr>
          <w:ilvl w:val="0"/>
          <w:numId w:val="8"/>
        </w:numPr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:lang w:eastAsia="de-DE"/>
          <w14:ligatures w14:val="none"/>
        </w:rPr>
      </w:pPr>
      <w:r w:rsidRPr="00D00C60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de-DE"/>
          <w14:ligatures w14:val="none"/>
        </w:rPr>
        <w:t>What to Watch For:</w:t>
      </w:r>
      <w:r w:rsidRPr="00D00C60">
        <w:rPr>
          <w:rFonts w:ascii="Arial" w:eastAsia="Times New Roman" w:hAnsi="Arial" w:cs="Arial"/>
          <w:color w:val="000000"/>
          <w:kern w:val="0"/>
          <w:sz w:val="22"/>
          <w:szCs w:val="22"/>
          <w:lang w:eastAsia="de-DE"/>
          <w14:ligatures w14:val="none"/>
        </w:rPr>
        <w:t xml:space="preserve"> Long retention periods after contract termination.</w:t>
      </w:r>
    </w:p>
    <w:p w14:paraId="18E1013A" w14:textId="77777777" w:rsidR="00D00C60" w:rsidRPr="00D00C60" w:rsidRDefault="00D00C60" w:rsidP="00D00C60">
      <w:pPr>
        <w:numPr>
          <w:ilvl w:val="0"/>
          <w:numId w:val="8"/>
        </w:numPr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:lang w:eastAsia="de-DE"/>
          <w14:ligatures w14:val="none"/>
        </w:rPr>
      </w:pPr>
      <w:r w:rsidRPr="00D00C60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de-DE"/>
          <w14:ligatures w14:val="none"/>
        </w:rPr>
        <w:t>Recommended Positions:</w:t>
      </w:r>
    </w:p>
    <w:p w14:paraId="0AF8BD0E" w14:textId="77777777" w:rsidR="00D00C60" w:rsidRPr="00D00C60" w:rsidRDefault="00D00C60" w:rsidP="00D00C60">
      <w:pPr>
        <w:numPr>
          <w:ilvl w:val="1"/>
          <w:numId w:val="8"/>
        </w:numPr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:lang w:eastAsia="de-DE"/>
          <w14:ligatures w14:val="none"/>
        </w:rPr>
      </w:pPr>
      <w:r w:rsidRPr="00D00C60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de-DE"/>
          <w14:ligatures w14:val="none"/>
        </w:rPr>
        <w:t>Preferred:</w:t>
      </w:r>
      <w:r w:rsidRPr="00D00C60">
        <w:rPr>
          <w:rFonts w:ascii="Arial" w:eastAsia="Times New Roman" w:hAnsi="Arial" w:cs="Arial"/>
          <w:color w:val="000000"/>
          <w:kern w:val="0"/>
          <w:sz w:val="22"/>
          <w:szCs w:val="22"/>
          <w:lang w:eastAsia="de-DE"/>
          <w14:ligatures w14:val="none"/>
        </w:rPr>
        <w:t xml:space="preserve"> Delete or return all Company Personal Data within </w:t>
      </w:r>
      <w:r w:rsidRPr="00D00C60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de-DE"/>
          <w14:ligatures w14:val="none"/>
        </w:rPr>
        <w:t>10 business days</w:t>
      </w:r>
      <w:r w:rsidRPr="00D00C60">
        <w:rPr>
          <w:rFonts w:ascii="Arial" w:eastAsia="Times New Roman" w:hAnsi="Arial" w:cs="Arial"/>
          <w:color w:val="000000"/>
          <w:kern w:val="0"/>
          <w:sz w:val="22"/>
          <w:szCs w:val="22"/>
          <w:lang w:eastAsia="de-DE"/>
          <w14:ligatures w14:val="none"/>
        </w:rPr>
        <w:t xml:space="preserve"> of the cessation of services.</w:t>
      </w:r>
    </w:p>
    <w:p w14:paraId="0379714B" w14:textId="77777777" w:rsidR="00D00C60" w:rsidRPr="00D00C60" w:rsidRDefault="00D00C60" w:rsidP="00D00C60">
      <w:pPr>
        <w:numPr>
          <w:ilvl w:val="1"/>
          <w:numId w:val="8"/>
        </w:numPr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:lang w:eastAsia="de-DE"/>
          <w14:ligatures w14:val="none"/>
        </w:rPr>
      </w:pPr>
      <w:r w:rsidRPr="00D00C60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de-DE"/>
          <w14:ligatures w14:val="none"/>
        </w:rPr>
        <w:t>Requirement:</w:t>
      </w:r>
      <w:r w:rsidRPr="00D00C60">
        <w:rPr>
          <w:rFonts w:ascii="Arial" w:eastAsia="Times New Roman" w:hAnsi="Arial" w:cs="Arial"/>
          <w:color w:val="000000"/>
          <w:kern w:val="0"/>
          <w:sz w:val="22"/>
          <w:szCs w:val="22"/>
          <w:lang w:eastAsia="de-DE"/>
          <w14:ligatures w14:val="none"/>
        </w:rPr>
        <w:t xml:space="preserve"> The Processor must provide </w:t>
      </w:r>
      <w:r w:rsidRPr="00D00C60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de-DE"/>
          <w14:ligatures w14:val="none"/>
        </w:rPr>
        <w:t>written certification</w:t>
      </w:r>
      <w:r w:rsidRPr="00D00C60">
        <w:rPr>
          <w:rFonts w:ascii="Arial" w:eastAsia="Times New Roman" w:hAnsi="Arial" w:cs="Arial"/>
          <w:color w:val="000000"/>
          <w:kern w:val="0"/>
          <w:sz w:val="22"/>
          <w:szCs w:val="22"/>
          <w:lang w:eastAsia="de-DE"/>
          <w14:ligatures w14:val="none"/>
        </w:rPr>
        <w:t xml:space="preserve"> of deletion.</w:t>
      </w:r>
    </w:p>
    <w:p w14:paraId="64FC0E5B" w14:textId="77777777" w:rsidR="00D00C60" w:rsidRPr="00D00C60" w:rsidRDefault="00D00C60" w:rsidP="00D00C60">
      <w:pPr>
        <w:numPr>
          <w:ilvl w:val="1"/>
          <w:numId w:val="8"/>
        </w:numPr>
        <w:spacing w:after="240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:lang w:eastAsia="de-DE"/>
          <w14:ligatures w14:val="none"/>
        </w:rPr>
      </w:pPr>
      <w:r w:rsidRPr="00D00C60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de-DE"/>
          <w14:ligatures w14:val="none"/>
        </w:rPr>
        <w:t>Red Line:</w:t>
      </w:r>
      <w:r w:rsidRPr="00D00C60">
        <w:rPr>
          <w:rFonts w:ascii="Arial" w:eastAsia="Times New Roman" w:hAnsi="Arial" w:cs="Arial"/>
          <w:color w:val="000000"/>
          <w:kern w:val="0"/>
          <w:sz w:val="22"/>
          <w:szCs w:val="22"/>
          <w:lang w:eastAsia="de-DE"/>
          <w14:ligatures w14:val="none"/>
        </w:rPr>
        <w:t xml:space="preserve"> Reject any clause requiring immediate destruction of routine IT backups, as this is often technically impossible.</w:t>
      </w:r>
    </w:p>
    <w:p w14:paraId="34BF972B" w14:textId="77777777" w:rsidR="00D00C60" w:rsidRPr="00D00C60" w:rsidRDefault="00D00C60" w:rsidP="00D00C60">
      <w:pPr>
        <w:spacing w:after="80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de-DE"/>
          <w14:ligatures w14:val="none"/>
        </w:rPr>
      </w:pPr>
      <w:r w:rsidRPr="00D00C60">
        <w:rPr>
          <w:rFonts w:ascii="Arial" w:eastAsia="Times New Roman" w:hAnsi="Arial" w:cs="Arial"/>
          <w:b/>
          <w:bCs/>
          <w:color w:val="000000"/>
          <w:kern w:val="0"/>
          <w:sz w:val="26"/>
          <w:szCs w:val="26"/>
          <w:lang w:eastAsia="de-DE"/>
          <w14:ligatures w14:val="none"/>
        </w:rPr>
        <w:t>Clause 7: International Data Transfers</w:t>
      </w:r>
    </w:p>
    <w:p w14:paraId="35172BDB" w14:textId="77777777" w:rsidR="00D00C60" w:rsidRPr="00D00C60" w:rsidRDefault="00D00C60" w:rsidP="00D00C60">
      <w:pPr>
        <w:numPr>
          <w:ilvl w:val="0"/>
          <w:numId w:val="9"/>
        </w:numPr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:lang w:eastAsia="de-DE"/>
          <w14:ligatures w14:val="none"/>
        </w:rPr>
      </w:pPr>
      <w:r w:rsidRPr="00D00C60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de-DE"/>
          <w14:ligatures w14:val="none"/>
        </w:rPr>
        <w:t>Why It Matters:</w:t>
      </w:r>
      <w:r w:rsidRPr="00D00C60">
        <w:rPr>
          <w:rFonts w:ascii="Arial" w:eastAsia="Times New Roman" w:hAnsi="Arial" w:cs="Arial"/>
          <w:color w:val="000000"/>
          <w:kern w:val="0"/>
          <w:sz w:val="22"/>
          <w:szCs w:val="22"/>
          <w:lang w:eastAsia="de-DE"/>
          <w14:ligatures w14:val="none"/>
        </w:rPr>
        <w:t xml:space="preserve"> Transferring EU data outside the EEA requires specific legal safeguards.</w:t>
      </w:r>
    </w:p>
    <w:p w14:paraId="54FA453A" w14:textId="77777777" w:rsidR="00D00C60" w:rsidRPr="00D00C60" w:rsidRDefault="00D00C60" w:rsidP="00D00C60">
      <w:pPr>
        <w:numPr>
          <w:ilvl w:val="0"/>
          <w:numId w:val="9"/>
        </w:numPr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:lang w:eastAsia="de-DE"/>
          <w14:ligatures w14:val="none"/>
        </w:rPr>
      </w:pPr>
      <w:r w:rsidRPr="00D00C60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de-DE"/>
          <w14:ligatures w14:val="none"/>
        </w:rPr>
        <w:t>What to Watch For:</w:t>
      </w:r>
      <w:r w:rsidRPr="00D00C60">
        <w:rPr>
          <w:rFonts w:ascii="Arial" w:eastAsia="Times New Roman" w:hAnsi="Arial" w:cs="Arial"/>
          <w:color w:val="000000"/>
          <w:kern w:val="0"/>
          <w:sz w:val="22"/>
          <w:szCs w:val="22"/>
          <w:lang w:eastAsia="de-DE"/>
          <w14:ligatures w14:val="none"/>
        </w:rPr>
        <w:t xml:space="preserve"> Transfers to "third countries" without the Company's knowledge.</w:t>
      </w:r>
    </w:p>
    <w:p w14:paraId="203EA5A7" w14:textId="77777777" w:rsidR="00D00C60" w:rsidRPr="00D00C60" w:rsidRDefault="00D00C60" w:rsidP="00D00C60">
      <w:pPr>
        <w:numPr>
          <w:ilvl w:val="0"/>
          <w:numId w:val="9"/>
        </w:numPr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:lang w:eastAsia="de-DE"/>
          <w14:ligatures w14:val="none"/>
        </w:rPr>
      </w:pPr>
      <w:r w:rsidRPr="00D00C60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de-DE"/>
          <w14:ligatures w14:val="none"/>
        </w:rPr>
        <w:t>Recommended Positions:</w:t>
      </w:r>
    </w:p>
    <w:p w14:paraId="1E65BA82" w14:textId="77777777" w:rsidR="00D00C60" w:rsidRPr="00D00C60" w:rsidRDefault="00D00C60" w:rsidP="00D00C60">
      <w:pPr>
        <w:numPr>
          <w:ilvl w:val="1"/>
          <w:numId w:val="9"/>
        </w:numPr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:lang w:eastAsia="de-DE"/>
          <w14:ligatures w14:val="none"/>
        </w:rPr>
      </w:pPr>
      <w:r w:rsidRPr="00D00C60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de-DE"/>
          <w14:ligatures w14:val="none"/>
        </w:rPr>
        <w:t>Preferred:</w:t>
      </w:r>
      <w:r w:rsidRPr="00D00C60">
        <w:rPr>
          <w:rFonts w:ascii="Arial" w:eastAsia="Times New Roman" w:hAnsi="Arial" w:cs="Arial"/>
          <w:color w:val="000000"/>
          <w:kern w:val="0"/>
          <w:sz w:val="22"/>
          <w:szCs w:val="22"/>
          <w:lang w:eastAsia="de-DE"/>
          <w14:ligatures w14:val="none"/>
        </w:rPr>
        <w:t xml:space="preserve"> No transfers outside the EU/EEA without </w:t>
      </w:r>
      <w:r w:rsidRPr="00D00C60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de-DE"/>
          <w14:ligatures w14:val="none"/>
        </w:rPr>
        <w:t>prior written consent</w:t>
      </w:r>
      <w:r w:rsidRPr="00D00C60">
        <w:rPr>
          <w:rFonts w:ascii="Arial" w:eastAsia="Times New Roman" w:hAnsi="Arial" w:cs="Arial"/>
          <w:color w:val="000000"/>
          <w:kern w:val="0"/>
          <w:sz w:val="22"/>
          <w:szCs w:val="22"/>
          <w:lang w:eastAsia="de-DE"/>
          <w14:ligatures w14:val="none"/>
        </w:rPr>
        <w:t>.</w:t>
      </w:r>
    </w:p>
    <w:p w14:paraId="3FB0C19A" w14:textId="77777777" w:rsidR="00D00C60" w:rsidRPr="00D00C60" w:rsidRDefault="00D00C60" w:rsidP="00D00C60">
      <w:pPr>
        <w:numPr>
          <w:ilvl w:val="1"/>
          <w:numId w:val="9"/>
        </w:numPr>
        <w:spacing w:after="240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:lang w:eastAsia="de-DE"/>
          <w14:ligatures w14:val="none"/>
        </w:rPr>
      </w:pPr>
      <w:r w:rsidRPr="00D00C60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de-DE"/>
          <w14:ligatures w14:val="none"/>
        </w:rPr>
        <w:t>Requirement:</w:t>
      </w:r>
      <w:r w:rsidRPr="00D00C60">
        <w:rPr>
          <w:rFonts w:ascii="Arial" w:eastAsia="Times New Roman" w:hAnsi="Arial" w:cs="Arial"/>
          <w:color w:val="000000"/>
          <w:kern w:val="0"/>
          <w:sz w:val="22"/>
          <w:szCs w:val="22"/>
          <w:lang w:eastAsia="de-DE"/>
          <w14:ligatures w14:val="none"/>
        </w:rPr>
        <w:t xml:space="preserve"> If transfers occur, the parties must rely on </w:t>
      </w:r>
      <w:r w:rsidRPr="00D00C60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de-DE"/>
          <w14:ligatures w14:val="none"/>
        </w:rPr>
        <w:t>EU-approved Standard Contractual Clauses (SCCs)</w:t>
      </w:r>
      <w:r w:rsidRPr="00D00C60">
        <w:rPr>
          <w:rFonts w:ascii="Arial" w:eastAsia="Times New Roman" w:hAnsi="Arial" w:cs="Arial"/>
          <w:color w:val="000000"/>
          <w:kern w:val="0"/>
          <w:sz w:val="22"/>
          <w:szCs w:val="22"/>
          <w:lang w:eastAsia="de-DE"/>
          <w14:ligatures w14:val="none"/>
        </w:rPr>
        <w:t>.</w:t>
      </w:r>
    </w:p>
    <w:p w14:paraId="7B000982" w14:textId="77777777" w:rsidR="00D00C60" w:rsidRPr="00D00C60" w:rsidRDefault="00D00C60" w:rsidP="00D00C60">
      <w:pPr>
        <w:spacing w:after="80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de-DE"/>
          <w14:ligatures w14:val="none"/>
        </w:rPr>
      </w:pPr>
      <w:r w:rsidRPr="00D00C60">
        <w:rPr>
          <w:rFonts w:ascii="Arial" w:eastAsia="Times New Roman" w:hAnsi="Arial" w:cs="Arial"/>
          <w:b/>
          <w:bCs/>
          <w:color w:val="000000"/>
          <w:kern w:val="0"/>
          <w:sz w:val="26"/>
          <w:szCs w:val="26"/>
          <w:lang w:eastAsia="de-DE"/>
          <w14:ligatures w14:val="none"/>
        </w:rPr>
        <w:t>Clause 8: Audit Rights</w:t>
      </w:r>
    </w:p>
    <w:p w14:paraId="4B79B4E4" w14:textId="77777777" w:rsidR="00D00C60" w:rsidRPr="00D00C60" w:rsidRDefault="00D00C60" w:rsidP="00D00C60">
      <w:pPr>
        <w:numPr>
          <w:ilvl w:val="0"/>
          <w:numId w:val="10"/>
        </w:numPr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:lang w:eastAsia="de-DE"/>
          <w14:ligatures w14:val="none"/>
        </w:rPr>
      </w:pPr>
      <w:r w:rsidRPr="00D00C60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de-DE"/>
          <w14:ligatures w14:val="none"/>
        </w:rPr>
        <w:t>Why It Matters:</w:t>
      </w:r>
      <w:r w:rsidRPr="00D00C60">
        <w:rPr>
          <w:rFonts w:ascii="Arial" w:eastAsia="Times New Roman" w:hAnsi="Arial" w:cs="Arial"/>
          <w:color w:val="000000"/>
          <w:kern w:val="0"/>
          <w:sz w:val="22"/>
          <w:szCs w:val="22"/>
          <w:lang w:eastAsia="de-DE"/>
          <w14:ligatures w14:val="none"/>
        </w:rPr>
        <w:t xml:space="preserve"> The Company must be able to verify that the Processor is actually following the agreement.</w:t>
      </w:r>
    </w:p>
    <w:p w14:paraId="171D61A0" w14:textId="77777777" w:rsidR="00D00C60" w:rsidRPr="00D00C60" w:rsidRDefault="00D00C60" w:rsidP="00D00C60">
      <w:pPr>
        <w:numPr>
          <w:ilvl w:val="0"/>
          <w:numId w:val="10"/>
        </w:numPr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:lang w:eastAsia="de-DE"/>
          <w14:ligatures w14:val="none"/>
        </w:rPr>
      </w:pPr>
      <w:r w:rsidRPr="00D00C60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de-DE"/>
          <w14:ligatures w14:val="none"/>
        </w:rPr>
        <w:t>What to Watch For:</w:t>
      </w:r>
      <w:r w:rsidRPr="00D00C60">
        <w:rPr>
          <w:rFonts w:ascii="Arial" w:eastAsia="Times New Roman" w:hAnsi="Arial" w:cs="Arial"/>
          <w:color w:val="000000"/>
          <w:kern w:val="0"/>
          <w:sz w:val="22"/>
          <w:szCs w:val="22"/>
          <w:lang w:eastAsia="de-DE"/>
          <w14:ligatures w14:val="none"/>
        </w:rPr>
        <w:t xml:space="preserve"> Processors charging excessive fees for audits or limiting audits to once every several years.</w:t>
      </w:r>
    </w:p>
    <w:p w14:paraId="5D3705F3" w14:textId="77777777" w:rsidR="00D00C60" w:rsidRPr="00D00C60" w:rsidRDefault="00D00C60" w:rsidP="00D00C60">
      <w:pPr>
        <w:numPr>
          <w:ilvl w:val="0"/>
          <w:numId w:val="10"/>
        </w:numPr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:lang w:eastAsia="de-DE"/>
          <w14:ligatures w14:val="none"/>
        </w:rPr>
      </w:pPr>
      <w:r w:rsidRPr="00D00C60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de-DE"/>
          <w14:ligatures w14:val="none"/>
        </w:rPr>
        <w:t>Recommended Positions:</w:t>
      </w:r>
    </w:p>
    <w:p w14:paraId="22EC186A" w14:textId="77777777" w:rsidR="00D00C60" w:rsidRPr="00D00C60" w:rsidRDefault="00D00C60" w:rsidP="00D00C60">
      <w:pPr>
        <w:numPr>
          <w:ilvl w:val="1"/>
          <w:numId w:val="10"/>
        </w:numPr>
        <w:spacing w:after="240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:lang w:eastAsia="de-DE"/>
          <w14:ligatures w14:val="none"/>
        </w:rPr>
      </w:pPr>
      <w:r w:rsidRPr="00D00C60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de-DE"/>
          <w14:ligatures w14:val="none"/>
        </w:rPr>
        <w:t>Preferred:</w:t>
      </w:r>
      <w:r w:rsidRPr="00D00C60">
        <w:rPr>
          <w:rFonts w:ascii="Arial" w:eastAsia="Times New Roman" w:hAnsi="Arial" w:cs="Arial"/>
          <w:color w:val="000000"/>
          <w:kern w:val="0"/>
          <w:sz w:val="22"/>
          <w:szCs w:val="22"/>
          <w:lang w:eastAsia="de-DE"/>
          <w14:ligatures w14:val="none"/>
        </w:rPr>
        <w:t xml:space="preserve"> Processor shall make all information necessary available to demonstrate compliance and allow for </w:t>
      </w:r>
      <w:r w:rsidRPr="00D00C60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de-DE"/>
          <w14:ligatures w14:val="none"/>
        </w:rPr>
        <w:t>inspections/audits</w:t>
      </w:r>
      <w:r w:rsidRPr="00D00C60">
        <w:rPr>
          <w:rFonts w:ascii="Arial" w:eastAsia="Times New Roman" w:hAnsi="Arial" w:cs="Arial"/>
          <w:color w:val="000000"/>
          <w:kern w:val="0"/>
          <w:sz w:val="22"/>
          <w:szCs w:val="22"/>
          <w:lang w:eastAsia="de-DE"/>
          <w14:ligatures w14:val="none"/>
        </w:rPr>
        <w:t xml:space="preserve"> by the Company or its mandate.</w:t>
      </w:r>
    </w:p>
    <w:p w14:paraId="56716BE1" w14:textId="77777777" w:rsidR="00D00C60" w:rsidRPr="00D00C60" w:rsidRDefault="000C3A98" w:rsidP="00D00C60">
      <w:pPr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>
        <w:rPr>
          <w:noProof/>
        </w:rPr>
      </w:r>
      <w:r>
        <w:pict w14:anchorId="67018CA8">
          <v:rect id="Horizontal Line 2" o:spid="_x0000_s1026" style="width:470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" filled="f">
            <o:lock v:ext="edit" rotation="t" aspectratio="t" verticies="t" text="t" shapetype="t"/>
            <w10:anchorlock/>
          </v:rect>
        </w:pict>
      </w:r>
    </w:p>
    <w:p w14:paraId="58447A9E" w14:textId="77777777" w:rsidR="00D00C60" w:rsidRPr="00D00C60" w:rsidRDefault="00D00C60" w:rsidP="00D00C60">
      <w:pPr>
        <w:spacing w:after="80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de-DE"/>
          <w14:ligatures w14:val="none"/>
        </w:rPr>
      </w:pPr>
      <w:r w:rsidRPr="00D00C60">
        <w:rPr>
          <w:rFonts w:ascii="Arial" w:eastAsia="Times New Roman" w:hAnsi="Arial" w:cs="Arial"/>
          <w:b/>
          <w:bCs/>
          <w:color w:val="000000"/>
          <w:kern w:val="0"/>
          <w:sz w:val="26"/>
          <w:szCs w:val="26"/>
          <w:lang w:eastAsia="de-DE"/>
          <w14:ligatures w14:val="none"/>
        </w:rPr>
        <w:t>Escalation Matrix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86"/>
        <w:gridCol w:w="2904"/>
      </w:tblGrid>
      <w:tr w:rsidR="00D00C60" w:rsidRPr="00D00C60" w14:paraId="7B6509A8" w14:textId="77777777">
        <w:trPr>
          <w:trHeight w:val="53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620DE1B" w14:textId="77777777" w:rsidR="00D00C60" w:rsidRPr="00D00C60" w:rsidRDefault="00D00C60" w:rsidP="00D00C60">
            <w:pPr>
              <w:spacing w:after="480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D00C60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  <w:t>Trigger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5F5A26D" w14:textId="77777777" w:rsidR="00D00C60" w:rsidRPr="00D00C60" w:rsidRDefault="00D00C60" w:rsidP="00D00C60">
            <w:pPr>
              <w:spacing w:after="480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D00C60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  <w:t>Action</w:t>
            </w:r>
          </w:p>
        </w:tc>
      </w:tr>
      <w:tr w:rsidR="00D00C60" w:rsidRPr="00D00C60" w14:paraId="3FBDBB58" w14:textId="77777777">
        <w:trPr>
          <w:trHeight w:val="80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E307EF8" w14:textId="77777777" w:rsidR="00D00C60" w:rsidRPr="00D00C60" w:rsidRDefault="00D00C60" w:rsidP="00D00C60">
            <w:pPr>
              <w:spacing w:after="480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D00C60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  <w:t>Processor refuses to notify of breaches "without undue delay"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583E38F" w14:textId="77777777" w:rsidR="00D00C60" w:rsidRPr="00D00C60" w:rsidRDefault="00D00C60" w:rsidP="00D00C60">
            <w:pPr>
              <w:spacing w:after="480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D00C60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  <w:t>Escalate to Data Privacy Officer</w:t>
            </w:r>
          </w:p>
        </w:tc>
      </w:tr>
      <w:tr w:rsidR="00D00C60" w:rsidRPr="00D00C60" w14:paraId="72B75C4A" w14:textId="77777777">
        <w:trPr>
          <w:trHeight w:val="80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CC8E300" w14:textId="77777777" w:rsidR="00D00C60" w:rsidRPr="00D00C60" w:rsidRDefault="00D00C60" w:rsidP="00D00C60">
            <w:pPr>
              <w:spacing w:after="480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D00C60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  <w:t>Processor insists on using data for their own "analytics"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1B97481" w14:textId="77777777" w:rsidR="00D00C60" w:rsidRPr="00D00C60" w:rsidRDefault="00D00C60" w:rsidP="00D00C60">
            <w:pPr>
              <w:spacing w:after="480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D00C60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  <w:t>Escalate to Legal Counsel</w:t>
            </w:r>
          </w:p>
        </w:tc>
      </w:tr>
      <w:tr w:rsidR="00D00C60" w:rsidRPr="00D00C60" w14:paraId="7B2BDCE7" w14:textId="77777777">
        <w:trPr>
          <w:trHeight w:val="80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F5C8495" w14:textId="77777777" w:rsidR="00D00C60" w:rsidRPr="00D00C60" w:rsidRDefault="00D00C60" w:rsidP="00D00C60">
            <w:pPr>
              <w:spacing w:after="480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D00C60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  <w:t>Processor refuses to sign EU Standard Contractual Clauses for non-EEA transfers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B573228" w14:textId="77777777" w:rsidR="00D00C60" w:rsidRPr="00D00C60" w:rsidRDefault="00D00C60" w:rsidP="00D00C60">
            <w:pPr>
              <w:spacing w:after="480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D00C60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  <w:t>Red Line - Do Not Proceed</w:t>
            </w:r>
          </w:p>
        </w:tc>
      </w:tr>
    </w:tbl>
    <w:p w14:paraId="5CC688D8" w14:textId="77777777" w:rsidR="00D00C60" w:rsidRPr="00D00C60" w:rsidRDefault="00D00C60" w:rsidP="00D00C60">
      <w:pPr>
        <w:spacing w:after="240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D00C60">
        <w:rPr>
          <w:rFonts w:ascii="Arial" w:eastAsia="Times New Roman" w:hAnsi="Arial" w:cs="Arial"/>
          <w:color w:val="000000"/>
          <w:kern w:val="0"/>
          <w:sz w:val="22"/>
          <w:szCs w:val="22"/>
          <w:lang w:eastAsia="de-DE"/>
          <w14:ligatures w14:val="none"/>
        </w:rPr>
        <w:t>Does this structure align with your internal review process, or should I add more specific BMW-specific compliance tiers?</w:t>
      </w:r>
    </w:p>
    <w:p w14:paraId="477CBB22" w14:textId="77777777" w:rsidR="00D00C60" w:rsidRPr="00D00C60" w:rsidRDefault="00D00C60" w:rsidP="00D00C60">
      <w:pPr>
        <w:spacing w:after="240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</w:p>
    <w:p w14:paraId="1723DA13" w14:textId="77777777" w:rsidR="00D00C60" w:rsidRPr="00D00C60" w:rsidRDefault="00D00C60" w:rsidP="00D00C60">
      <w:pPr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</w:p>
    <w:p w14:paraId="7F7620D8" w14:textId="77777777" w:rsidR="007E6341" w:rsidRDefault="007E6341"/>
    <w:sectPr w:rsidR="007E6341" w:rsidSect="00D00C60">
      <w:pgSz w:w="12240" w:h="15840"/>
      <w:pgMar w:top="1417" w:right="1417" w:bottom="1134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.">
    <w:altName w:val="Cambria"/>
    <w:panose1 w:val="020B0604020202020204"/>
    <w:charset w:val="00"/>
    <w:family w:val="roman"/>
    <w:pitch w:val="default"/>
  </w:font>
  <w:font w:name="§">
    <w:altName w:val="Cambria"/>
    <w:panose1 w:val="020B0604020202020204"/>
    <w:charset w:val="00"/>
    <w:family w:val="roman"/>
    <w:pitch w:val="default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6C4672"/>
    <w:multiLevelType w:val="multilevel"/>
    <w:tmpl w:val="3DB8462C"/>
    <w:styleLink w:val="TAYA"/>
    <w:lvl w:ilvl="0">
      <w:start w:val="1"/>
      <w:numFmt w:val="bullet"/>
      <w:lvlText w:val="§"/>
      <w:lvlJc w:val="left"/>
      <w:pPr>
        <w:ind w:left="360" w:hanging="360"/>
      </w:pPr>
      <w:rPr>
        <w:rFonts w:ascii="Times New Roman" w:hAnsi="Times New Roman" w:cs="Times New Roman" w:hint="default"/>
        <w:sz w:val="40"/>
      </w:rPr>
    </w:lvl>
    <w:lvl w:ilvl="1">
      <w:start w:val="1"/>
      <w:numFmt w:val="upperLetter"/>
      <w:lvlText w:val="%2."/>
      <w:lvlJc w:val="left"/>
      <w:pPr>
        <w:ind w:left="1068" w:hanging="360"/>
      </w:pPr>
      <w:rPr>
        <w:rFonts w:asciiTheme="majorHAnsi" w:hAnsiTheme="majorHAnsi"/>
        <w:color w:val="0F4761" w:themeColor="accent1" w:themeShade="BF"/>
        <w:sz w:val="32"/>
      </w:rPr>
    </w:lvl>
    <w:lvl w:ilvl="2">
      <w:start w:val="1"/>
      <w:numFmt w:val="upperRoman"/>
      <w:lvlText w:val="%3."/>
      <w:lvlJc w:val="right"/>
      <w:pPr>
        <w:ind w:left="2304" w:hanging="180"/>
      </w:pPr>
      <w:rPr>
        <w:rFonts w:asciiTheme="majorHAnsi" w:hAnsiTheme="majorHAnsi"/>
        <w:color w:val="0F4761" w:themeColor="accent1" w:themeShade="BF"/>
        <w:sz w:val="28"/>
      </w:rPr>
    </w:lvl>
    <w:lvl w:ilvl="3">
      <w:start w:val="1"/>
      <w:numFmt w:val="bullet"/>
      <w:lvlText w:val="o"/>
      <w:lvlJc w:val="left"/>
      <w:pPr>
        <w:ind w:left="3192" w:hanging="360"/>
      </w:pPr>
      <w:rPr>
        <w:rFonts w:ascii="Times New Roman" w:hAnsi="Times New Roman" w:cs="Times New Roman" w:hint="default"/>
        <w:color w:val="0F4761" w:themeColor="accent1" w:themeShade="BF"/>
        <w:sz w:val="24"/>
      </w:rPr>
    </w:lvl>
    <w:lvl w:ilvl="4">
      <w:start w:val="1"/>
      <w:numFmt w:val="bullet"/>
      <w:lvlText w:val="­"/>
      <w:lvlJc w:val="left"/>
      <w:pPr>
        <w:ind w:left="3948" w:hanging="360"/>
      </w:pPr>
      <w:rPr>
        <w:rFonts w:ascii="Times New Roman" w:hAnsi="Times New Roman" w:cs="Times New Roman" w:hint="default"/>
        <w:color w:val="0F4761" w:themeColor="accent1" w:themeShade="BF"/>
      </w:rPr>
    </w:lvl>
    <w:lvl w:ilvl="5">
      <w:start w:val="1"/>
      <w:numFmt w:val="lowerLetter"/>
      <w:lvlText w:val="%6"/>
      <w:lvlJc w:val="left"/>
      <w:pPr>
        <w:ind w:left="4428" w:hanging="180"/>
      </w:pPr>
      <w:rPr>
        <w:rFonts w:ascii="." w:hAnsi="." w:cs="Times New Roman" w:hint="default"/>
      </w:rPr>
    </w:lvl>
    <w:lvl w:ilvl="6">
      <w:start w:val="1"/>
      <w:numFmt w:val="lowerRoman"/>
      <w:lvlText w:val="%7."/>
      <w:lvlJc w:val="left"/>
      <w:pPr>
        <w:ind w:left="5388" w:hanging="360"/>
      </w:pPr>
    </w:lvl>
    <w:lvl w:ilvl="7">
      <w:start w:val="1"/>
      <w:numFmt w:val="none"/>
      <w:lvlText w:val="%8"/>
      <w:lvlJc w:val="left"/>
      <w:pPr>
        <w:ind w:left="6024" w:hanging="360"/>
      </w:pPr>
      <w:rPr>
        <w:rFonts w:ascii="§" w:hAnsi="§" w:cs="Times New Roman" w:hint="default"/>
      </w:rPr>
    </w:lvl>
    <w:lvl w:ilvl="8">
      <w:start w:val="1"/>
      <w:numFmt w:val="lowerRoman"/>
      <w:lvlText w:val="%9."/>
      <w:lvlJc w:val="right"/>
      <w:pPr>
        <w:ind w:left="6828" w:hanging="180"/>
      </w:pPr>
    </w:lvl>
  </w:abstractNum>
  <w:abstractNum w:abstractNumId="1" w15:restartNumberingAfterBreak="0">
    <w:nsid w:val="2E971B9B"/>
    <w:multiLevelType w:val="multilevel"/>
    <w:tmpl w:val="5C128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EB6901"/>
    <w:multiLevelType w:val="multilevel"/>
    <w:tmpl w:val="0407001D"/>
    <w:styleLink w:val="Formatvorlage1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" w15:restartNumberingAfterBreak="0">
    <w:nsid w:val="31A5467E"/>
    <w:multiLevelType w:val="multilevel"/>
    <w:tmpl w:val="490CD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A877B1"/>
    <w:multiLevelType w:val="multilevel"/>
    <w:tmpl w:val="0F4C3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67C5605"/>
    <w:multiLevelType w:val="multilevel"/>
    <w:tmpl w:val="6A524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6386191"/>
    <w:multiLevelType w:val="multilevel"/>
    <w:tmpl w:val="A3544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C267212"/>
    <w:multiLevelType w:val="multilevel"/>
    <w:tmpl w:val="EAFC5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A6D29BF"/>
    <w:multiLevelType w:val="multilevel"/>
    <w:tmpl w:val="9F2E2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8064AA4"/>
    <w:multiLevelType w:val="multilevel"/>
    <w:tmpl w:val="8E526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45652291">
    <w:abstractNumId w:val="0"/>
  </w:num>
  <w:num w:numId="2" w16cid:durableId="1919053207">
    <w:abstractNumId w:val="2"/>
  </w:num>
  <w:num w:numId="3" w16cid:durableId="587664803">
    <w:abstractNumId w:val="3"/>
  </w:num>
  <w:num w:numId="4" w16cid:durableId="1442803316">
    <w:abstractNumId w:val="7"/>
  </w:num>
  <w:num w:numId="5" w16cid:durableId="812336938">
    <w:abstractNumId w:val="1"/>
  </w:num>
  <w:num w:numId="6" w16cid:durableId="894849509">
    <w:abstractNumId w:val="8"/>
  </w:num>
  <w:num w:numId="7" w16cid:durableId="1048720044">
    <w:abstractNumId w:val="9"/>
  </w:num>
  <w:num w:numId="8" w16cid:durableId="1123499991">
    <w:abstractNumId w:val="4"/>
  </w:num>
  <w:num w:numId="9" w16cid:durableId="1046685726">
    <w:abstractNumId w:val="6"/>
  </w:num>
  <w:num w:numId="10" w16cid:durableId="63020692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0C60"/>
    <w:rsid w:val="000C3A98"/>
    <w:rsid w:val="00112CD3"/>
    <w:rsid w:val="00245659"/>
    <w:rsid w:val="002F58A9"/>
    <w:rsid w:val="005C7EA6"/>
    <w:rsid w:val="005F4520"/>
    <w:rsid w:val="007E6341"/>
    <w:rsid w:val="009165FF"/>
    <w:rsid w:val="00D00C60"/>
    <w:rsid w:val="00D733F7"/>
    <w:rsid w:val="00D744FB"/>
    <w:rsid w:val="00DC78DA"/>
    <w:rsid w:val="00EF7A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  <w14:docId w14:val="5B41AB14"/>
  <w15:chartTrackingRefBased/>
  <w15:docId w15:val="{475FD8BD-F8C0-E445-9F3F-7E52C37039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D00C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D00C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D00C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D00C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D00C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D00C6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D00C6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D00C6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D00C6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numbering" w:customStyle="1" w:styleId="TAYA">
    <w:name w:val="TAYA"/>
    <w:uiPriority w:val="99"/>
    <w:rsid w:val="00D733F7"/>
    <w:pPr>
      <w:numPr>
        <w:numId w:val="1"/>
      </w:numPr>
    </w:pPr>
  </w:style>
  <w:style w:type="numbering" w:customStyle="1" w:styleId="Formatvorlage1">
    <w:name w:val="Formatvorlage1"/>
    <w:uiPriority w:val="99"/>
    <w:rsid w:val="00D733F7"/>
    <w:pPr>
      <w:numPr>
        <w:numId w:val="2"/>
      </w:numPr>
    </w:pPr>
  </w:style>
  <w:style w:type="character" w:customStyle="1" w:styleId="berschrift1Zchn">
    <w:name w:val="Überschrift 1 Zchn"/>
    <w:basedOn w:val="Absatz-Standardschriftart"/>
    <w:link w:val="berschrift1"/>
    <w:uiPriority w:val="9"/>
    <w:rsid w:val="00D00C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D00C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D00C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D00C60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D00C60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D00C60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D00C60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D00C60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D00C60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D00C6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D00C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D00C60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D00C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D00C6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D00C60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D00C60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D00C60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D00C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D00C60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D00C60"/>
    <w:rPr>
      <w:b/>
      <w:bCs/>
      <w:smallCaps/>
      <w:color w:val="0F4761" w:themeColor="accent1" w:themeShade="BF"/>
      <w:spacing w:val="5"/>
    </w:rPr>
  </w:style>
  <w:style w:type="paragraph" w:styleId="StandardWeb">
    <w:name w:val="Normal (Web)"/>
    <w:basedOn w:val="Standard"/>
    <w:uiPriority w:val="99"/>
    <w:semiHidden/>
    <w:unhideWhenUsed/>
    <w:rsid w:val="00D00C60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de-DE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680</Words>
  <Characters>4285</Characters>
  <Application>Microsoft Office Word</Application>
  <DocSecurity>0</DocSecurity>
  <Lines>35</Lines>
  <Paragraphs>9</Paragraphs>
  <ScaleCrop>false</ScaleCrop>
  <Company/>
  <LinksUpToDate>false</LinksUpToDate>
  <CharactersWithSpaces>4956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Taya Brohmer</dc:creator>
  <cp:keywords/>
  <dc:description/>
  <cp:lastModifiedBy>Taya Brohmer</cp:lastModifiedBy>
  <cp:revision>1</cp:revision>
  <dcterms:created xsi:type="dcterms:W3CDTF">2026-04-25T15:53:00Z</dcterms:created>
  <dcterms:modified xsi:type="dcterms:W3CDTF">2026-04-25T15:54:00Z</dcterms:modified>
</cp:coreProperties>
</file>