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BMW GROUP DPA NEGOTIATION PLAYBOOK - SOURCE BASED</w:t>
      </w:r>
    </w:p>
    <w:p>
      <w:r>
        <w:t xml:space="preserve">A practical guide to reviewing and negotiating BMW-focused contract clauses.</w:t>
      </w:r>
    </w:p>
    <w:p>
      <w:r>
        <w:t xml:space="preserve">Classification: Synthetic demo playbook for Harvey hackathon use only.</w:t>
      </w:r>
    </w:p>
    <w:p>
      <w:r>
        <w:t xml:space="preserve">How to use this playbook: review each clause, compare the draft against the preferred position, use fallback language only where risk is acceptable, and escalate red lines before signature.</w:t>
      </w:r>
    </w:p>
    <w:p>
      <w:pPr>
        <w:pStyle w:val="Heading1"/>
      </w:pPr>
      <w:r>
        <w:t xml:space="preserve">Clause 1: Processing instructions and own-purpose use (DPA-001)</w:t>
      </w:r>
    </w:p>
    <w:p>
      <w:r>
        <w:t xml:space="preserve">Why it matters: The controller must remain in control of purposes and means. Processor own-purpose language can undermine the controller-processor structure.</w:t>
      </w:r>
    </w:p>
    <w:p>
      <w:r>
        <w:t xml:space="preserve">Preferred position: Processor shall process Company Personal Data only on BMW Group's documented instructions.</w:t>
      </w:r>
    </w:p>
    <w:p>
      <w:r>
        <w:t xml:space="preserve">Fallback 1: Permit strictly aggregated service statistics only if BMW Group approves the purpose in the order form.</w:t>
      </w:r>
    </w:p>
    <w:p>
      <w:r>
        <w:t xml:space="preserve">Fallback 2: Permit security telemetry only where minimized, non-personal, and necessary to provide the service.</w:t>
      </w:r>
    </w:p>
    <w:p>
      <w:r>
        <w:t xml:space="preserve">Red line: Reject product improvement, analytics, benchmarking, marketing, AI training, or other own-purpose processing unless specifically authorized.</w:t>
      </w:r>
    </w:p>
    <w:p>
      <w:r>
        <w:t xml:space="preserve">Escalation trigger: Processor insists on using Company Personal Data for its own analytics, product improvement, marketing, benchmarking, or model training.</w:t>
      </w:r>
    </w:p>
    <w:p>
      <w:r>
        <w:t xml:space="preserve">Approved fix: Processor shall not process Company Personal Data for its own purposes, including analytics, product improvement, benchmarking, marketing, or model training, without BMW Group's prior written approval.</w:t>
      </w:r>
    </w:p>
    <w:p>
      <w:r>
        <w:t xml:space="preserve">Legal basis: GDPR Art. 28(3)(a); GDPR Art. 5(1)(b).</w:t>
      </w:r>
    </w:p>
    <w:p>
      <w:pPr>
        <w:pStyle w:val="Heading1"/>
      </w:pPr>
      <w:r>
        <w:t xml:space="preserve">Clause 2: Subprocessor approval and objection rights (DPA-002)</w:t>
      </w:r>
    </w:p>
    <w:p>
      <w:r>
        <w:t xml:space="preserve">Why it matters: BMW Group must know and approve who can access its data throughout the processor supply chain.</w:t>
      </w:r>
    </w:p>
    <w:p>
      <w:r>
        <w:t xml:space="preserve">Preferred position: Prior written consent for each subprocessor, with named subprocessor schedule and processing location.</w:t>
      </w:r>
    </w:p>
    <w:p>
      <w:r>
        <w:t xml:space="preserve">Fallback 1: General written authorization only if BMW Group receives advance notice of intended changes and can object.</w:t>
      </w:r>
    </w:p>
    <w:p>
      <w:r>
        <w:t xml:space="preserve">Fallback 2: Pre-approved support vendor pool for low-risk services, with notice before activation.</w:t>
      </w:r>
    </w:p>
    <w:p>
      <w:r>
        <w:t xml:space="preserve">Red line: General authorization with no notice, no list, or no objection right.</w:t>
      </w:r>
    </w:p>
    <w:p>
      <w:r>
        <w:t xml:space="preserve">Escalation trigger: Processor refuses to disclose subprocessors or asks for unrestricted additions without informing BMW Group.</w:t>
      </w:r>
    </w:p>
    <w:p>
      <w:r>
        <w:t xml:space="preserve">Approved fix: Processor may use only authorized subprocessors and must notify BMW Group of intended changes in time for BMW Group to object.</w:t>
      </w:r>
    </w:p>
    <w:p>
      <w:r>
        <w:t xml:space="preserve">Legal basis: GDPR Art. 28(2) and Art. 28(4).</w:t>
      </w:r>
    </w:p>
    <w:p>
      <w:pPr>
        <w:pStyle w:val="Heading1"/>
      </w:pPr>
      <w:r>
        <w:t xml:space="preserve">Clause 3: Data subject rights assistance (DPA-003)</w:t>
      </w:r>
    </w:p>
    <w:p>
      <w:r>
        <w:t xml:space="preserve">Why it matters: BMW Group remains responsible for responding to individuals exercising access, deletion, objection, and other GDPR rights.</w:t>
      </w:r>
    </w:p>
    <w:p>
      <w:r>
        <w:t xml:space="preserve">Preferred position: Processor notifies BMW Group immediately and provides technical and organizational assistance for data subject rights.</w:t>
      </w:r>
    </w:p>
    <w:p>
      <w:r>
        <w:t xml:space="preserve">Fallback 1: Processor may redirect a requester to BMW Group if it also preserves request evidence and notifies BMW Group promptly.</w:t>
      </w:r>
    </w:p>
    <w:p>
      <w:r>
        <w:t xml:space="preserve">Fallback 2: Reasonable documented cost recovery only for exceptional, high-volume requests approved by BMW Group.</w:t>
      </w:r>
    </w:p>
    <w:p>
      <w:r>
        <w:t xml:space="preserve">Red line: Processor refuses assistance, charges excessive fees, responds directly without instruction, or purports to waive data subject rights.</w:t>
      </w:r>
    </w:p>
    <w:p>
      <w:r>
        <w:t xml:space="preserve">Escalation trigger: Processor refuses to assist with complex requests or requires uncapped fees for request support.</w:t>
      </w:r>
    </w:p>
    <w:p>
      <w:r>
        <w:t xml:space="preserve">Approved fix: Processor shall promptly notify BMW Group and provide reasonable assistance with data subject requests without separate charge unless BMW Group approves an exceptional fee.</w:t>
      </w:r>
    </w:p>
    <w:p>
      <w:r>
        <w:t xml:space="preserve">Legal basis: GDPR Art. 12-22; GDPR Art. 28(3)(e).</w:t>
      </w:r>
    </w:p>
    <w:p>
      <w:pPr>
        <w:pStyle w:val="Heading1"/>
      </w:pPr>
      <w:r>
        <w:t xml:space="preserve">Clause 4: Personal data breach notification (DPA-004)</w:t>
      </w:r>
    </w:p>
    <w:p>
      <w:r>
        <w:t xml:space="preserve">Why it matters: BMW Group may need to meet regulatory and data subject notification timelines and needs facts early.</w:t>
      </w:r>
    </w:p>
    <w:p>
      <w:r>
        <w:t xml:space="preserve">Preferred position: Notice without undue delay after awareness, with enough information for BMW Group to assess reporting duties and coordinate mitigation.</w:t>
      </w:r>
    </w:p>
    <w:p>
      <w:r>
        <w:t xml:space="preserve">Fallback 1: A short outer deadline may be accepted for non-critical updates, but the initial awareness notice must remain without undue delay.</w:t>
      </w:r>
    </w:p>
    <w:p>
      <w:r>
        <w:t xml:space="preserve">Fallback 2: Rolling updates may be used where facts are still developing.</w:t>
      </w:r>
    </w:p>
    <w:p>
      <w:r>
        <w:t xml:space="preserve">Red line: Notice only after confirmation, after full investigation, or as soon as reasonably practicable with no urgency standard.</w:t>
      </w:r>
    </w:p>
    <w:p>
      <w:r>
        <w:t xml:space="preserve">Escalation trigger: Processor refuses to notify without undue delay or limits cooperation in breach investigation.</w:t>
      </w:r>
    </w:p>
    <w:p>
      <w:r>
        <w:t xml:space="preserve">Approved fix: Processor shall notify BMW Group without undue delay after becoming aware of an actual or suspected Personal Data Breach and provide rolling updates.</w:t>
      </w:r>
    </w:p>
    <w:p>
      <w:r>
        <w:t xml:space="preserve">Legal basis: GDPR Art. 33; GDPR Art. 34; GDPR Art. 28(3)(f).</w:t>
      </w:r>
    </w:p>
    <w:p>
      <w:pPr>
        <w:pStyle w:val="Heading1"/>
      </w:pPr>
      <w:r>
        <w:t xml:space="preserve">Clause 5: Security measures (DPA-005)</w:t>
      </w:r>
    </w:p>
    <w:p>
      <w:r>
        <w:t xml:space="preserve">Why it matters: Generic best-effort security language does not let BMW Group evaluate or evidence processor security.</w:t>
      </w:r>
    </w:p>
    <w:p>
      <w:r>
        <w:t xml:space="preserve">Preferred position: Attach TOMs covering access control, encryption, logging, vulnerability management, availability, confidentiality, and personnel controls.</w:t>
      </w:r>
    </w:p>
    <w:p>
      <w:r>
        <w:t xml:space="preserve">Fallback 1: Accept current independent assurance evidence plus a BMW-specific TOM annex.</w:t>
      </w:r>
    </w:p>
    <w:p>
      <w:r>
        <w:t xml:space="preserve">Fallback 2: Accept a short-form TOM schedule only for low-risk data and short pilots.</w:t>
      </w:r>
    </w:p>
    <w:p>
      <w:r>
        <w:t xml:space="preserve">Red line: Best-efforts language with no concrete standards, no need-to-know access limit, or no confidentiality obligation.</w:t>
      </w:r>
    </w:p>
    <w:p>
      <w:r>
        <w:t xml:space="preserve">Escalation trigger: Processor refuses to commit to GDPR Art. 32 TOMs or restrict access to need-to-know personnel.</w:t>
      </w:r>
    </w:p>
    <w:p>
      <w:r>
        <w:t xml:space="preserve">Approved fix: Processor shall maintain the TOMs in Annex 2 and ensure access is limited to need-to-know personnel bound by confidentiality obligations.</w:t>
      </w:r>
    </w:p>
    <w:p>
      <w:r>
        <w:t xml:space="preserve">Legal basis: GDPR Art. 32; GDPR Art. 28(3)(c).</w:t>
      </w:r>
    </w:p>
    <w:p>
      <w:pPr>
        <w:pStyle w:val="Heading1"/>
      </w:pPr>
      <w:r>
        <w:t xml:space="preserve">Clause 6: Deletion or return of data (DPA-006)</w:t>
      </w:r>
    </w:p>
    <w:p>
      <w:r>
        <w:t xml:space="preserve">Why it matters: Data should not be retained longer than necessary after services end, while routine backups need practical handling.</w:t>
      </w:r>
    </w:p>
    <w:p>
      <w:r>
        <w:t xml:space="preserve">Preferred position: Delete or return all Company Personal Data within 10 business days and provide written certification.</w:t>
      </w:r>
    </w:p>
    <w:p>
      <w:r>
        <w:t xml:space="preserve">Fallback 1: Permit backup deletion on the next scheduled purge cycle if backups remain protected and inaccessible for ordinary use.</w:t>
      </w:r>
    </w:p>
    <w:p>
      <w:r>
        <w:t xml:space="preserve">Fallback 2: Permit legally required archives only if segregated and still subject to confidentiality and security obligations.</w:t>
      </w:r>
    </w:p>
    <w:p>
      <w:r>
        <w:t xml:space="preserve">Red line: Long retention after termination, retention for analytics, or immediate destruction of routine backups with no technical feasibility carve-out.</w:t>
      </w:r>
    </w:p>
    <w:p>
      <w:r>
        <w:t xml:space="preserve">Escalation trigger: Processor requests retention beyond operational need or insists on immediate backup destruction certification.</w:t>
      </w:r>
    </w:p>
    <w:p>
      <w:r>
        <w:t xml:space="preserve">Approved fix: Processor shall delete or return Company Personal Data within 10 business days, certify deletion, and keep any retained backups protected until normal purge.</w:t>
      </w:r>
    </w:p>
    <w:p>
      <w:r>
        <w:t xml:space="preserve">Legal basis: GDPR Art. 5(1)(e); GDPR Art. 28(3)(g).</w:t>
      </w:r>
    </w:p>
    <w:p>
      <w:pPr>
        <w:pStyle w:val="Heading1"/>
      </w:pPr>
      <w:r>
        <w:t xml:space="preserve">Clause 7: International data transfers (DPA-007)</w:t>
      </w:r>
    </w:p>
    <w:p>
      <w:r>
        <w:t xml:space="preserve">Why it matters: Transfers outside the EEA require specific legal safeguards and BMW Group visibility.</w:t>
      </w:r>
    </w:p>
    <w:p>
      <w:r>
        <w:t xml:space="preserve">Preferred position: No non-EEA transfers without prior written consent and an approved transfer schedule.</w:t>
      </w:r>
    </w:p>
    <w:p>
      <w:r>
        <w:t xml:space="preserve">Fallback 1: Allow transfers only under EU-approved SCCs, transfer assessment, and supplementary measures.</w:t>
      </w:r>
    </w:p>
    <w:p>
      <w:r>
        <w:t xml:space="preserve">Fallback 2: Allow emergency remote access only with time limits, logging, encryption, and legal approval.</w:t>
      </w:r>
    </w:p>
    <w:p>
      <w:r>
        <w:t xml:space="preserve">Red line: Third-country transfers without BMW Group knowledge, SCC refusal, or safeguards to be agreed later.</w:t>
      </w:r>
    </w:p>
    <w:p>
      <w:r>
        <w:t xml:space="preserve">Escalation trigger: Processor refuses to sign EU SCCs for non-EEA transfers or asks for unrestricted third-country access.</w:t>
      </w:r>
    </w:p>
    <w:p>
      <w:r>
        <w:t xml:space="preserve">Approved fix: Processor shall not transfer Company Personal Data outside the EU/EEA unless BMW Group gives prior written consent and approved safeguards are in place.</w:t>
      </w:r>
    </w:p>
    <w:p>
      <w:r>
        <w:t xml:space="preserve">Legal basis: GDPR Art. 44-46.</w:t>
      </w:r>
    </w:p>
    <w:p>
      <w:pPr>
        <w:pStyle w:val="Heading1"/>
      </w:pPr>
      <w:r>
        <w:t xml:space="preserve">Clause 8: Audit rights (DPA-008)</w:t>
      </w:r>
    </w:p>
    <w:p>
      <w:r>
        <w:t xml:space="preserve">Why it matters: BMW Group needs evidence that the processor is actually following the DPA and GDPR Art. 28 obligations.</w:t>
      </w:r>
    </w:p>
    <w:p>
      <w:r>
        <w:t xml:space="preserve">Preferred position: Information access plus audit/inspection rights by BMW Group or a mandated auditor.</w:t>
      </w:r>
    </w:p>
    <w:p>
      <w:r>
        <w:t xml:space="preserve">Fallback 1: Independent assurance reports and remote evidence review for low-risk processing.</w:t>
      </w:r>
    </w:p>
    <w:p>
      <w:r>
        <w:t xml:space="preserve">Fallback 2: Limit audit frequency only if incident-triggered and regulator-triggered audits remain available.</w:t>
      </w:r>
    </w:p>
    <w:p>
      <w:r>
        <w:t xml:space="preserve">Red line: Audits limited to once every several years, excessive audit fees, or no inspection right.</w:t>
      </w:r>
    </w:p>
    <w:p>
      <w:r>
        <w:t xml:space="preserve">Escalation trigger: Processor charges excessive audit fees or refuses meaningful audit rights.</w:t>
      </w:r>
    </w:p>
    <w:p>
      <w:r>
        <w:t xml:space="preserve">Approved fix: Processor shall make available all information necessary to demonstrate compliance and allow audits by BMW Group or its mandated auditor.</w:t>
      </w:r>
    </w:p>
    <w:p>
      <w:r>
        <w:t xml:space="preserve">Legal basis: GDPR Art. 28(3)(h).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BMW_Group_DPA_Negotiation_Playbook_Source_Based</dc:title>
  <dc:creator>Harvey mock data generator</dc:creator>
  <cp:lastModifiedBy>Harvey mock data generator</cp:lastModifiedBy>
  <dcterms:created xsi:type="dcterms:W3CDTF">2026-04-25T17:10:44Z</dcterms:created>
  <dcterms:modified xsi:type="dcterms:W3CDTF">2026-04-25T17:10:44Z</dcterms:modified>
</cp:coreProperties>
</file>