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f87432c271f88b8abab451fcb3b5b3fcb1eb75"/>
    <w:p>
      <w:pPr>
        <w:pStyle w:val="Heading1"/>
      </w:pPr>
      <w:r>
        <w:t xml:space="preserve">Submission checklist: Computational Materials Science</w:t>
      </w:r>
    </w:p>
    <w:bookmarkStart w:id="20" w:name="article-scope"/>
    <w:p>
      <w:pPr>
        <w:pStyle w:val="Heading2"/>
      </w:pPr>
      <w:r>
        <w:t xml:space="preserve">Article scope</w:t>
      </w:r>
    </w:p>
    <w:p>
      <w:pPr>
        <w:pStyle w:val="FirstParagraph"/>
      </w:pPr>
      <w:r>
        <w:t xml:space="preserve">The manuscript must be submitted as a reproducibility-stage computational-materials benchmark and production-readiness framework. It must not be presented as a completed 30-catalyst activity/selectivity ranking.</w:t>
      </w:r>
    </w:p>
    <w:bookmarkEnd w:id="20"/>
    <w:bookmarkStart w:id="21" w:name="files-to-upload"/>
    <w:p>
      <w:pPr>
        <w:pStyle w:val="Heading2"/>
      </w:pPr>
      <w:r>
        <w:t xml:space="preserve">Files to upload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the Word/PDF review file with embedded tables, figure, and equations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or paste the five prepared 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Graphical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only a workflow graphic that does not imply unsupported catalyst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prepared; graphic remains optional and must be author-approved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as a separate supplementary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in Word source; convert if portal requires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the editor and name the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Research-data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the public repository and explain VASP licensing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source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Markdown, scripts, data, and environment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in GitHub repository</w:t>
            </w:r>
          </w:p>
        </w:tc>
      </w:tr>
    </w:tbl>
    <w:bookmarkEnd w:id="21"/>
    <w:bookmarkStart w:id="22" w:name="author-declarations-to-complete"/>
    <w:p>
      <w:pPr>
        <w:pStyle w:val="Heading2"/>
      </w:pPr>
      <w:r>
        <w:t xml:space="preserve">Author declarations to complete</w:t>
      </w:r>
    </w:p>
    <w:p>
      <w:pPr>
        <w:pStyle w:val="FirstParagraph"/>
      </w:pPr>
      <w:r>
        <w:t xml:space="preserve">The corresponding author must complete the actual author list, affiliations, ORCID identifiers, contribution statement, funding statement, competing-interests declaration, institutional approval, and confirmation that the manuscript is not under consideration elsewhere. These cannot be completed accurately by an automated package because they depend on author information.</w:t>
      </w:r>
    </w:p>
    <w:bookmarkEnd w:id="22"/>
    <w:bookmarkStart w:id="23" w:name="scientific-checks-before-upload"/>
    <w:p>
      <w:pPr>
        <w:pStyle w:val="Heading2"/>
      </w:pPr>
      <w:r>
        <w:t xml:space="preserve">Scientific checks before upload</w:t>
      </w:r>
    </w:p>
    <w:p>
      <w:pPr>
        <w:pStyle w:val="FirstParagraph"/>
      </w:pPr>
      <w:r>
        <w:t xml:space="preserve">Confirm that the title, abstract, highlights, cover letter, conclusions, tables, figure captions, and metadata all describe the work as a benchmark. Confirm that no diagnostic-only calculation is labelled as accepted. Confirm that all repository URLs work from a clean checkout. Confirm that all files and figures are owned by the authors or appropriately licensed.</w:t>
      </w:r>
    </w:p>
    <w:bookmarkEnd w:id="23"/>
    <w:bookmarkStart w:id="24" w:name="journal-policy-links"/>
    <w:p>
      <w:pPr>
        <w:pStyle w:val="Heading2"/>
      </w:pPr>
      <w:r>
        <w:t xml:space="preserve">Journal policy links</w:t>
      </w:r>
    </w:p>
    <w:p>
      <w:pPr>
        <w:numPr>
          <w:ilvl w:val="0"/>
          <w:numId w:val="1001"/>
        </w:numPr>
        <w:pStyle w:val="Compact"/>
      </w:pPr>
      <w:r>
        <w:t xml:space="preserve">Journal page: https://shop.elsevier.com/journals/computational-materials-science/0927-0256</w:t>
      </w:r>
    </w:p>
    <w:p>
      <w:pPr>
        <w:numPr>
          <w:ilvl w:val="0"/>
          <w:numId w:val="1001"/>
        </w:numPr>
        <w:pStyle w:val="Compact"/>
      </w:pPr>
      <w:r>
        <w:t xml:space="preserve">Guide for Authors: https://www.sciencedirect.com/journal/computational-materials-science/publish/guide-for-authors</w:t>
      </w:r>
    </w:p>
    <w:p>
      <w:pPr>
        <w:numPr>
          <w:ilvl w:val="0"/>
          <w:numId w:val="1001"/>
        </w:numPr>
        <w:pStyle w:val="Compact"/>
      </w:pPr>
      <w:r>
        <w:t xml:space="preserve">Research-data and data-linking guidance: available through the Guide for Authors research-data section.</w:t>
      </w:r>
    </w:p>
    <w:bookmarkEnd w:id="24"/>
    <w:bookmarkStart w:id="25" w:name="important-acceptance-statement"/>
    <w:p>
      <w:pPr>
        <w:pStyle w:val="Heading2"/>
      </w:pPr>
      <w:r>
        <w:t xml:space="preserve">Important acceptance statement</w:t>
      </w:r>
    </w:p>
    <w:p>
      <w:pPr>
        <w:pStyle w:val="FirstParagraph"/>
      </w:pPr>
      <w:r>
        <w:t xml:space="preserve">Peer review and editorial assessment determine acceptance. No journal can guarantee acceptance. The present package is suitable only for consideration under the benchmark framing; a high-impact catalyst-discovery claim requires additional accepted production DFT calculations.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2026-08-30T23:22:53Z</dcterms:created>
  <dcterms:modified xsi:type="dcterms:W3CDTF">2026-08-30T23:22:53Z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