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upporting-information"/>
    <w:p>
      <w:pPr>
        <w:pStyle w:val="Heading1"/>
      </w:pPr>
      <w:r>
        <w:t xml:space="preserve">Supporting Information</w:t>
      </w:r>
    </w:p>
    <w:bookmarkStart w:id="30" w:name="X5ccb85763edd62d8977a04fd442023168123704"/>
    <w:p>
      <w:pPr>
        <w:pStyle w:val="Heading2"/>
      </w:pPr>
      <w:r>
        <w:t xml:space="preserve">Reproducibility-stage periodic-DFT benchmark for a proposed 30-model SAC nitrate-reduction screen</w:t>
      </w:r>
    </w:p>
    <w:bookmarkStart w:id="20" w:name="s1.-scope-and-evidence-boundary"/>
    <w:p>
      <w:pPr>
        <w:pStyle w:val="Heading3"/>
      </w:pPr>
      <w:r>
        <w:t xml:space="preserve">S1. Scope and evidence boundary</w:t>
      </w:r>
    </w:p>
    <w:p>
      <w:pPr>
        <w:pStyle w:val="FirstParagraph"/>
      </w:pPr>
      <w:r>
        <w:t xml:space="preserve">This Supporting Information accompanies a reproducibility-stage benchmark and production-readiness framework. It does not contain an accepted catalyst ranking, nitrate adsorption-energy dataset, complete free-energy pathway, transition-state catalogue, selectivity prediction, or limiting-potential result. All such quantities remain calculation-blocked and are listed as future production gates.</w:t>
      </w:r>
    </w:p>
    <w:bookmarkEnd w:id="20"/>
    <w:bookmarkStart w:id="22" w:name="s2.-repository-and-environment"/>
    <w:p>
      <w:pPr>
        <w:pStyle w:val="Heading3"/>
      </w:pPr>
      <w:r>
        <w:t xml:space="preserve">S2. Repository and environment</w:t>
      </w:r>
    </w:p>
    <w:p>
      <w:pPr>
        <w:pStyle w:val="FirstParagraph"/>
      </w:pPr>
      <w:r>
        <w:t xml:space="preserve">The complete project is archived at</w:t>
      </w:r>
      <w:r>
        <w:t xml:space="preserve"> </w:t>
      </w:r>
      <w:hyperlink r:id="rId21">
        <w:r>
          <w:rPr>
            <w:rStyle w:val="Hyperlink"/>
          </w:rPr>
          <w:t xml:space="preserve">GitHub</w:t>
        </w:r>
      </w:hyperlink>
      <w:r>
        <w:t xml:space="preserve">. The executed open-source route uses GPAW 24.1.0, ASE 3.29.0, Python 3.12, NumPy 1.26.4, and the Ubuntu GPAW PAW datasets. The self-configuring GPAW scripts default to</w:t>
      </w:r>
      <w:r>
        <w:t xml:space="preserve"> </w:t>
      </w:r>
      <w:r>
        <w:rPr>
          <w:rStyle w:val="VerbatimChar"/>
        </w:rPr>
        <w:t xml:space="preserve">/usr/share/gpaw-setups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GPAW_SETUP_PATH</w:t>
      </w:r>
      <w:r>
        <w:t xml:space="preserve"> </w:t>
      </w:r>
      <w:r>
        <w:t xml:space="preserve">is not set. VASP-compatible input generation is included, but no VASP executable or proprietary potential files are distributed and no VASP result is claimed.</w:t>
      </w:r>
    </w:p>
    <w:bookmarkEnd w:id="22"/>
    <w:bookmarkStart w:id="23" w:name="s3.-structure-inventory"/>
    <w:p>
      <w:pPr>
        <w:pStyle w:val="Heading3"/>
      </w:pPr>
      <w:r>
        <w:t xml:space="preserve">S3. Structure inventory</w:t>
      </w:r>
    </w:p>
    <w:p>
      <w:pPr>
        <w:pStyle w:val="FirstParagraph"/>
      </w:pPr>
      <w:r>
        <w:t xml:space="preserve">The proposed design contains three support families—nitrogenated graphene, a 2H-MoS₂ sulphur-vacancy model, and a labelled g-C₃N₄-like model—with ten metals each: Fe, Co, Ni, Cu, Zn, Ru, Rh, Pd, Pt, and Au. The repository contains 36 support/reference and bare-SAC starting structures and 60 nitrate/H starting structures. The machine-readable production manifest is</w:t>
      </w:r>
      <w:r>
        <w:t xml:space="preserve"> </w:t>
      </w:r>
      <w:r>
        <w:rPr>
          <w:rStyle w:val="VerbatimChar"/>
        </w:rPr>
        <w:t xml:space="preserve">data/production_campaign_manifest.csv</w:t>
      </w:r>
      <w:r>
        <w:t xml:space="preserve">, containing 30</w:t>
      </w:r>
      <w:r>
        <w:t xml:space="preserve"> </w:t>
      </w:r>
      <w:r>
        <w:rPr>
          <w:rStyle w:val="VerbatimChar"/>
        </w:rPr>
        <w:t xml:space="preserve">bare_SAC_optimisation</w:t>
      </w:r>
      <w:r>
        <w:t xml:space="preserve"> </w:t>
      </w:r>
      <w:r>
        <w:t xml:space="preserve">rows and 60</w:t>
      </w:r>
      <w:r>
        <w:t xml:space="preserve"> </w:t>
      </w:r>
      <w:r>
        <w:rPr>
          <w:rStyle w:val="VerbatimChar"/>
        </w:rPr>
        <w:t xml:space="preserve">adsorbate_screening</w:t>
      </w:r>
      <w:r>
        <w:t xml:space="preserve"> </w:t>
      </w:r>
      <w:r>
        <w:t xml:space="preserve">rows.</w:t>
      </w:r>
    </w:p>
    <w:bookmarkEnd w:id="23"/>
    <w:bookmarkStart w:id="24" w:name="s4.-geometry-audits"/>
    <w:p>
      <w:pPr>
        <w:pStyle w:val="Heading3"/>
      </w:pPr>
      <w:r>
        <w:t xml:space="preserve">S4. Geometry audits</w:t>
      </w:r>
    </w:p>
    <w:p>
      <w:pPr>
        <w:pStyle w:val="FirstParagraph"/>
      </w:pPr>
      <w:r>
        <w:t xml:space="preserve">The geometry audit checks file read-back, finite cell information, periodic boundary conditions, effective vacuum, minimum interatomic separations, and starting contacts. All 96 current inputs pass the defined input-level audit. This result verifies starting-file usability only. It does not establish relaxed stability, resistance to reconstruction, metal isolation under reaction conditions, or aqueous adsorption.</w:t>
      </w:r>
    </w:p>
    <w:bookmarkEnd w:id="24"/>
    <w:bookmarkStart w:id="25" w:name="s5.-numerical-benchmark"/>
    <w:p>
      <w:pPr>
        <w:pStyle w:val="Heading3"/>
      </w:pPr>
      <w:r>
        <w:t xml:space="preserve">S5. Numerical benchmark</w:t>
      </w:r>
    </w:p>
    <w:p>
      <w:pPr>
        <w:pStyle w:val="FirstParagraph"/>
      </w:pPr>
      <w:r>
        <w:t xml:space="preserve">The compact convergence matrix contains eleven graphene diagnostic calculations spanning cut-off, k-point mesh, vacuum, and closed-shell spin settings. It reports absolute total-energy ranges of 53.484778 eV for cut-off, 8.581476 eV for k-point mesh, 0.292652 eV for vacuum, and 0.000000 eV between the tested closed-shell spin settings. These values are diagnostics and must not be interpreted as adsorption-energy uncertainties or SAC-ranking evidence.</w:t>
      </w:r>
    </w:p>
    <w:p>
      <w:pPr>
        <w:pStyle w:val="BodyText"/>
      </w:pPr>
      <w:r>
        <w:t xml:space="preserve">Production convergence must instead use adsorption-energy differences, forces, relaxed geometries, magnetic moments, and free-energy steps for representative supports, defects, SACs, and adsorbates.</w:t>
      </w:r>
    </w:p>
    <w:bookmarkEnd w:id="25"/>
    <w:bookmarkStart w:id="26" w:name="s6.-calculation-status-taxonomy"/>
    <w:p>
      <w:pPr>
        <w:pStyle w:val="Heading3"/>
      </w:pPr>
      <w:r>
        <w:t xml:space="preserve">S6. Calculation-status taxonomy</w:t>
      </w:r>
    </w:p>
    <w:p>
      <w:pPr>
        <w:pStyle w:val="FirstParagraph"/>
      </w:pPr>
      <w:r>
        <w:t xml:space="preserve">Each calculation is assigned one of the following statuses: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structure exists but no electronic-structure result is accepted.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calculation ran or partially ran but does not satisfy the declared production criteria.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declared convergence, geometry, spin, provenance, and method checks pass.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calculation has not been executed.</w:t>
            </w:r>
          </w:p>
        </w:tc>
      </w:tr>
    </w:tbl>
    <w:p>
      <w:pPr>
        <w:pStyle w:val="BodyText"/>
      </w:pPr>
      <w:r>
        <w:t xml:space="preserve">Failed calculations and partial outputs are retained. The interrupted Fe@graphene representative run is archived under</w:t>
      </w:r>
      <w:r>
        <w:t xml:space="preserve"> </w:t>
      </w:r>
      <w:r>
        <w:rPr>
          <w:rStyle w:val="VerbatimChar"/>
        </w:rPr>
        <w:t xml:space="preserve">data/gpaw_production/Fe_graphene_PW250/</w:t>
      </w:r>
      <w:r>
        <w:t xml:space="preserve"> </w:t>
      </w:r>
      <w:r>
        <w:t xml:space="preserve">and is explicitly labelled diagnostic-only.</w:t>
      </w:r>
    </w:p>
    <w:bookmarkEnd w:id="26"/>
    <w:bookmarkStart w:id="27" w:name="s7.-production-campaign"/>
    <w:p>
      <w:pPr>
        <w:pStyle w:val="Heading3"/>
      </w:pPr>
      <w:r>
        <w:t xml:space="preserve">S7. Production campaign</w:t>
      </w:r>
    </w:p>
    <w:p>
      <w:pPr>
        <w:pStyle w:val="FirstParagraph"/>
      </w:pPr>
      <w:r>
        <w:t xml:space="preserve">The staged protocol is documented in</w:t>
      </w:r>
      <w:r>
        <w:t xml:space="preserve"> </w:t>
      </w:r>
      <w:r>
        <w:rPr>
          <w:rStyle w:val="VerbatimChar"/>
        </w:rPr>
        <w:t xml:space="preserve">PRODUCTION_CAMPAIGN.md</w:t>
      </w:r>
      <w:r>
        <w:t xml:space="preserve">. It requires support/defect convergence, 30 bare-SAC optimisations with multiple spin states and alternative placements, nitrate/H* screening with declared charge treatment, complete nitrate-to-ammonia and HER networks, transition-state verification where ranking-relevant, solvation and potential sensitivity, stability analysis, uncertainty propagation, and experiment-facing validation where a materials claim is intended.</w:t>
      </w:r>
    </w:p>
    <w:bookmarkEnd w:id="27"/>
    <w:bookmarkStart w:id="28" w:name="s8.-reproduction-commands"/>
    <w:p>
      <w:pPr>
        <w:pStyle w:val="Heading3"/>
      </w:pPr>
      <w:r>
        <w:t xml:space="preserve">S8. Reproduction commands</w:t>
      </w:r>
    </w:p>
    <w:p>
      <w:pPr>
        <w:pStyle w:val="FirstParagraph"/>
      </w:pPr>
      <w:r>
        <w:t xml:space="preserve">From a clean checkout, the deterministic validation suite can be run with:</w:t>
      </w:r>
    </w:p>
    <w:p>
      <w:pPr>
        <w:pStyle w:val="SourceCode"/>
      </w:pPr>
      <w:r>
        <w:rPr>
          <w:rStyle w:val="ExtensionTok"/>
        </w:rPr>
        <w:t xml:space="preserve">/usr/bin/python3</w:t>
      </w:r>
      <w:r>
        <w:rPr>
          <w:rStyle w:val="NormalTok"/>
        </w:rPr>
        <w:t xml:space="preserve"> scripts/run_validation_suite.py</w:t>
      </w:r>
    </w:p>
    <w:p>
      <w:pPr>
        <w:pStyle w:val="FirstParagraph"/>
      </w:pPr>
      <w:r>
        <w:t xml:space="preserve">The periodic GPAW smoke test can be run with:</w:t>
      </w:r>
    </w:p>
    <w:p>
      <w:pPr>
        <w:pStyle w:val="SourceCode"/>
      </w:pPr>
      <w:r>
        <w:rPr>
          <w:rStyle w:val="ExtensionTok"/>
        </w:rPr>
        <w:t xml:space="preserve">.venv-gpaw/bin/python</w:t>
      </w:r>
      <w:r>
        <w:rPr>
          <w:rStyle w:val="NormalTok"/>
        </w:rPr>
        <w:t xml:space="preserve"> scripts/run_gpaw_smoketest.py</w:t>
      </w:r>
    </w:p>
    <w:p>
      <w:pPr>
        <w:pStyle w:val="FirstParagraph"/>
      </w:pPr>
      <w:r>
        <w:t xml:space="preserve">A production optimisation is executed only as an explicitly labelled campaign task, for example:</w:t>
      </w:r>
    </w:p>
    <w:p>
      <w:pPr>
        <w:pStyle w:val="SourceCode"/>
      </w:pPr>
      <w:r>
        <w:rPr>
          <w:rStyle w:val="ExtensionTok"/>
        </w:rPr>
        <w:t xml:space="preserve">.venv-gpaw/bin/python</w:t>
      </w:r>
      <w:r>
        <w:rPr>
          <w:rStyle w:val="NormalTok"/>
        </w:rPr>
        <w:t xml:space="preserve"> scripts/run_gpaw_sac.py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structures/initial/ase_generated/graphene_N4/Fe@graphene_N4.vasp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data/gpaw_production/Fe_graphene_PW350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--cutoff</w:t>
      </w:r>
      <w:r>
        <w:rPr>
          <w:rStyle w:val="NormalTok"/>
        </w:rPr>
        <w:t xml:space="preserve"> 350 </w:t>
      </w:r>
      <w:r>
        <w:rPr>
          <w:rStyle w:val="AttributeTok"/>
        </w:rPr>
        <w:t xml:space="preserve">--kmesh</w:t>
      </w:r>
      <w:r>
        <w:rPr>
          <w:rStyle w:val="NormalTok"/>
        </w:rPr>
        <w:t xml:space="preserve"> 3 3 1 </w:t>
      </w:r>
      <w:r>
        <w:rPr>
          <w:rStyle w:val="AttributeTok"/>
        </w:rPr>
        <w:t xml:space="preserve">--fmax</w:t>
      </w:r>
      <w:r>
        <w:rPr>
          <w:rStyle w:val="NormalTok"/>
        </w:rPr>
        <w:t xml:space="preserve"> 0.03 </w:t>
      </w:r>
      <w:r>
        <w:rPr>
          <w:rStyle w:val="AttributeTok"/>
        </w:rPr>
        <w:t xml:space="preserve">--steps</w:t>
      </w:r>
      <w:r>
        <w:rPr>
          <w:rStyle w:val="NormalTok"/>
        </w:rPr>
        <w:t xml:space="preserve"> 200</w:t>
      </w:r>
    </w:p>
    <w:p>
      <w:pPr>
        <w:pStyle w:val="FirstParagraph"/>
      </w:pPr>
      <w:r>
        <w:t xml:space="preserve">This command is a template and its output must pass the acceptance rules before entering a chemical dataset.</w:t>
      </w:r>
    </w:p>
    <w:bookmarkEnd w:id="28"/>
    <w:bookmarkStart w:id="29" w:name="s9.-final-limitations"/>
    <w:p>
      <w:pPr>
        <w:pStyle w:val="Heading3"/>
      </w:pPr>
      <w:r>
        <w:t xml:space="preserve">S9. Final limitations</w:t>
      </w:r>
    </w:p>
    <w:p>
      <w:pPr>
        <w:pStyle w:val="FirstParagraph"/>
      </w:pPr>
      <w:r>
        <w:t xml:space="preserve">The current evidence does not establish electrochemical stability, nitrate adsorption free energies, potential-dependent energetics, solvation effects, reaction barriers, ammonia selectivity, HER competition, limiting potentials, microkinetic rates, or a best SAC. These omissions are scientific boundaries rather than formatting defects. The benchmark contribution is the explicit separation of structural, numerical, electrochemical, stability, pathway, uncertainty, and provenance gates.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hassanraza147/single-atom-nitrate-reduction-df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hassanraza147/single-atom-nitrate-reduction-df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2026-08-30T23:22:53Z</dcterms:created>
  <dcterms:modified xsi:type="dcterms:W3CDTF">2026-08-30T23:22:53Z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