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240" w:type="dxa"/>
              <w:bottom w:w="240" w:type="dxa"/>
              <w:left w:w="260" w:type="dxa"/>
              <w:right w:w="260" w:type="dxa"/>
            </w:tcMar>
          </w:tcPr>
          <w:p>
            <w:pPr>
              <w:spacing w:after="80"/>
            </w:pPr>
            <w:r>
              <w:rPr>
                <w:rFonts w:ascii="Calibri" w:hAnsi="Calibri"/>
                <w:b/>
                <w:color w:val="0284C7"/>
                <w:sz w:val="22"/>
              </w:rPr>
              <w:t>FORENSIC DUE DILIGENCE &amp; CORPORATE RISK REPORT</w:t>
              <w:br/>
            </w:r>
            <w:r>
              <w:rPr>
                <w:rFonts w:ascii="Calibri" w:hAnsi="Calibri"/>
                <w:b/>
                <w:color w:val="FFFFFF"/>
                <w:sz w:val="44"/>
              </w:rPr>
              <w:t>Talaat Moustafa Group Holding SAE (TMGH.CA)</w:t>
              <w:br/>
            </w:r>
            <w:r>
              <w:rPr>
                <w:rFonts w:ascii="Calibri" w:hAnsi="Calibri"/>
                <w:color w:val="CBD5E1"/>
                <w:sz w:val="22"/>
              </w:rPr>
              <w:t>Forensic Investigation of Corporate Privity, Captive EPC Procurement, Interim Payment Certificate (المستخلصات) Architecture, Historical Subcontractor Litigation, Labor Grievances, and Off-Balance Liabilities</w:t>
            </w:r>
          </w:p>
          <w:p>
            <w:pPr>
              <w:spacing w:before="160"/>
            </w:pPr>
            <w:r>
              <w:rPr>
                <w:rFonts w:ascii="Calibri" w:hAnsi="Calibri"/>
                <w:b/>
                <w:color w:val="D97706"/>
                <w:sz w:val="19"/>
              </w:rPr>
              <w:t>INVESTIGATION CUT-OFF: OCTOBER 2026  |  JURISDICTION: EGYPT (EGX: TMGH)  |  HASSAN SOLIMAN MODE v3.2</w:t>
            </w:r>
          </w:p>
        </w:tc>
      </w:tr>
    </w:tbl>
    <w:p>
      <w:pPr>
        <w:spacing w:after="24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284C7"/>
              <w:bottom w:val="none"/>
              <w:right w:val="none"/>
            </w:tcBorders>
          </w:tcPr>
          <w:p>
            <w:pPr>
              <w:spacing w:after="60"/>
            </w:pPr>
            <w:r>
              <w:rPr>
                <w:rFonts w:ascii="Calibri" w:hAnsi="Calibri"/>
                <w:b/>
                <w:color w:val="0F172A"/>
                <w:sz w:val="22"/>
              </w:rPr>
              <w:t>MANDATORY FORENSIC SCOPE &amp; EVIDENTIARY STANDARD</w:t>
              <w:br/>
            </w:r>
            <w:r>
              <w:rPr>
                <w:rFonts w:ascii="Calibri" w:hAnsi="Calibri"/>
                <w:color w:val="1E293B"/>
                <w:sz w:val="20"/>
              </w:rPr>
              <w:t>This dossier represents an independent, evidence-backed forensic investigation synthesized from audited regulatory filings submitted to the Egyptian Exchange (EGX), financial audit disclosures, Egyptian State Council and economic court rulings, verified engineering portfolios, on-record press investigations, and documented labor proceedings. In accordance with strict forensic protocol, every statement is cross-referenced against primary legal and regulatory dockets. Trade contractor identities and judicial disputes are reported exclusively where corroborated by documentary or on-record executive admissions.</w:t>
            </w:r>
          </w:p>
        </w:tc>
      </w:tr>
    </w:tbl>
    <w:p>
      <w:pPr>
        <w:spacing w:after="120"/>
      </w:pPr>
    </w:p>
    <w:p>
      <w:pPr>
        <w:pStyle w:val="Heading1"/>
        <w:keepNext/>
        <w:spacing w:before="360" w:after="120"/>
      </w:pPr>
      <w:r>
        <w:rPr>
          <w:rFonts w:ascii="Calibri" w:hAnsi="Calibri"/>
          <w:b/>
          <w:color w:val="0F172A"/>
          <w:sz w:val="34"/>
        </w:rPr>
        <w:t>Contents</w:t>
      </w:r>
    </w:p>
    <w:p>
      <w:pPr>
        <w:pStyle w:val="ListBullet"/>
        <w:spacing w:after="80" w:line="276" w:lineRule="auto"/>
      </w:pPr>
      <w:r>
        <w:rPr>
          <w:rFonts w:ascii="Calibri" w:hAnsi="Calibri"/>
          <w:color w:val="1E293B"/>
          <w:sz w:val="21"/>
        </w:rPr>
        <w:t>1. Executive Summary &amp; Core Material Findings</w:t>
      </w:r>
    </w:p>
    <w:p>
      <w:pPr>
        <w:pStyle w:val="ListBullet"/>
        <w:spacing w:after="80" w:line="276" w:lineRule="auto"/>
      </w:pPr>
      <w:r>
        <w:rPr>
          <w:rFonts w:ascii="Calibri" w:hAnsi="Calibri"/>
          <w:color w:val="1E293B"/>
          <w:sz w:val="21"/>
        </w:rPr>
        <w:t>2. Corporate Architecture, UBO Structure &amp; Captive EPC Privity Insulation</w:t>
      </w:r>
    </w:p>
    <w:p>
      <w:pPr>
        <w:pStyle w:val="ListBullet"/>
        <w:spacing w:after="80" w:line="276" w:lineRule="auto"/>
      </w:pPr>
      <w:r>
        <w:rPr>
          <w:rFonts w:ascii="Calibri" w:hAnsi="Calibri"/>
          <w:color w:val="1E293B"/>
          <w:sz w:val="21"/>
        </w:rPr>
        <w:t>3. Master Project Database &amp; Landbank Footprint</w:t>
      </w:r>
    </w:p>
    <w:p>
      <w:pPr>
        <w:pStyle w:val="ListBullet"/>
        <w:spacing w:after="80" w:line="276" w:lineRule="auto"/>
      </w:pPr>
      <w:r>
        <w:rPr>
          <w:rFonts w:ascii="Calibri" w:hAnsi="Calibri"/>
          <w:color w:val="1E293B"/>
          <w:sz w:val="21"/>
        </w:rPr>
        <w:t>4. Financial Forensics, Debt Architecture &amp; Cash Flow Conversion</w:t>
      </w:r>
    </w:p>
    <w:p>
      <w:pPr>
        <w:pStyle w:val="ListBullet"/>
        <w:spacing w:after="80" w:line="276" w:lineRule="auto"/>
      </w:pPr>
      <w:r>
        <w:rPr>
          <w:rFonts w:ascii="Calibri" w:hAnsi="Calibri"/>
          <w:color w:val="1E293B"/>
          <w:sz w:val="21"/>
        </w:rPr>
        <w:t>5. Contractor Payment Practices (المستخلصات) &amp; Historical Subcontractor Disputes</w:t>
      </w:r>
    </w:p>
    <w:p>
      <w:pPr>
        <w:pStyle w:val="ListBullet"/>
        <w:spacing w:after="80" w:line="276" w:lineRule="auto"/>
      </w:pPr>
      <w:r>
        <w:rPr>
          <w:rFonts w:ascii="Calibri" w:hAnsi="Calibri"/>
          <w:color w:val="1E293B"/>
          <w:sz w:val="21"/>
        </w:rPr>
        <w:t>6. Contemporary Labor Friction, Wage Freezes &amp; Security Workforce Petitions (2024–2025)</w:t>
      </w:r>
    </w:p>
    <w:p>
      <w:pPr>
        <w:pStyle w:val="ListBullet"/>
        <w:spacing w:after="80" w:line="276" w:lineRule="auto"/>
      </w:pPr>
      <w:r>
        <w:rPr>
          <w:rFonts w:ascii="Calibri" w:hAnsi="Calibri"/>
          <w:color w:val="1E293B"/>
          <w:sz w:val="21"/>
        </w:rPr>
        <w:t>7. Customer &amp; Homeowner Grievances, Facility Deficits &amp; Statutory Resale Disputes</w:t>
      </w:r>
    </w:p>
    <w:p>
      <w:pPr>
        <w:pStyle w:val="ListBullet"/>
        <w:spacing w:after="80" w:line="276" w:lineRule="auto"/>
      </w:pPr>
      <w:r>
        <w:rPr>
          <w:rFonts w:ascii="Calibri" w:hAnsi="Calibri"/>
          <w:color w:val="1E293B"/>
          <w:sz w:val="21"/>
        </w:rPr>
        <w:t>8. Master Subcontractor, Supplier &amp; Counterparty Exposure Registry</w:t>
      </w:r>
    </w:p>
    <w:p>
      <w:pPr>
        <w:pStyle w:val="ListBullet"/>
        <w:spacing w:after="80" w:line="276" w:lineRule="auto"/>
      </w:pPr>
      <w:r>
        <w:rPr>
          <w:rFonts w:ascii="Calibri" w:hAnsi="Calibri"/>
          <w:color w:val="1E293B"/>
          <w:sz w:val="21"/>
        </w:rPr>
        <w:t>9. Judicial Decisions, Misdemeanors &amp; Institutional Arbitration (CRCICA)</w:t>
      </w:r>
    </w:p>
    <w:p>
      <w:pPr>
        <w:pStyle w:val="ListBullet"/>
        <w:spacing w:after="80" w:line="276" w:lineRule="auto"/>
      </w:pPr>
      <w:r>
        <w:rPr>
          <w:rFonts w:ascii="Calibri" w:hAnsi="Calibri"/>
          <w:color w:val="1E293B"/>
          <w:sz w:val="21"/>
        </w:rPr>
        <w:t>10. Master Forensic Risk Register &amp; Warning Indicators</w:t>
      </w:r>
    </w:p>
    <w:p>
      <w:pPr>
        <w:pStyle w:val="ListBullet"/>
        <w:spacing w:after="80" w:line="276" w:lineRule="auto"/>
      </w:pPr>
      <w:r>
        <w:rPr>
          <w:rFonts w:ascii="Calibri" w:hAnsi="Calibri"/>
          <w:color w:val="1E293B"/>
          <w:sz w:val="21"/>
        </w:rPr>
        <w:t>11. Strategic SWOT Analysis</w:t>
      </w:r>
    </w:p>
    <w:p>
      <w:pPr>
        <w:pStyle w:val="ListBullet"/>
        <w:spacing w:after="80" w:line="276" w:lineRule="auto"/>
      </w:pPr>
      <w:r>
        <w:rPr>
          <w:rFonts w:ascii="Calibri" w:hAnsi="Calibri"/>
          <w:color w:val="1E293B"/>
          <w:sz w:val="21"/>
        </w:rPr>
        <w:t>12. Actionable Due Diligence Protocols &amp; Stakeholder Playbooks</w:t>
      </w:r>
    </w:p>
    <w:p>
      <w:pPr>
        <w:pStyle w:val="ListBullet"/>
        <w:spacing w:after="80" w:line="276" w:lineRule="auto"/>
      </w:pPr>
      <w:r>
        <w:rPr>
          <w:rFonts w:ascii="Calibri" w:hAnsi="Calibri"/>
          <w:color w:val="1E293B"/>
          <w:sz w:val="21"/>
        </w:rPr>
        <w:t>13. Transaction-Grade Due Diligence Checklist</w:t>
      </w:r>
    </w:p>
    <w:p>
      <w:pPr>
        <w:pStyle w:val="ListBullet"/>
        <w:spacing w:after="80" w:line="276" w:lineRule="auto"/>
      </w:pPr>
      <w:r>
        <w:rPr>
          <w:rFonts w:ascii="Calibri" w:hAnsi="Calibri"/>
          <w:color w:val="1E293B"/>
          <w:sz w:val="21"/>
        </w:rPr>
        <w:t>14. Master Primary Source &amp; Citation Register</w:t>
      </w:r>
    </w:p>
    <w:p>
      <w:pPr>
        <w:pStyle w:val="Heading1"/>
        <w:keepNext/>
        <w:spacing w:before="360" w:after="120"/>
      </w:pPr>
      <w:r>
        <w:rPr>
          <w:rFonts w:ascii="Calibri" w:hAnsi="Calibri"/>
          <w:b/>
          <w:color w:val="0F172A"/>
          <w:sz w:val="34"/>
        </w:rPr>
        <w:t>1. Executive Summary &amp; Core Material Findings</w:t>
      </w:r>
    </w:p>
    <w:p>
      <w:pPr>
        <w:spacing w:after="120" w:line="276" w:lineRule="auto"/>
      </w:pPr>
      <w:r>
        <w:rPr>
          <w:rFonts w:ascii="Calibri" w:hAnsi="Calibri"/>
          <w:color w:val="1E293B"/>
          <w:sz w:val="21"/>
        </w:rPr>
        <w:t>Talaat Moustafa Group Holding SAE (TMGH) represents the largest publicly listed real estate and urban development conglomerate on the Egyptian Exchange (issued capital: EGP 20.64 Billion). The group manages active urban concessions exceeding 40,000 feddans (~168 million square meters) across Egypt and Saudi Arabia. While consolidated financial statements report record topline growth (FY2025 revenue: EGP 62.5bn; net profit: EGP 18.2bn; real estate contracted sales backlog: EGP 441.2bn), forensic analysis reveals significant operational and structural friction within its downstream construction supply chain and payment processing architecture.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F1F5F9"/>
            <w:tcMar>
              <w:top w:w="100" w:type="dxa"/>
              <w:bottom w:w="100" w:type="dxa"/>
              <w:left w:w="120" w:type="dxa"/>
              <w:right w:w="120" w:type="dxa"/>
            </w:tcMar>
          </w:tcPr>
          <w:p>
            <w:pPr>
              <w:spacing w:after="40"/>
            </w:pPr>
            <w:r>
              <w:rPr>
                <w:b/>
                <w:color w:val="64748B"/>
                <w:sz w:val="17"/>
              </w:rPr>
              <w:t>FY2025 REVENUE</w:t>
              <w:br/>
            </w:r>
            <w:r>
              <w:rPr>
                <w:b/>
                <w:color w:val="0284C7"/>
                <w:sz w:val="26"/>
              </w:rPr>
              <w:t>EGP 62.50B</w:t>
              <w:br/>
            </w:r>
            <w:r>
              <w:rPr>
                <w:color w:val="059669"/>
                <w:sz w:val="17"/>
              </w:rPr>
              <w:t>+46% YoY</w:t>
            </w:r>
          </w:p>
        </w:tc>
        <w:tc>
          <w:tcPr>
            <w:tcW w:type="dxa" w:w="2340"/>
            <w:shd w:fill="F1F5F9"/>
            <w:tcMar>
              <w:top w:w="100" w:type="dxa"/>
              <w:bottom w:w="100" w:type="dxa"/>
              <w:left w:w="120" w:type="dxa"/>
              <w:right w:w="120" w:type="dxa"/>
            </w:tcMar>
          </w:tcPr>
          <w:p>
            <w:pPr>
              <w:spacing w:after="40"/>
            </w:pPr>
            <w:r>
              <w:rPr>
                <w:b/>
                <w:color w:val="64748B"/>
                <w:sz w:val="17"/>
              </w:rPr>
              <w:t>FY2025 NET PROFIT</w:t>
              <w:br/>
            </w:r>
            <w:r>
              <w:rPr>
                <w:b/>
                <w:color w:val="0284C7"/>
                <w:sz w:val="26"/>
              </w:rPr>
              <w:t>EGP 18.20B</w:t>
              <w:br/>
            </w:r>
            <w:r>
              <w:rPr>
                <w:color w:val="059669"/>
                <w:sz w:val="17"/>
              </w:rPr>
              <w:t>+43% YoY</w:t>
            </w:r>
          </w:p>
        </w:tc>
        <w:tc>
          <w:tcPr>
            <w:tcW w:type="dxa" w:w="2340"/>
            <w:shd w:fill="F1F5F9"/>
            <w:tcMar>
              <w:top w:w="100" w:type="dxa"/>
              <w:bottom w:w="100" w:type="dxa"/>
              <w:left w:w="120" w:type="dxa"/>
              <w:right w:w="120" w:type="dxa"/>
            </w:tcMar>
          </w:tcPr>
          <w:p>
            <w:pPr>
              <w:spacing w:after="40"/>
            </w:pPr>
            <w:r>
              <w:rPr>
                <w:b/>
                <w:color w:val="64748B"/>
                <w:sz w:val="17"/>
              </w:rPr>
              <w:t>CASH &amp; EQUIVALENTS</w:t>
              <w:br/>
            </w:r>
            <w:r>
              <w:rPr>
                <w:b/>
                <w:color w:val="0284C7"/>
                <w:sz w:val="26"/>
              </w:rPr>
              <w:t>EGP 47.10B</w:t>
              <w:br/>
            </w:r>
            <w:r>
              <w:rPr>
                <w:color w:val="64748B"/>
                <w:sz w:val="17"/>
              </w:rPr>
              <w:t>At 30 June 2026</w:t>
            </w:r>
          </w:p>
        </w:tc>
        <w:tc>
          <w:tcPr>
            <w:tcW w:type="dxa" w:w="2340"/>
            <w:shd w:fill="F1F5F9"/>
            <w:tcMar>
              <w:top w:w="100" w:type="dxa"/>
              <w:bottom w:w="100" w:type="dxa"/>
              <w:left w:w="120" w:type="dxa"/>
              <w:right w:w="120" w:type="dxa"/>
            </w:tcMar>
          </w:tcPr>
          <w:p>
            <w:pPr>
              <w:spacing w:after="40"/>
            </w:pPr>
            <w:r>
              <w:rPr>
                <w:b/>
                <w:color w:val="64748B"/>
                <w:sz w:val="17"/>
              </w:rPr>
              <w:t>SALES BACKLOG</w:t>
              <w:br/>
            </w:r>
            <w:r>
              <w:rPr>
                <w:b/>
                <w:color w:val="0284C7"/>
                <w:sz w:val="26"/>
              </w:rPr>
              <w:t>EGP 441.20B</w:t>
              <w:br/>
            </w:r>
            <w:r>
              <w:rPr>
                <w:color w:val="64748B"/>
                <w:sz w:val="17"/>
              </w:rPr>
              <w:t>Unbilled Backlog</w:t>
            </w:r>
          </w:p>
        </w:tc>
      </w:tr>
    </w:tbl>
    <w:p>
      <w:pPr>
        <w:spacing w:after="120" w:line="276" w:lineRule="auto"/>
      </w:pPr>
      <w:r>
        <w:rPr>
          <w:rFonts w:ascii="Calibri" w:hAnsi="Calibri"/>
          <w:b/>
          <w:color w:val="0F172A"/>
          <w:sz w:val="21"/>
        </w:rPr>
        <w:t xml:space="preserve">Core Forensic Takeaways: </w:t>
      </w:r>
      <w:r>
        <w:rPr>
          <w:rFonts w:ascii="Calibri" w:hAnsi="Calibri"/>
          <w:color w:val="1E293B"/>
          <w:sz w:val="21"/>
        </w:rPr>
        <w:t>Key Investigative Findings Synthesized Across the Dossier:</w:t>
      </w:r>
    </w:p>
    <w:p>
      <w:pPr>
        <w:pStyle w:val="ListBullet"/>
        <w:spacing w:after="80" w:line="276" w:lineRule="auto"/>
      </w:pPr>
      <w:r>
        <w:rPr>
          <w:rFonts w:ascii="Calibri" w:hAnsi="Calibri"/>
          <w:b/>
          <w:color w:val="0F172A"/>
          <w:sz w:val="21"/>
        </w:rPr>
        <w:t xml:space="preserve">1. The Captive EPC Shield: </w:t>
      </w:r>
      <w:r>
        <w:rPr>
          <w:rFonts w:ascii="Calibri" w:hAnsi="Calibri"/>
          <w:color w:val="1E293B"/>
          <w:sz w:val="21"/>
        </w:rPr>
        <w:t>Contractual Privity Ring-Fencing: TMG Holding never enters into trade-level subcontracts or procurement agreements directly. All construction execution is channeled through Alexandria Construction Company (ACC) and captive subsidiaries, shielding parent equity and listed cash balances from trade liens.</w:t>
      </w:r>
    </w:p>
    <w:p>
      <w:pPr>
        <w:pStyle w:val="ListBullet"/>
        <w:spacing w:after="80" w:line="276" w:lineRule="auto"/>
      </w:pPr>
      <w:r>
        <w:rPr>
          <w:rFonts w:ascii="Calibri" w:hAnsi="Calibri"/>
          <w:b/>
          <w:color w:val="0F172A"/>
          <w:sz w:val="21"/>
        </w:rPr>
        <w:t xml:space="preserve">2. Deferred Commercial Paper Shift: </w:t>
      </w:r>
      <w:r>
        <w:rPr>
          <w:rFonts w:ascii="Calibri" w:hAnsi="Calibri"/>
          <w:color w:val="1E293B"/>
          <w:sz w:val="21"/>
        </w:rPr>
        <w:t>Interim Payment Certificate (المستخلصات) Gatekeeping: Construction costs are capitalized strictly upon approved certificates. Prolonged multi-departmental technical audits defer certification. Approved dues are predominantly settled via post-dated commercial paper (أوراق دفع) with maturities of 90 to 270 days, shifting working capital burdens downstream (creditors &amp; notes payable exceed EGP 15.79bn).</w:t>
      </w:r>
    </w:p>
    <w:p>
      <w:pPr>
        <w:pStyle w:val="ListBullet"/>
        <w:spacing w:after="80" w:line="276" w:lineRule="auto"/>
      </w:pPr>
      <w:r>
        <w:rPr>
          <w:rFonts w:ascii="Calibri" w:hAnsi="Calibri"/>
          <w:b/>
          <w:color w:val="0F172A"/>
          <w:sz w:val="21"/>
        </w:rPr>
        <w:t xml:space="preserve">3. Documented Supply Chain &amp; Labor Incidents: </w:t>
      </w:r>
      <w:r>
        <w:rPr>
          <w:rFonts w:ascii="Calibri" w:hAnsi="Calibri"/>
          <w:color w:val="1E293B"/>
          <w:sz w:val="21"/>
        </w:rPr>
        <w:t>Documented Subcontractor and Labor Strife: The dossier incorporates historical precedents (the 2008 Shehata Hassan Madinaty subcontractor case with on-record executive admission of deliberate payment withholding) alongside recent labor actions (March 2024 ACC employee protests over wage freezes and arbitrary layoffs; August 2024 &amp; October 2025 Madinaty security personnel sit-ins and formal petitions over 12-hour shifts and meal stipends).</w:t>
      </w:r>
    </w:p>
    <w:p>
      <w:pPr>
        <w:pStyle w:val="ListBullet"/>
        <w:spacing w:after="80" w:line="276" w:lineRule="auto"/>
      </w:pPr>
      <w:r>
        <w:rPr>
          <w:rFonts w:ascii="Calibri" w:hAnsi="Calibri"/>
          <w:b/>
          <w:color w:val="0F172A"/>
          <w:sz w:val="21"/>
        </w:rPr>
        <w:t xml:space="preserve">4. Real Financial Leverage: </w:t>
      </w:r>
      <w:r>
        <w:rPr>
          <w:rFonts w:ascii="Calibri" w:hAnsi="Calibri"/>
          <w:color w:val="1E293B"/>
          <w:sz w:val="21"/>
        </w:rPr>
        <w:t>Structured Off-Balance Sheet Leverage: In addition to EGP 16.5bn in direct bank borrowings, TMG utilizes financial leasing structures exceeding EGP 44.0bn to fund superstructures without appearing as traditional bank debt on the balance sheet.</w:t>
      </w:r>
    </w:p>
    <w:p>
      <w:pPr>
        <w:pStyle w:val="Heading1"/>
        <w:keepNext/>
        <w:spacing w:before="360" w:after="120"/>
      </w:pPr>
      <w:r>
        <w:rPr>
          <w:rFonts w:ascii="Calibri" w:hAnsi="Calibri"/>
          <w:b/>
          <w:color w:val="0F172A"/>
          <w:sz w:val="34"/>
        </w:rPr>
        <w:t>2. Corporate Architecture, UBO Structure &amp; Captive EPC Privity Insulation</w:t>
      </w:r>
    </w:p>
    <w:p>
      <w:pPr>
        <w:spacing w:after="120" w:line="276" w:lineRule="auto"/>
      </w:pPr>
      <w:r>
        <w:rPr>
          <w:rFonts w:ascii="Calibri" w:hAnsi="Calibri"/>
          <w:color w:val="1E293B"/>
          <w:sz w:val="21"/>
        </w:rPr>
        <w:t>A rigorous forensic review of Egyptian Exchange disclosures and commercial registry filings establishes that TMG Holding operates a multi-tiered corporate structure specifically architected to decouple asset ownership, development rights, and construction liability.</w:t>
      </w:r>
    </w:p>
    <w:p>
      <w:pPr>
        <w:pStyle w:val="Heading2"/>
        <w:keepNext/>
        <w:spacing w:before="280" w:after="80"/>
      </w:pPr>
      <w:r>
        <w:rPr>
          <w:rFonts w:ascii="Calibri" w:hAnsi="Calibri"/>
          <w:b/>
          <w:color w:val="0284C7"/>
          <w:sz w:val="26"/>
        </w:rPr>
        <w:t>2.1 Ultimate Beneficial Ownership (UBO) Matrix</w:t>
      </w:r>
    </w:p>
    <w:p>
      <w:pPr>
        <w:spacing w:after="120" w:line="276" w:lineRule="auto"/>
      </w:pPr>
      <w:r>
        <w:rPr>
          <w:rFonts w:ascii="Calibri" w:hAnsi="Calibri"/>
          <w:color w:val="1E293B"/>
          <w:sz w:val="21"/>
        </w:rPr>
        <w:t>As of the latest regulatory filings (FY2025/H1 2026), the shareholding structure of Talaat Moustafa Group Holding SAE (2,063,562,286 shares at EGP 10.00 par value) is distributed as follows: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0F172A"/>
            <w:tcMar>
              <w:top w:w="100" w:type="dxa"/>
              <w:bottom w:w="100" w:type="dxa"/>
              <w:left w:w="120" w:type="dxa"/>
              <w:right w:w="120" w:type="dxa"/>
            </w:tcMar>
          </w:tcPr>
          <w:p>
            <w:r>
              <w:rPr>
                <w:b/>
                <w:color w:val="FFFFFF"/>
                <w:sz w:val="19"/>
              </w:rPr>
              <w:t>Shareholder Entity</w:t>
            </w:r>
          </w:p>
        </w:tc>
        <w:tc>
          <w:tcPr>
            <w:tcW w:type="dxa" w:w="2340"/>
            <w:shd w:fill="0F172A"/>
            <w:tcMar>
              <w:top w:w="100" w:type="dxa"/>
              <w:bottom w:w="100" w:type="dxa"/>
              <w:left w:w="120" w:type="dxa"/>
              <w:right w:w="120" w:type="dxa"/>
            </w:tcMar>
          </w:tcPr>
          <w:p>
            <w:r>
              <w:rPr>
                <w:b/>
                <w:color w:val="FFFFFF"/>
                <w:sz w:val="19"/>
              </w:rPr>
              <w:t>Stake (%)</w:t>
            </w:r>
          </w:p>
        </w:tc>
        <w:tc>
          <w:tcPr>
            <w:tcW w:type="dxa" w:w="2340"/>
            <w:shd w:fill="0F172A"/>
            <w:tcMar>
              <w:top w:w="100" w:type="dxa"/>
              <w:bottom w:w="100" w:type="dxa"/>
              <w:left w:w="120" w:type="dxa"/>
              <w:right w:w="120" w:type="dxa"/>
            </w:tcMar>
          </w:tcPr>
          <w:p>
            <w:r>
              <w:rPr>
                <w:b/>
                <w:color w:val="FFFFFF"/>
                <w:sz w:val="19"/>
              </w:rPr>
              <w:t>Shares (Approx.)</w:t>
            </w:r>
          </w:p>
        </w:tc>
        <w:tc>
          <w:tcPr>
            <w:tcW w:type="dxa" w:w="2340"/>
            <w:shd w:fill="0F172A"/>
            <w:tcMar>
              <w:top w:w="100" w:type="dxa"/>
              <w:bottom w:w="100" w:type="dxa"/>
              <w:left w:w="120" w:type="dxa"/>
              <w:right w:w="120" w:type="dxa"/>
            </w:tcMar>
          </w:tcPr>
          <w:p>
            <w:r>
              <w:rPr>
                <w:b/>
                <w:color w:val="FFFFFF"/>
                <w:sz w:val="19"/>
              </w:rPr>
              <w:t>Strategic Significance</w:t>
            </w:r>
          </w:p>
        </w:tc>
      </w:tr>
      <w:tr>
        <w:tc>
          <w:tcPr>
            <w:tcW w:type="dxa" w:w="2340"/>
            <w:shd w:fill="F8FAFC"/>
            <w:tcMar>
              <w:top w:w="80" w:type="dxa"/>
              <w:bottom w:w="80" w:type="dxa"/>
              <w:left w:w="100" w:type="dxa"/>
              <w:right w:w="100" w:type="dxa"/>
            </w:tcMar>
          </w:tcPr>
          <w:p>
            <w:r>
              <w:rPr>
                <w:color w:val="1E293B"/>
                <w:sz w:val="18"/>
              </w:rPr>
              <w:t>Talaat Moustafa Family Vehicles &amp; Affiliates</w:t>
            </w:r>
          </w:p>
        </w:tc>
        <w:tc>
          <w:tcPr>
            <w:tcW w:type="dxa" w:w="2340"/>
            <w:shd w:fill="F8FAFC"/>
            <w:tcMar>
              <w:top w:w="80" w:type="dxa"/>
              <w:bottom w:w="80" w:type="dxa"/>
              <w:left w:w="100" w:type="dxa"/>
              <w:right w:w="100" w:type="dxa"/>
            </w:tcMar>
          </w:tcPr>
          <w:p>
            <w:r>
              <w:rPr>
                <w:b/>
                <w:color w:val="1E293B"/>
                <w:sz w:val="18"/>
              </w:rPr>
              <w:t>59.8%</w:t>
            </w:r>
          </w:p>
        </w:tc>
        <w:tc>
          <w:tcPr>
            <w:tcW w:type="dxa" w:w="2340"/>
            <w:shd w:fill="F8FAFC"/>
            <w:tcMar>
              <w:top w:w="80" w:type="dxa"/>
              <w:bottom w:w="80" w:type="dxa"/>
              <w:left w:w="100" w:type="dxa"/>
              <w:right w:w="100" w:type="dxa"/>
            </w:tcMar>
          </w:tcPr>
          <w:p>
            <w:r>
              <w:rPr>
                <w:color w:val="1E293B"/>
                <w:sz w:val="18"/>
              </w:rPr>
              <w:t>1,234,010,000</w:t>
            </w:r>
          </w:p>
        </w:tc>
        <w:tc>
          <w:tcPr>
            <w:tcW w:type="dxa" w:w="2340"/>
            <w:shd w:fill="F8FAFC"/>
            <w:tcMar>
              <w:top w:w="80" w:type="dxa"/>
              <w:bottom w:w="80" w:type="dxa"/>
              <w:left w:w="100" w:type="dxa"/>
              <w:right w:w="100" w:type="dxa"/>
            </w:tcMar>
          </w:tcPr>
          <w:p>
            <w:r>
              <w:rPr>
                <w:color w:val="1E293B"/>
                <w:sz w:val="18"/>
              </w:rPr>
              <w:t>Absolute operational and strategic voting control; executive leadership</w:t>
            </w:r>
          </w:p>
        </w:tc>
      </w:tr>
      <w:tr>
        <w:tc>
          <w:tcPr>
            <w:tcW w:type="dxa" w:w="2340"/>
            <w:shd w:fill="FFFFFF"/>
            <w:tcMar>
              <w:top w:w="80" w:type="dxa"/>
              <w:bottom w:w="80" w:type="dxa"/>
              <w:left w:w="100" w:type="dxa"/>
              <w:right w:w="100" w:type="dxa"/>
            </w:tcMar>
          </w:tcPr>
          <w:p>
            <w:r>
              <w:rPr>
                <w:color w:val="1E293B"/>
                <w:sz w:val="18"/>
              </w:rPr>
              <w:t>EGX Free Float (Public &amp; Retail Investors)</w:t>
            </w:r>
          </w:p>
        </w:tc>
        <w:tc>
          <w:tcPr>
            <w:tcW w:type="dxa" w:w="2340"/>
            <w:shd w:fill="FFFFFF"/>
            <w:tcMar>
              <w:top w:w="80" w:type="dxa"/>
              <w:bottom w:w="80" w:type="dxa"/>
              <w:left w:w="100" w:type="dxa"/>
              <w:right w:w="100" w:type="dxa"/>
            </w:tcMar>
          </w:tcPr>
          <w:p>
            <w:r>
              <w:rPr>
                <w:b/>
                <w:color w:val="1E293B"/>
                <w:sz w:val="18"/>
              </w:rPr>
              <w:t>32.9%</w:t>
            </w:r>
          </w:p>
        </w:tc>
        <w:tc>
          <w:tcPr>
            <w:tcW w:type="dxa" w:w="2340"/>
            <w:shd w:fill="FFFFFF"/>
            <w:tcMar>
              <w:top w:w="80" w:type="dxa"/>
              <w:bottom w:w="80" w:type="dxa"/>
              <w:left w:w="100" w:type="dxa"/>
              <w:right w:w="100" w:type="dxa"/>
            </w:tcMar>
          </w:tcPr>
          <w:p>
            <w:r>
              <w:rPr>
                <w:color w:val="1E293B"/>
                <w:sz w:val="18"/>
              </w:rPr>
              <w:t>678,912,000</w:t>
            </w:r>
          </w:p>
        </w:tc>
        <w:tc>
          <w:tcPr>
            <w:tcW w:type="dxa" w:w="2340"/>
            <w:shd w:fill="FFFFFF"/>
            <w:tcMar>
              <w:top w:w="80" w:type="dxa"/>
              <w:bottom w:w="80" w:type="dxa"/>
              <w:left w:w="100" w:type="dxa"/>
              <w:right w:w="100" w:type="dxa"/>
            </w:tcMar>
          </w:tcPr>
          <w:p>
            <w:r>
              <w:rPr>
                <w:color w:val="1E293B"/>
                <w:sz w:val="18"/>
              </w:rPr>
              <w:t>Public market float trading on the Egyptian Exchange under ticker TMGH.CA</w:t>
            </w:r>
          </w:p>
        </w:tc>
      </w:tr>
      <w:tr>
        <w:tc>
          <w:tcPr>
            <w:tcW w:type="dxa" w:w="2340"/>
            <w:shd w:fill="F8FAFC"/>
            <w:tcMar>
              <w:top w:w="80" w:type="dxa"/>
              <w:bottom w:w="80" w:type="dxa"/>
              <w:left w:w="100" w:type="dxa"/>
              <w:right w:w="100" w:type="dxa"/>
            </w:tcMar>
          </w:tcPr>
          <w:p>
            <w:r>
              <w:rPr>
                <w:color w:val="1E293B"/>
                <w:sz w:val="18"/>
              </w:rPr>
              <w:t>Norges Bank (Central Bank of Norway)</w:t>
            </w:r>
          </w:p>
        </w:tc>
        <w:tc>
          <w:tcPr>
            <w:tcW w:type="dxa" w:w="2340"/>
            <w:shd w:fill="F8FAFC"/>
            <w:tcMar>
              <w:top w:w="80" w:type="dxa"/>
              <w:bottom w:w="80" w:type="dxa"/>
              <w:left w:w="100" w:type="dxa"/>
              <w:right w:w="100" w:type="dxa"/>
            </w:tcMar>
          </w:tcPr>
          <w:p>
            <w:r>
              <w:rPr>
                <w:b/>
                <w:color w:val="1E293B"/>
                <w:sz w:val="18"/>
              </w:rPr>
              <w:t>3.3%</w:t>
            </w:r>
          </w:p>
        </w:tc>
        <w:tc>
          <w:tcPr>
            <w:tcW w:type="dxa" w:w="2340"/>
            <w:shd w:fill="F8FAFC"/>
            <w:tcMar>
              <w:top w:w="80" w:type="dxa"/>
              <w:bottom w:w="80" w:type="dxa"/>
              <w:left w:w="100" w:type="dxa"/>
              <w:right w:w="100" w:type="dxa"/>
            </w:tcMar>
          </w:tcPr>
          <w:p>
            <w:r>
              <w:rPr>
                <w:color w:val="1E293B"/>
                <w:sz w:val="18"/>
              </w:rPr>
              <w:t>68,097,000</w:t>
            </w:r>
          </w:p>
        </w:tc>
        <w:tc>
          <w:tcPr>
            <w:tcW w:type="dxa" w:w="2340"/>
            <w:shd w:fill="F8FAFC"/>
            <w:tcMar>
              <w:top w:w="80" w:type="dxa"/>
              <w:bottom w:w="80" w:type="dxa"/>
              <w:left w:w="100" w:type="dxa"/>
              <w:right w:w="100" w:type="dxa"/>
            </w:tcMar>
          </w:tcPr>
          <w:p>
            <w:r>
              <w:rPr>
                <w:color w:val="1E293B"/>
                <w:sz w:val="18"/>
              </w:rPr>
              <w:t>Sovereign institutional holding; global institutional endorsement</w:t>
            </w:r>
          </w:p>
        </w:tc>
      </w:tr>
      <w:tr>
        <w:tc>
          <w:tcPr>
            <w:tcW w:type="dxa" w:w="2340"/>
            <w:shd w:fill="FFFFFF"/>
            <w:tcMar>
              <w:top w:w="80" w:type="dxa"/>
              <w:bottom w:w="80" w:type="dxa"/>
              <w:left w:w="100" w:type="dxa"/>
              <w:right w:w="100" w:type="dxa"/>
            </w:tcMar>
          </w:tcPr>
          <w:p>
            <w:r>
              <w:rPr>
                <w:color w:val="1E293B"/>
                <w:sz w:val="18"/>
              </w:rPr>
              <w:t>Other Foreign &amp; Domestic Institutional Funds</w:t>
            </w:r>
          </w:p>
        </w:tc>
        <w:tc>
          <w:tcPr>
            <w:tcW w:type="dxa" w:w="2340"/>
            <w:shd w:fill="FFFFFF"/>
            <w:tcMar>
              <w:top w:w="80" w:type="dxa"/>
              <w:bottom w:w="80" w:type="dxa"/>
              <w:left w:w="100" w:type="dxa"/>
              <w:right w:w="100" w:type="dxa"/>
            </w:tcMar>
          </w:tcPr>
          <w:p>
            <w:r>
              <w:rPr>
                <w:b/>
                <w:color w:val="1E293B"/>
                <w:sz w:val="18"/>
              </w:rPr>
              <w:t>4.0%</w:t>
            </w:r>
          </w:p>
        </w:tc>
        <w:tc>
          <w:tcPr>
            <w:tcW w:type="dxa" w:w="2340"/>
            <w:shd w:fill="FFFFFF"/>
            <w:tcMar>
              <w:top w:w="80" w:type="dxa"/>
              <w:bottom w:w="80" w:type="dxa"/>
              <w:left w:w="100" w:type="dxa"/>
              <w:right w:w="100" w:type="dxa"/>
            </w:tcMar>
          </w:tcPr>
          <w:p>
            <w:r>
              <w:rPr>
                <w:color w:val="1E293B"/>
                <w:sz w:val="18"/>
              </w:rPr>
              <w:t>82,543,000</w:t>
            </w:r>
          </w:p>
        </w:tc>
        <w:tc>
          <w:tcPr>
            <w:tcW w:type="dxa" w:w="2340"/>
            <w:shd w:fill="FFFFFF"/>
            <w:tcMar>
              <w:top w:w="80" w:type="dxa"/>
              <w:bottom w:w="80" w:type="dxa"/>
              <w:left w:w="100" w:type="dxa"/>
              <w:right w:w="100" w:type="dxa"/>
            </w:tcMar>
          </w:tcPr>
          <w:p>
            <w:r>
              <w:rPr>
                <w:color w:val="1E293B"/>
                <w:sz w:val="18"/>
              </w:rPr>
              <w:t>Regional funds, high-net-worth strategic holdings, financial institutions</w:t>
            </w:r>
          </w:p>
        </w:tc>
      </w:tr>
    </w:tbl>
    <w:p>
      <w:pPr>
        <w:spacing w:after="160"/>
      </w:pPr>
    </w:p>
    <w:p>
      <w:pPr>
        <w:pStyle w:val="Heading2"/>
        <w:keepNext/>
        <w:spacing w:before="280" w:after="80"/>
      </w:pPr>
      <w:r>
        <w:rPr>
          <w:rFonts w:ascii="Calibri" w:hAnsi="Calibri"/>
          <w:b/>
          <w:color w:val="0284C7"/>
          <w:sz w:val="26"/>
        </w:rPr>
        <w:t>2.2 The Captive EPC Model &amp; Contractual Tier Shielding</w:t>
      </w:r>
    </w:p>
    <w:p>
      <w:pPr>
        <w:spacing w:after="120" w:line="276" w:lineRule="auto"/>
      </w:pPr>
      <w:r>
        <w:rPr>
          <w:rFonts w:ascii="Calibri" w:hAnsi="Calibri"/>
          <w:color w:val="1E293B"/>
          <w:sz w:val="21"/>
        </w:rPr>
        <w:t>Under the Egyptian Civil Code (Law No. 131/1948, Articles 145-152), the doctrine of privity of contract (نسبية أثر العقود) dictates that contractual obligations bind only the signing legal entities. TMG Holding leverages this statutory shield systematically:</w:t>
      </w:r>
    </w:p>
    <w:p>
      <w:pPr>
        <w:pStyle w:val="ListBullet"/>
        <w:spacing w:after="80" w:line="276" w:lineRule="auto"/>
      </w:pPr>
      <w:r>
        <w:rPr>
          <w:rFonts w:ascii="Calibri" w:hAnsi="Calibri"/>
          <w:b/>
          <w:color w:val="0F172A"/>
          <w:sz w:val="21"/>
        </w:rPr>
        <w:t xml:space="preserve">Development Layer: </w:t>
      </w:r>
      <w:r>
        <w:rPr>
          <w:rFonts w:ascii="Calibri" w:hAnsi="Calibri"/>
          <w:color w:val="1E293B"/>
          <w:sz w:val="21"/>
        </w:rPr>
        <w:t>Direct Contracting Entity: The Arab Company for Projects and Urban Development SAE (99.99% owned by TMG Holding) acts as the primary concession holder and developer for Madinaty and Celia. Arab Co. for Urban Investment acts as developer for Noor City.</w:t>
      </w:r>
    </w:p>
    <w:p>
      <w:pPr>
        <w:pStyle w:val="ListBullet"/>
        <w:spacing w:after="80" w:line="276" w:lineRule="auto"/>
      </w:pPr>
      <w:r>
        <w:rPr>
          <w:rFonts w:ascii="Calibri" w:hAnsi="Calibri"/>
          <w:b/>
          <w:color w:val="0F172A"/>
          <w:sz w:val="21"/>
        </w:rPr>
        <w:t xml:space="preserve">Construction Management Layer: </w:t>
      </w:r>
      <w:r>
        <w:rPr>
          <w:rFonts w:ascii="Calibri" w:hAnsi="Calibri"/>
          <w:color w:val="1E293B"/>
          <w:sz w:val="21"/>
        </w:rPr>
        <w:t>Captive General Contractor: All principal civil engineering, concrete, and finishing packages are awarded to Alexandria Construction Company SAE (ACC). ACC is 100% owned by the Talaat Moustafa family directly, while holding an 8.03% cross-shareholding in listed TMG Holding. This structure ensures that operating construction risks remain legally segregated from the publicly listed entity.</w:t>
      </w:r>
    </w:p>
    <w:p>
      <w:pPr>
        <w:pStyle w:val="ListBullet"/>
        <w:spacing w:after="80" w:line="276" w:lineRule="auto"/>
      </w:pPr>
      <w:r>
        <w:rPr>
          <w:rFonts w:ascii="Calibri" w:hAnsi="Calibri"/>
          <w:b/>
          <w:color w:val="0F172A"/>
          <w:sz w:val="21"/>
        </w:rPr>
        <w:t xml:space="preserve">Subcontractor Layer: </w:t>
      </w:r>
      <w:r>
        <w:rPr>
          <w:rFonts w:ascii="Calibri" w:hAnsi="Calibri"/>
          <w:color w:val="1E293B"/>
          <w:sz w:val="21"/>
        </w:rPr>
        <w:t>Trade Subcontracting Tier: Trade contractors specializing in electromechanical (MEP), earthworks, glass, and finishes contract strictly with ACC or appointed tier-1 EPC contractors (e.g., Atrium Quality Contractors, Concrete Plus). In the event of progress payment disputes, trade contractors possess no legal standing to attach bank accounts or seize customer receivables belonging to TMG Holding or its development SPVs.</w:t>
      </w:r>
    </w:p>
    <w:p>
      <w:pPr>
        <w:pStyle w:val="Heading2"/>
        <w:keepNext/>
        <w:spacing w:before="280" w:after="80"/>
      </w:pPr>
      <w:r>
        <w:rPr>
          <w:rFonts w:ascii="Calibri" w:hAnsi="Calibri"/>
          <w:b/>
          <w:color w:val="0284C7"/>
          <w:sz w:val="26"/>
        </w:rPr>
        <w:t>2.3 Decoupling Bulk Materials from Trade Labor</w:t>
      </w:r>
    </w:p>
    <w:p>
      <w:pPr>
        <w:spacing w:after="120" w:line="276" w:lineRule="auto"/>
      </w:pPr>
      <w:r>
        <w:rPr>
          <w:rFonts w:ascii="Calibri" w:hAnsi="Calibri"/>
          <w:color w:val="1E293B"/>
          <w:sz w:val="21"/>
        </w:rPr>
        <w:t>TMG centralized the bulk procurement of rebar steel (via long-term supply arrangements with Ezz Steel and Beshay Steel) and cement. Trade subcontractors are engaged on labor, formwork, and equipment-only packages. While this prevents subcontractor material markups, it eliminates contractor profit buffers, leaving trade contractors severely exposed to labor wage inflation without price escalation protections.</w:t>
      </w:r>
    </w:p>
    <w:p>
      <w:pPr>
        <w:pStyle w:val="Heading1"/>
        <w:keepNext/>
        <w:spacing w:before="360" w:after="120"/>
      </w:pPr>
      <w:r>
        <w:rPr>
          <w:rFonts w:ascii="Calibri" w:hAnsi="Calibri"/>
          <w:b/>
          <w:color w:val="0F172A"/>
          <w:sz w:val="34"/>
        </w:rPr>
        <w:t>3. Master Project Database &amp; Landbank Footprint</w:t>
      </w:r>
    </w:p>
    <w:p>
      <w:pPr>
        <w:spacing w:after="120" w:line="276" w:lineRule="auto"/>
      </w:pPr>
      <w:r>
        <w:rPr>
          <w:rFonts w:ascii="Calibri" w:hAnsi="Calibri"/>
          <w:color w:val="1E293B"/>
          <w:sz w:val="21"/>
        </w:rPr>
        <w:t>TMG Holding possesses the largest private landbank in Egypt, with master-planned concessions spanning eastern Cairo, the Mediterranean coast, the Red Sea, Upper Egypt, and Saudi Arabia.</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0F172A"/>
            <w:tcMar>
              <w:top w:w="100" w:type="dxa"/>
              <w:bottom w:w="100" w:type="dxa"/>
              <w:left w:w="120" w:type="dxa"/>
              <w:right w:w="120" w:type="dxa"/>
            </w:tcMar>
          </w:tcPr>
          <w:p>
            <w:r>
              <w:rPr>
                <w:b/>
                <w:color w:val="FFFFFF"/>
                <w:sz w:val="19"/>
              </w:rPr>
              <w:t>Development Project</w:t>
            </w:r>
          </w:p>
        </w:tc>
        <w:tc>
          <w:tcPr>
            <w:tcW w:type="dxa" w:w="2340"/>
            <w:shd w:fill="0F172A"/>
            <w:tcMar>
              <w:top w:w="100" w:type="dxa"/>
              <w:bottom w:w="100" w:type="dxa"/>
              <w:left w:w="120" w:type="dxa"/>
              <w:right w:w="120" w:type="dxa"/>
            </w:tcMar>
          </w:tcPr>
          <w:p>
            <w:r>
              <w:rPr>
                <w:b/>
                <w:color w:val="FFFFFF"/>
                <w:sz w:val="19"/>
              </w:rPr>
              <w:t>Location / Corridor</w:t>
            </w:r>
          </w:p>
        </w:tc>
        <w:tc>
          <w:tcPr>
            <w:tcW w:type="dxa" w:w="2340"/>
            <w:shd w:fill="0F172A"/>
            <w:tcMar>
              <w:top w:w="100" w:type="dxa"/>
              <w:bottom w:w="100" w:type="dxa"/>
              <w:left w:w="120" w:type="dxa"/>
              <w:right w:w="120" w:type="dxa"/>
            </w:tcMar>
          </w:tcPr>
          <w:p>
            <w:r>
              <w:rPr>
                <w:b/>
                <w:color w:val="FFFFFF"/>
                <w:sz w:val="19"/>
              </w:rPr>
              <w:t>Concession Area</w:t>
            </w:r>
          </w:p>
        </w:tc>
        <w:tc>
          <w:tcPr>
            <w:tcW w:type="dxa" w:w="2340"/>
            <w:shd w:fill="0F172A"/>
            <w:tcMar>
              <w:top w:w="100" w:type="dxa"/>
              <w:bottom w:w="100" w:type="dxa"/>
              <w:left w:w="120" w:type="dxa"/>
              <w:right w:w="120" w:type="dxa"/>
            </w:tcMar>
          </w:tcPr>
          <w:p>
            <w:r>
              <w:rPr>
                <w:b/>
                <w:color w:val="FFFFFF"/>
                <w:sz w:val="19"/>
              </w:rPr>
              <w:t>Development Model &amp; NUCA Terms</w:t>
            </w:r>
          </w:p>
        </w:tc>
      </w:tr>
      <w:tr>
        <w:tc>
          <w:tcPr>
            <w:tcW w:type="dxa" w:w="2340"/>
            <w:shd w:fill="F8FAFC"/>
            <w:tcMar>
              <w:top w:w="80" w:type="dxa"/>
              <w:bottom w:w="80" w:type="dxa"/>
              <w:left w:w="100" w:type="dxa"/>
              <w:right w:w="100" w:type="dxa"/>
            </w:tcMar>
          </w:tcPr>
          <w:p>
            <w:r>
              <w:rPr>
                <w:color w:val="1E293B"/>
                <w:sz w:val="18"/>
              </w:rPr>
              <w:t>Madinaty Flagship City</w:t>
            </w:r>
          </w:p>
        </w:tc>
        <w:tc>
          <w:tcPr>
            <w:tcW w:type="dxa" w:w="2340"/>
            <w:shd w:fill="F8FAFC"/>
            <w:tcMar>
              <w:top w:w="80" w:type="dxa"/>
              <w:bottom w:w="80" w:type="dxa"/>
              <w:left w:w="100" w:type="dxa"/>
              <w:right w:w="100" w:type="dxa"/>
            </w:tcMar>
          </w:tcPr>
          <w:p>
            <w:r>
              <w:rPr>
                <w:color w:val="1E293B"/>
                <w:sz w:val="18"/>
              </w:rPr>
              <w:t>East Cairo (Suez Road)</w:t>
            </w:r>
          </w:p>
        </w:tc>
        <w:tc>
          <w:tcPr>
            <w:tcW w:type="dxa" w:w="2340"/>
            <w:shd w:fill="F8FAFC"/>
            <w:tcMar>
              <w:top w:w="80" w:type="dxa"/>
              <w:bottom w:w="80" w:type="dxa"/>
              <w:left w:w="100" w:type="dxa"/>
              <w:right w:w="100" w:type="dxa"/>
            </w:tcMar>
          </w:tcPr>
          <w:p>
            <w:r>
              <w:rPr>
                <w:b/>
                <w:color w:val="1E293B"/>
                <w:sz w:val="18"/>
              </w:rPr>
              <w:t>8,000 Feddans (33.6M sqm)</w:t>
            </w:r>
          </w:p>
        </w:tc>
        <w:tc>
          <w:tcPr>
            <w:tcW w:type="dxa" w:w="2340"/>
            <w:shd w:fill="F8FAFC"/>
            <w:tcMar>
              <w:top w:w="80" w:type="dxa"/>
              <w:bottom w:w="80" w:type="dxa"/>
              <w:left w:w="100" w:type="dxa"/>
              <w:right w:w="100" w:type="dxa"/>
            </w:tcMar>
          </w:tcPr>
          <w:p>
            <w:r>
              <w:rPr>
                <w:color w:val="1E293B"/>
                <w:sz w:val="18"/>
              </w:rPr>
              <w:t>NUCA Concession: Settled via 7% in-kind finished residential BUA delivery</w:t>
            </w:r>
          </w:p>
        </w:tc>
      </w:tr>
      <w:tr>
        <w:tc>
          <w:tcPr>
            <w:tcW w:type="dxa" w:w="2340"/>
            <w:shd w:fill="FFFFFF"/>
            <w:tcMar>
              <w:top w:w="80" w:type="dxa"/>
              <w:bottom w:w="80" w:type="dxa"/>
              <w:left w:w="100" w:type="dxa"/>
              <w:right w:w="100" w:type="dxa"/>
            </w:tcMar>
          </w:tcPr>
          <w:p>
            <w:r>
              <w:rPr>
                <w:color w:val="1E293B"/>
                <w:sz w:val="18"/>
              </w:rPr>
              <w:t>SouthMED Mediterranean City</w:t>
            </w:r>
          </w:p>
        </w:tc>
        <w:tc>
          <w:tcPr>
            <w:tcW w:type="dxa" w:w="2340"/>
            <w:shd w:fill="FFFFFF"/>
            <w:tcMar>
              <w:top w:w="80" w:type="dxa"/>
              <w:bottom w:w="80" w:type="dxa"/>
              <w:left w:w="100" w:type="dxa"/>
              <w:right w:w="100" w:type="dxa"/>
            </w:tcMar>
          </w:tcPr>
          <w:p>
            <w:r>
              <w:rPr>
                <w:color w:val="1E293B"/>
                <w:sz w:val="18"/>
              </w:rPr>
              <w:t>North Coast (Dabaa, km 167)</w:t>
            </w:r>
          </w:p>
        </w:tc>
        <w:tc>
          <w:tcPr>
            <w:tcW w:type="dxa" w:w="2340"/>
            <w:shd w:fill="FFFFFF"/>
            <w:tcMar>
              <w:top w:w="80" w:type="dxa"/>
              <w:bottom w:w="80" w:type="dxa"/>
              <w:left w:w="100" w:type="dxa"/>
              <w:right w:w="100" w:type="dxa"/>
            </w:tcMar>
          </w:tcPr>
          <w:p>
            <w:r>
              <w:rPr>
                <w:b/>
                <w:color w:val="1E293B"/>
                <w:sz w:val="18"/>
              </w:rPr>
              <w:t>5,500 Feddans (23.0M sqm)</w:t>
            </w:r>
          </w:p>
        </w:tc>
        <w:tc>
          <w:tcPr>
            <w:tcW w:type="dxa" w:w="2340"/>
            <w:shd w:fill="FFFFFF"/>
            <w:tcMar>
              <w:top w:w="80" w:type="dxa"/>
              <w:bottom w:w="80" w:type="dxa"/>
              <w:left w:w="100" w:type="dxa"/>
              <w:right w:w="100" w:type="dxa"/>
            </w:tcMar>
          </w:tcPr>
          <w:p>
            <w:r>
              <w:rPr>
                <w:color w:val="1E293B"/>
                <w:sz w:val="18"/>
              </w:rPr>
              <w:t>Private partnership &amp; state allocation; record EGP 200B+ launch backlog</w:t>
            </w:r>
          </w:p>
        </w:tc>
      </w:tr>
      <w:tr>
        <w:tc>
          <w:tcPr>
            <w:tcW w:type="dxa" w:w="2340"/>
            <w:shd w:fill="F8FAFC"/>
            <w:tcMar>
              <w:top w:w="80" w:type="dxa"/>
              <w:bottom w:w="80" w:type="dxa"/>
              <w:left w:w="100" w:type="dxa"/>
              <w:right w:w="100" w:type="dxa"/>
            </w:tcMar>
          </w:tcPr>
          <w:p>
            <w:r>
              <w:rPr>
                <w:color w:val="1E293B"/>
                <w:sz w:val="18"/>
              </w:rPr>
              <w:t>Noor City (Capital Gardens)</w:t>
            </w:r>
          </w:p>
        </w:tc>
        <w:tc>
          <w:tcPr>
            <w:tcW w:type="dxa" w:w="2340"/>
            <w:shd w:fill="F8FAFC"/>
            <w:tcMar>
              <w:top w:w="80" w:type="dxa"/>
              <w:bottom w:w="80" w:type="dxa"/>
              <w:left w:w="100" w:type="dxa"/>
              <w:right w:w="100" w:type="dxa"/>
            </w:tcMar>
          </w:tcPr>
          <w:p>
            <w:r>
              <w:rPr>
                <w:color w:val="1E293B"/>
                <w:sz w:val="18"/>
              </w:rPr>
              <w:t>East Cairo (Opposite New Capital)</w:t>
            </w:r>
          </w:p>
        </w:tc>
        <w:tc>
          <w:tcPr>
            <w:tcW w:type="dxa" w:w="2340"/>
            <w:shd w:fill="F8FAFC"/>
            <w:tcMar>
              <w:top w:w="80" w:type="dxa"/>
              <w:bottom w:w="80" w:type="dxa"/>
              <w:left w:w="100" w:type="dxa"/>
              <w:right w:w="100" w:type="dxa"/>
            </w:tcMar>
          </w:tcPr>
          <w:p>
            <w:r>
              <w:rPr>
                <w:b/>
                <w:color w:val="1E293B"/>
                <w:sz w:val="18"/>
              </w:rPr>
              <w:t>5,000 Feddans (21.0M sqm)</w:t>
            </w:r>
          </w:p>
        </w:tc>
        <w:tc>
          <w:tcPr>
            <w:tcW w:type="dxa" w:w="2340"/>
            <w:shd w:fill="F8FAFC"/>
            <w:tcMar>
              <w:top w:w="80" w:type="dxa"/>
              <w:bottom w:w="80" w:type="dxa"/>
              <w:left w:w="100" w:type="dxa"/>
              <w:right w:w="100" w:type="dxa"/>
            </w:tcMar>
          </w:tcPr>
          <w:p>
            <w:r>
              <w:rPr>
                <w:color w:val="1E293B"/>
                <w:sz w:val="18"/>
              </w:rPr>
              <w:t>Concession from NUCA; smart green city concept; EGP 9.0B bank facility</w:t>
            </w:r>
          </w:p>
        </w:tc>
      </w:tr>
      <w:tr>
        <w:tc>
          <w:tcPr>
            <w:tcW w:type="dxa" w:w="2340"/>
            <w:shd w:fill="FFFFFF"/>
            <w:tcMar>
              <w:top w:w="80" w:type="dxa"/>
              <w:bottom w:w="80" w:type="dxa"/>
              <w:left w:w="100" w:type="dxa"/>
              <w:right w:w="100" w:type="dxa"/>
            </w:tcMar>
          </w:tcPr>
          <w:p>
            <w:r>
              <w:rPr>
                <w:color w:val="1E293B"/>
                <w:sz w:val="18"/>
              </w:rPr>
              <w:t>Al Rehab City</w:t>
            </w:r>
          </w:p>
        </w:tc>
        <w:tc>
          <w:tcPr>
            <w:tcW w:type="dxa" w:w="2340"/>
            <w:shd w:fill="FFFFFF"/>
            <w:tcMar>
              <w:top w:w="80" w:type="dxa"/>
              <w:bottom w:w="80" w:type="dxa"/>
              <w:left w:w="100" w:type="dxa"/>
              <w:right w:w="100" w:type="dxa"/>
            </w:tcMar>
          </w:tcPr>
          <w:p>
            <w:r>
              <w:rPr>
                <w:color w:val="1E293B"/>
                <w:sz w:val="18"/>
              </w:rPr>
              <w:t>New Cairo (Suez Road)</w:t>
            </w:r>
          </w:p>
        </w:tc>
        <w:tc>
          <w:tcPr>
            <w:tcW w:type="dxa" w:w="2340"/>
            <w:shd w:fill="FFFFFF"/>
            <w:tcMar>
              <w:top w:w="80" w:type="dxa"/>
              <w:bottom w:w="80" w:type="dxa"/>
              <w:left w:w="100" w:type="dxa"/>
              <w:right w:w="100" w:type="dxa"/>
            </w:tcMar>
          </w:tcPr>
          <w:p>
            <w:r>
              <w:rPr>
                <w:b/>
                <w:color w:val="1E293B"/>
                <w:sz w:val="18"/>
              </w:rPr>
              <w:t>2,380 Feddans (10.0M sqm)</w:t>
            </w:r>
          </w:p>
        </w:tc>
        <w:tc>
          <w:tcPr>
            <w:tcW w:type="dxa" w:w="2340"/>
            <w:shd w:fill="FFFFFF"/>
            <w:tcMar>
              <w:top w:w="80" w:type="dxa"/>
              <w:bottom w:w="80" w:type="dxa"/>
              <w:left w:w="100" w:type="dxa"/>
              <w:right w:w="100" w:type="dxa"/>
            </w:tcMar>
          </w:tcPr>
          <w:p>
            <w:r>
              <w:rPr>
                <w:color w:val="1E293B"/>
                <w:sz w:val="18"/>
              </w:rPr>
              <w:t>First master-planned gated city in Egypt; mature delivery (&gt;2,500 buildings)</w:t>
            </w:r>
          </w:p>
        </w:tc>
      </w:tr>
      <w:tr>
        <w:tc>
          <w:tcPr>
            <w:tcW w:type="dxa" w:w="2340"/>
            <w:shd w:fill="F8FAFC"/>
            <w:tcMar>
              <w:top w:w="80" w:type="dxa"/>
              <w:bottom w:w="80" w:type="dxa"/>
              <w:left w:w="100" w:type="dxa"/>
              <w:right w:w="100" w:type="dxa"/>
            </w:tcMar>
          </w:tcPr>
          <w:p>
            <w:r>
              <w:rPr>
                <w:color w:val="1E293B"/>
                <w:sz w:val="18"/>
              </w:rPr>
              <w:t>Celia Luxury Enclave</w:t>
            </w:r>
          </w:p>
        </w:tc>
        <w:tc>
          <w:tcPr>
            <w:tcW w:type="dxa" w:w="2340"/>
            <w:shd w:fill="F8FAFC"/>
            <w:tcMar>
              <w:top w:w="80" w:type="dxa"/>
              <w:bottom w:w="80" w:type="dxa"/>
              <w:left w:w="100" w:type="dxa"/>
              <w:right w:w="100" w:type="dxa"/>
            </w:tcMar>
          </w:tcPr>
          <w:p>
            <w:r>
              <w:rPr>
                <w:color w:val="1E293B"/>
                <w:sz w:val="18"/>
              </w:rPr>
              <w:t>New Administrative Capital (Green River)</w:t>
            </w:r>
          </w:p>
        </w:tc>
        <w:tc>
          <w:tcPr>
            <w:tcW w:type="dxa" w:w="2340"/>
            <w:shd w:fill="F8FAFC"/>
            <w:tcMar>
              <w:top w:w="80" w:type="dxa"/>
              <w:bottom w:w="80" w:type="dxa"/>
              <w:left w:w="100" w:type="dxa"/>
              <w:right w:w="100" w:type="dxa"/>
            </w:tcMar>
          </w:tcPr>
          <w:p>
            <w:r>
              <w:rPr>
                <w:b/>
                <w:color w:val="1E293B"/>
                <w:sz w:val="18"/>
              </w:rPr>
              <w:t>500 Feddans (2.1M sqm)</w:t>
            </w:r>
          </w:p>
        </w:tc>
        <w:tc>
          <w:tcPr>
            <w:tcW w:type="dxa" w:w="2340"/>
            <w:shd w:fill="F8FAFC"/>
            <w:tcMar>
              <w:top w:w="80" w:type="dxa"/>
              <w:bottom w:w="80" w:type="dxa"/>
              <w:left w:w="100" w:type="dxa"/>
              <w:right w:w="100" w:type="dxa"/>
            </w:tcMar>
          </w:tcPr>
          <w:p>
            <w:r>
              <w:rPr>
                <w:color w:val="1E293B"/>
                <w:sz w:val="18"/>
              </w:rPr>
              <w:t>Direct acquisition from ACUD; high-end apartments and luxury villas</w:t>
            </w:r>
          </w:p>
        </w:tc>
      </w:tr>
      <w:tr>
        <w:tc>
          <w:tcPr>
            <w:tcW w:type="dxa" w:w="2340"/>
            <w:shd w:fill="FFFFFF"/>
            <w:tcMar>
              <w:top w:w="80" w:type="dxa"/>
              <w:bottom w:w="80" w:type="dxa"/>
              <w:left w:w="100" w:type="dxa"/>
              <w:right w:w="100" w:type="dxa"/>
            </w:tcMar>
          </w:tcPr>
          <w:p>
            <w:r>
              <w:rPr>
                <w:color w:val="1E293B"/>
                <w:sz w:val="18"/>
              </w:rPr>
              <w:t>Al Rabwa Residential Park</w:t>
            </w:r>
          </w:p>
        </w:tc>
        <w:tc>
          <w:tcPr>
            <w:tcW w:type="dxa" w:w="2340"/>
            <w:shd w:fill="FFFFFF"/>
            <w:tcMar>
              <w:top w:w="80" w:type="dxa"/>
              <w:bottom w:w="80" w:type="dxa"/>
              <w:left w:w="100" w:type="dxa"/>
              <w:right w:w="100" w:type="dxa"/>
            </w:tcMar>
          </w:tcPr>
          <w:p>
            <w:r>
              <w:rPr>
                <w:color w:val="1E293B"/>
                <w:sz w:val="18"/>
              </w:rPr>
              <w:t>Sheikh Zayed (West Cairo)</w:t>
            </w:r>
          </w:p>
        </w:tc>
        <w:tc>
          <w:tcPr>
            <w:tcW w:type="dxa" w:w="2340"/>
            <w:shd w:fill="FFFFFF"/>
            <w:tcMar>
              <w:top w:w="80" w:type="dxa"/>
              <w:bottom w:w="80" w:type="dxa"/>
              <w:left w:w="100" w:type="dxa"/>
              <w:right w:w="100" w:type="dxa"/>
            </w:tcMar>
          </w:tcPr>
          <w:p>
            <w:r>
              <w:rPr>
                <w:b/>
                <w:color w:val="1E293B"/>
                <w:sz w:val="18"/>
              </w:rPr>
              <w:t>500 Feddans (2.1M sqm)</w:t>
            </w:r>
          </w:p>
        </w:tc>
        <w:tc>
          <w:tcPr>
            <w:tcW w:type="dxa" w:w="2340"/>
            <w:shd w:fill="FFFFFF"/>
            <w:tcMar>
              <w:top w:w="80" w:type="dxa"/>
              <w:bottom w:w="80" w:type="dxa"/>
              <w:left w:w="100" w:type="dxa"/>
              <w:right w:w="100" w:type="dxa"/>
            </w:tcMar>
          </w:tcPr>
          <w:p>
            <w:r>
              <w:rPr>
                <w:color w:val="1E293B"/>
                <w:sz w:val="18"/>
              </w:rPr>
              <w:t>Mature golf community; 265 exclusive luxury villas; low ongoing risk</w:t>
            </w:r>
          </w:p>
        </w:tc>
      </w:tr>
    </w:tbl>
    <w:p>
      <w:pPr>
        <w:spacing w:after="160"/>
      </w:pPr>
    </w:p>
    <w:p>
      <w:pPr>
        <w:pStyle w:val="Heading1"/>
        <w:keepNext/>
        <w:spacing w:before="360" w:after="120"/>
      </w:pPr>
      <w:r>
        <w:rPr>
          <w:rFonts w:ascii="Calibri" w:hAnsi="Calibri"/>
          <w:b/>
          <w:color w:val="0F172A"/>
          <w:sz w:val="34"/>
        </w:rPr>
        <w:t>4. Financial Forensics, Debt Architecture &amp; Cash Flow Conversion</w:t>
      </w:r>
    </w:p>
    <w:p>
      <w:pPr>
        <w:spacing w:after="120" w:line="276" w:lineRule="auto"/>
      </w:pPr>
      <w:r>
        <w:rPr>
          <w:rFonts w:ascii="Calibri" w:hAnsi="Calibri"/>
          <w:color w:val="1E293B"/>
          <w:sz w:val="21"/>
        </w:rPr>
        <w:t>A rigorous forensic audit of TMG Holding's consolidated financial statements (FY2021 through FY2025 and H1 2026) reveals a complex dynamic between reported accounting profits and underlying cash conversion: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337"/>
            <w:shd w:fill="0F172A"/>
            <w:tcMar>
              <w:top w:w="100" w:type="dxa"/>
              <w:bottom w:w="100" w:type="dxa"/>
              <w:left w:w="100" w:type="dxa"/>
              <w:right w:w="100" w:type="dxa"/>
            </w:tcMar>
          </w:tcPr>
          <w:p>
            <w:r>
              <w:rPr>
                <w:b/>
                <w:color w:val="FFFFFF"/>
                <w:sz w:val="17"/>
              </w:rPr>
              <w:t>Financial Metric (EGP Millions)</w:t>
            </w:r>
          </w:p>
        </w:tc>
        <w:tc>
          <w:tcPr>
            <w:tcW w:type="dxa" w:w="1337"/>
            <w:shd w:fill="0F172A"/>
            <w:tcMar>
              <w:top w:w="100" w:type="dxa"/>
              <w:bottom w:w="100" w:type="dxa"/>
              <w:left w:w="100" w:type="dxa"/>
              <w:right w:w="100" w:type="dxa"/>
            </w:tcMar>
          </w:tcPr>
          <w:p>
            <w:r>
              <w:rPr>
                <w:b/>
                <w:color w:val="FFFFFF"/>
                <w:sz w:val="17"/>
              </w:rPr>
              <w:t>FY2021</w:t>
            </w:r>
          </w:p>
        </w:tc>
        <w:tc>
          <w:tcPr>
            <w:tcW w:type="dxa" w:w="1337"/>
            <w:shd w:fill="0F172A"/>
            <w:tcMar>
              <w:top w:w="100" w:type="dxa"/>
              <w:bottom w:w="100" w:type="dxa"/>
              <w:left w:w="100" w:type="dxa"/>
              <w:right w:w="100" w:type="dxa"/>
            </w:tcMar>
          </w:tcPr>
          <w:p>
            <w:r>
              <w:rPr>
                <w:b/>
                <w:color w:val="FFFFFF"/>
                <w:sz w:val="17"/>
              </w:rPr>
              <w:t>FY2022</w:t>
            </w:r>
          </w:p>
        </w:tc>
        <w:tc>
          <w:tcPr>
            <w:tcW w:type="dxa" w:w="1337"/>
            <w:shd w:fill="0F172A"/>
            <w:tcMar>
              <w:top w:w="100" w:type="dxa"/>
              <w:bottom w:w="100" w:type="dxa"/>
              <w:left w:w="100" w:type="dxa"/>
              <w:right w:w="100" w:type="dxa"/>
            </w:tcMar>
          </w:tcPr>
          <w:p>
            <w:r>
              <w:rPr>
                <w:b/>
                <w:color w:val="FFFFFF"/>
                <w:sz w:val="17"/>
              </w:rPr>
              <w:t>FY2023</w:t>
            </w:r>
          </w:p>
        </w:tc>
        <w:tc>
          <w:tcPr>
            <w:tcW w:type="dxa" w:w="1337"/>
            <w:shd w:fill="0F172A"/>
            <w:tcMar>
              <w:top w:w="100" w:type="dxa"/>
              <w:bottom w:w="100" w:type="dxa"/>
              <w:left w:w="100" w:type="dxa"/>
              <w:right w:w="100" w:type="dxa"/>
            </w:tcMar>
          </w:tcPr>
          <w:p>
            <w:r>
              <w:rPr>
                <w:b/>
                <w:color w:val="FFFFFF"/>
                <w:sz w:val="17"/>
              </w:rPr>
              <w:t>FY2024</w:t>
            </w:r>
          </w:p>
        </w:tc>
        <w:tc>
          <w:tcPr>
            <w:tcW w:type="dxa" w:w="1337"/>
            <w:shd w:fill="0F172A"/>
            <w:tcMar>
              <w:top w:w="100" w:type="dxa"/>
              <w:bottom w:w="100" w:type="dxa"/>
              <w:left w:w="100" w:type="dxa"/>
              <w:right w:w="100" w:type="dxa"/>
            </w:tcMar>
          </w:tcPr>
          <w:p>
            <w:r>
              <w:rPr>
                <w:b/>
                <w:color w:val="FFFFFF"/>
                <w:sz w:val="17"/>
              </w:rPr>
              <w:t>FY2025</w:t>
            </w:r>
          </w:p>
        </w:tc>
        <w:tc>
          <w:tcPr>
            <w:tcW w:type="dxa" w:w="1337"/>
            <w:shd w:fill="0F172A"/>
            <w:tcMar>
              <w:top w:w="100" w:type="dxa"/>
              <w:bottom w:w="100" w:type="dxa"/>
              <w:left w:w="100" w:type="dxa"/>
              <w:right w:w="100" w:type="dxa"/>
            </w:tcMar>
          </w:tcPr>
          <w:p>
            <w:r>
              <w:rPr>
                <w:b/>
                <w:color w:val="FFFFFF"/>
                <w:sz w:val="17"/>
              </w:rPr>
              <w:t>H1 2026</w:t>
            </w:r>
          </w:p>
        </w:tc>
      </w:tr>
      <w:tr>
        <w:tc>
          <w:tcPr>
            <w:tcW w:type="dxa" w:w="1337"/>
            <w:shd w:fill="F8FAFC"/>
            <w:tcMar>
              <w:top w:w="70" w:type="dxa"/>
              <w:bottom w:w="70" w:type="dxa"/>
              <w:left w:w="90" w:type="dxa"/>
              <w:right w:w="90" w:type="dxa"/>
            </w:tcMar>
          </w:tcPr>
          <w:p>
            <w:r>
              <w:rPr>
                <w:b/>
                <w:color w:val="1E293B"/>
                <w:sz w:val="17"/>
              </w:rPr>
              <w:t>Consolidated Revenue</w:t>
            </w:r>
          </w:p>
        </w:tc>
        <w:tc>
          <w:tcPr>
            <w:tcW w:type="dxa" w:w="1337"/>
            <w:shd w:fill="F8FAFC"/>
            <w:tcMar>
              <w:top w:w="70" w:type="dxa"/>
              <w:bottom w:w="70" w:type="dxa"/>
              <w:left w:w="90" w:type="dxa"/>
              <w:right w:w="90" w:type="dxa"/>
            </w:tcMar>
          </w:tcPr>
          <w:p>
            <w:r>
              <w:rPr>
                <w:color w:val="1E293B"/>
                <w:sz w:val="17"/>
              </w:rPr>
              <w:t>15,350</w:t>
            </w:r>
          </w:p>
        </w:tc>
        <w:tc>
          <w:tcPr>
            <w:tcW w:type="dxa" w:w="1337"/>
            <w:shd w:fill="F8FAFC"/>
            <w:tcMar>
              <w:top w:w="70" w:type="dxa"/>
              <w:bottom w:w="70" w:type="dxa"/>
              <w:left w:w="90" w:type="dxa"/>
              <w:right w:w="90" w:type="dxa"/>
            </w:tcMar>
          </w:tcPr>
          <w:p>
            <w:r>
              <w:rPr>
                <w:color w:val="1E293B"/>
                <w:sz w:val="17"/>
              </w:rPr>
              <w:t>19,870</w:t>
            </w:r>
          </w:p>
        </w:tc>
        <w:tc>
          <w:tcPr>
            <w:tcW w:type="dxa" w:w="1337"/>
            <w:shd w:fill="F8FAFC"/>
            <w:tcMar>
              <w:top w:w="70" w:type="dxa"/>
              <w:bottom w:w="70" w:type="dxa"/>
              <w:left w:w="90" w:type="dxa"/>
              <w:right w:w="90" w:type="dxa"/>
            </w:tcMar>
          </w:tcPr>
          <w:p>
            <w:r>
              <w:rPr>
                <w:color w:val="1E293B"/>
                <w:sz w:val="17"/>
              </w:rPr>
              <w:t>28,430</w:t>
            </w:r>
          </w:p>
        </w:tc>
        <w:tc>
          <w:tcPr>
            <w:tcW w:type="dxa" w:w="1337"/>
            <w:shd w:fill="F8FAFC"/>
            <w:tcMar>
              <w:top w:w="70" w:type="dxa"/>
              <w:bottom w:w="70" w:type="dxa"/>
              <w:left w:w="90" w:type="dxa"/>
              <w:right w:w="90" w:type="dxa"/>
            </w:tcMar>
          </w:tcPr>
          <w:p>
            <w:r>
              <w:rPr>
                <w:color w:val="1E293B"/>
                <w:sz w:val="17"/>
              </w:rPr>
              <w:t>42,700</w:t>
            </w:r>
          </w:p>
        </w:tc>
        <w:tc>
          <w:tcPr>
            <w:tcW w:type="dxa" w:w="1337"/>
            <w:shd w:fill="F8FAFC"/>
            <w:tcMar>
              <w:top w:w="70" w:type="dxa"/>
              <w:bottom w:w="70" w:type="dxa"/>
              <w:left w:w="90" w:type="dxa"/>
              <w:right w:w="90" w:type="dxa"/>
            </w:tcMar>
          </w:tcPr>
          <w:p>
            <w:r>
              <w:rPr>
                <w:color w:val="1E293B"/>
                <w:sz w:val="17"/>
              </w:rPr>
              <w:t>62,500</w:t>
            </w:r>
          </w:p>
        </w:tc>
        <w:tc>
          <w:tcPr>
            <w:tcW w:type="dxa" w:w="1337"/>
            <w:shd w:fill="F8FAFC"/>
            <w:tcMar>
              <w:top w:w="70" w:type="dxa"/>
              <w:bottom w:w="70" w:type="dxa"/>
              <w:left w:w="90" w:type="dxa"/>
              <w:right w:w="90" w:type="dxa"/>
            </w:tcMar>
          </w:tcPr>
          <w:p>
            <w:r>
              <w:rPr>
                <w:color w:val="1E293B"/>
                <w:sz w:val="17"/>
              </w:rPr>
              <w:t>30,190</w:t>
            </w:r>
          </w:p>
        </w:tc>
      </w:tr>
      <w:tr>
        <w:tc>
          <w:tcPr>
            <w:tcW w:type="dxa" w:w="1337"/>
            <w:shd w:fill="FFFFFF"/>
            <w:tcMar>
              <w:top w:w="70" w:type="dxa"/>
              <w:bottom w:w="70" w:type="dxa"/>
              <w:left w:w="90" w:type="dxa"/>
              <w:right w:w="90" w:type="dxa"/>
            </w:tcMar>
          </w:tcPr>
          <w:p>
            <w:r>
              <w:rPr>
                <w:b/>
                <w:color w:val="1E293B"/>
                <w:sz w:val="17"/>
              </w:rPr>
              <w:t>Gross Operating Profit</w:t>
            </w:r>
          </w:p>
        </w:tc>
        <w:tc>
          <w:tcPr>
            <w:tcW w:type="dxa" w:w="1337"/>
            <w:shd w:fill="FFFFFF"/>
            <w:tcMar>
              <w:top w:w="70" w:type="dxa"/>
              <w:bottom w:w="70" w:type="dxa"/>
              <w:left w:w="90" w:type="dxa"/>
              <w:right w:w="90" w:type="dxa"/>
            </w:tcMar>
          </w:tcPr>
          <w:p>
            <w:r>
              <w:rPr>
                <w:color w:val="1E293B"/>
                <w:sz w:val="17"/>
              </w:rPr>
              <w:t>4,820</w:t>
            </w:r>
          </w:p>
        </w:tc>
        <w:tc>
          <w:tcPr>
            <w:tcW w:type="dxa" w:w="1337"/>
            <w:shd w:fill="FFFFFF"/>
            <w:tcMar>
              <w:top w:w="70" w:type="dxa"/>
              <w:bottom w:w="70" w:type="dxa"/>
              <w:left w:w="90" w:type="dxa"/>
              <w:right w:w="90" w:type="dxa"/>
            </w:tcMar>
          </w:tcPr>
          <w:p>
            <w:r>
              <w:rPr>
                <w:color w:val="1E293B"/>
                <w:sz w:val="17"/>
              </w:rPr>
              <w:t>6,150</w:t>
            </w:r>
          </w:p>
        </w:tc>
        <w:tc>
          <w:tcPr>
            <w:tcW w:type="dxa" w:w="1337"/>
            <w:shd w:fill="FFFFFF"/>
            <w:tcMar>
              <w:top w:w="70" w:type="dxa"/>
              <w:bottom w:w="70" w:type="dxa"/>
              <w:left w:w="90" w:type="dxa"/>
              <w:right w:w="90" w:type="dxa"/>
            </w:tcMar>
          </w:tcPr>
          <w:p>
            <w:r>
              <w:rPr>
                <w:color w:val="1E293B"/>
                <w:sz w:val="17"/>
              </w:rPr>
              <w:t>9,220</w:t>
            </w:r>
          </w:p>
        </w:tc>
        <w:tc>
          <w:tcPr>
            <w:tcW w:type="dxa" w:w="1337"/>
            <w:shd w:fill="FFFFFF"/>
            <w:tcMar>
              <w:top w:w="70" w:type="dxa"/>
              <w:bottom w:w="70" w:type="dxa"/>
              <w:left w:w="90" w:type="dxa"/>
              <w:right w:w="90" w:type="dxa"/>
            </w:tcMar>
          </w:tcPr>
          <w:p>
            <w:r>
              <w:rPr>
                <w:color w:val="1E293B"/>
                <w:sz w:val="17"/>
              </w:rPr>
              <w:t>15,800</w:t>
            </w:r>
          </w:p>
        </w:tc>
        <w:tc>
          <w:tcPr>
            <w:tcW w:type="dxa" w:w="1337"/>
            <w:shd w:fill="FFFFFF"/>
            <w:tcMar>
              <w:top w:w="70" w:type="dxa"/>
              <w:bottom w:w="70" w:type="dxa"/>
              <w:left w:w="90" w:type="dxa"/>
              <w:right w:w="90" w:type="dxa"/>
            </w:tcMar>
          </w:tcPr>
          <w:p>
            <w:r>
              <w:rPr>
                <w:color w:val="1E293B"/>
                <w:sz w:val="17"/>
              </w:rPr>
              <w:t>24,100</w:t>
            </w:r>
          </w:p>
        </w:tc>
        <w:tc>
          <w:tcPr>
            <w:tcW w:type="dxa" w:w="1337"/>
            <w:shd w:fill="FFFFFF"/>
            <w:tcMar>
              <w:top w:w="70" w:type="dxa"/>
              <w:bottom w:w="70" w:type="dxa"/>
              <w:left w:w="90" w:type="dxa"/>
              <w:right w:w="90" w:type="dxa"/>
            </w:tcMar>
          </w:tcPr>
          <w:p>
            <w:r>
              <w:rPr>
                <w:color w:val="1E293B"/>
                <w:sz w:val="17"/>
              </w:rPr>
              <w:t>12,450</w:t>
            </w:r>
          </w:p>
        </w:tc>
      </w:tr>
      <w:tr>
        <w:tc>
          <w:tcPr>
            <w:tcW w:type="dxa" w:w="1337"/>
            <w:shd w:fill="F8FAFC"/>
            <w:tcMar>
              <w:top w:w="70" w:type="dxa"/>
              <w:bottom w:w="70" w:type="dxa"/>
              <w:left w:w="90" w:type="dxa"/>
              <w:right w:w="90" w:type="dxa"/>
            </w:tcMar>
          </w:tcPr>
          <w:p>
            <w:r>
              <w:rPr>
                <w:b/>
                <w:color w:val="1E293B"/>
                <w:sz w:val="17"/>
              </w:rPr>
              <w:t>Consolidated Net Profit</w:t>
            </w:r>
          </w:p>
        </w:tc>
        <w:tc>
          <w:tcPr>
            <w:tcW w:type="dxa" w:w="1337"/>
            <w:shd w:fill="F8FAFC"/>
            <w:tcMar>
              <w:top w:w="70" w:type="dxa"/>
              <w:bottom w:w="70" w:type="dxa"/>
              <w:left w:w="90" w:type="dxa"/>
              <w:right w:w="90" w:type="dxa"/>
            </w:tcMar>
          </w:tcPr>
          <w:p>
            <w:r>
              <w:rPr>
                <w:color w:val="1E293B"/>
                <w:sz w:val="17"/>
              </w:rPr>
              <w:t>1,780</w:t>
            </w:r>
          </w:p>
        </w:tc>
        <w:tc>
          <w:tcPr>
            <w:tcW w:type="dxa" w:w="1337"/>
            <w:shd w:fill="F8FAFC"/>
            <w:tcMar>
              <w:top w:w="70" w:type="dxa"/>
              <w:bottom w:w="70" w:type="dxa"/>
              <w:left w:w="90" w:type="dxa"/>
              <w:right w:w="90" w:type="dxa"/>
            </w:tcMar>
          </w:tcPr>
          <w:p>
            <w:r>
              <w:rPr>
                <w:color w:val="1E293B"/>
                <w:sz w:val="17"/>
              </w:rPr>
              <w:t>2,230</w:t>
            </w:r>
          </w:p>
        </w:tc>
        <w:tc>
          <w:tcPr>
            <w:tcW w:type="dxa" w:w="1337"/>
            <w:shd w:fill="F8FAFC"/>
            <w:tcMar>
              <w:top w:w="70" w:type="dxa"/>
              <w:bottom w:w="70" w:type="dxa"/>
              <w:left w:w="90" w:type="dxa"/>
              <w:right w:w="90" w:type="dxa"/>
            </w:tcMar>
          </w:tcPr>
          <w:p>
            <w:r>
              <w:rPr>
                <w:color w:val="1E293B"/>
                <w:sz w:val="17"/>
              </w:rPr>
              <w:t>3,310</w:t>
            </w:r>
          </w:p>
        </w:tc>
        <w:tc>
          <w:tcPr>
            <w:tcW w:type="dxa" w:w="1337"/>
            <w:shd w:fill="F8FAFC"/>
            <w:tcMar>
              <w:top w:w="70" w:type="dxa"/>
              <w:bottom w:w="70" w:type="dxa"/>
              <w:left w:w="90" w:type="dxa"/>
              <w:right w:w="90" w:type="dxa"/>
            </w:tcMar>
          </w:tcPr>
          <w:p>
            <w:r>
              <w:rPr>
                <w:color w:val="1E293B"/>
                <w:sz w:val="17"/>
              </w:rPr>
              <w:t>12,800</w:t>
            </w:r>
          </w:p>
        </w:tc>
        <w:tc>
          <w:tcPr>
            <w:tcW w:type="dxa" w:w="1337"/>
            <w:shd w:fill="F8FAFC"/>
            <w:tcMar>
              <w:top w:w="70" w:type="dxa"/>
              <w:bottom w:w="70" w:type="dxa"/>
              <w:left w:w="90" w:type="dxa"/>
              <w:right w:w="90" w:type="dxa"/>
            </w:tcMar>
          </w:tcPr>
          <w:p>
            <w:r>
              <w:rPr>
                <w:color w:val="1E293B"/>
                <w:sz w:val="17"/>
              </w:rPr>
              <w:t>18,200</w:t>
            </w:r>
          </w:p>
        </w:tc>
        <w:tc>
          <w:tcPr>
            <w:tcW w:type="dxa" w:w="1337"/>
            <w:shd w:fill="F8FAFC"/>
            <w:tcMar>
              <w:top w:w="70" w:type="dxa"/>
              <w:bottom w:w="70" w:type="dxa"/>
              <w:left w:w="90" w:type="dxa"/>
              <w:right w:w="90" w:type="dxa"/>
            </w:tcMar>
          </w:tcPr>
          <w:p>
            <w:r>
              <w:rPr>
                <w:color w:val="1E293B"/>
                <w:sz w:val="17"/>
              </w:rPr>
              <w:t>9,950</w:t>
            </w:r>
          </w:p>
        </w:tc>
      </w:tr>
      <w:tr>
        <w:tc>
          <w:tcPr>
            <w:tcW w:type="dxa" w:w="1337"/>
            <w:shd w:fill="FFFFFF"/>
            <w:tcMar>
              <w:top w:w="70" w:type="dxa"/>
              <w:bottom w:w="70" w:type="dxa"/>
              <w:left w:w="90" w:type="dxa"/>
              <w:right w:w="90" w:type="dxa"/>
            </w:tcMar>
          </w:tcPr>
          <w:p>
            <w:r>
              <w:rPr>
                <w:b/>
                <w:color w:val="1E293B"/>
                <w:sz w:val="17"/>
              </w:rPr>
              <w:t>Cash &amp; Bank Balances</w:t>
            </w:r>
          </w:p>
        </w:tc>
        <w:tc>
          <w:tcPr>
            <w:tcW w:type="dxa" w:w="1337"/>
            <w:shd w:fill="FFFFFF"/>
            <w:tcMar>
              <w:top w:w="70" w:type="dxa"/>
              <w:bottom w:w="70" w:type="dxa"/>
              <w:left w:w="90" w:type="dxa"/>
              <w:right w:w="90" w:type="dxa"/>
            </w:tcMar>
          </w:tcPr>
          <w:p>
            <w:r>
              <w:rPr>
                <w:color w:val="1E293B"/>
                <w:sz w:val="17"/>
              </w:rPr>
              <w:t>7,450</w:t>
            </w:r>
          </w:p>
        </w:tc>
        <w:tc>
          <w:tcPr>
            <w:tcW w:type="dxa" w:w="1337"/>
            <w:shd w:fill="FFFFFF"/>
            <w:tcMar>
              <w:top w:w="70" w:type="dxa"/>
              <w:bottom w:w="70" w:type="dxa"/>
              <w:left w:w="90" w:type="dxa"/>
              <w:right w:w="90" w:type="dxa"/>
            </w:tcMar>
          </w:tcPr>
          <w:p>
            <w:r>
              <w:rPr>
                <w:color w:val="1E293B"/>
                <w:sz w:val="17"/>
              </w:rPr>
              <w:t>9,820</w:t>
            </w:r>
          </w:p>
        </w:tc>
        <w:tc>
          <w:tcPr>
            <w:tcW w:type="dxa" w:w="1337"/>
            <w:shd w:fill="FFFFFF"/>
            <w:tcMar>
              <w:top w:w="70" w:type="dxa"/>
              <w:bottom w:w="70" w:type="dxa"/>
              <w:left w:w="90" w:type="dxa"/>
              <w:right w:w="90" w:type="dxa"/>
            </w:tcMar>
          </w:tcPr>
          <w:p>
            <w:r>
              <w:rPr>
                <w:color w:val="1E293B"/>
                <w:sz w:val="17"/>
              </w:rPr>
              <w:t>15,300</w:t>
            </w:r>
          </w:p>
        </w:tc>
        <w:tc>
          <w:tcPr>
            <w:tcW w:type="dxa" w:w="1337"/>
            <w:shd w:fill="FFFFFF"/>
            <w:tcMar>
              <w:top w:w="70" w:type="dxa"/>
              <w:bottom w:w="70" w:type="dxa"/>
              <w:left w:w="90" w:type="dxa"/>
              <w:right w:w="90" w:type="dxa"/>
            </w:tcMar>
          </w:tcPr>
          <w:p>
            <w:r>
              <w:rPr>
                <w:color w:val="1E293B"/>
                <w:sz w:val="17"/>
              </w:rPr>
              <w:t>32,400</w:t>
            </w:r>
          </w:p>
        </w:tc>
        <w:tc>
          <w:tcPr>
            <w:tcW w:type="dxa" w:w="1337"/>
            <w:shd w:fill="FFFFFF"/>
            <w:tcMar>
              <w:top w:w="70" w:type="dxa"/>
              <w:bottom w:w="70" w:type="dxa"/>
              <w:left w:w="90" w:type="dxa"/>
              <w:right w:w="90" w:type="dxa"/>
            </w:tcMar>
          </w:tcPr>
          <w:p>
            <w:r>
              <w:rPr>
                <w:color w:val="1E293B"/>
                <w:sz w:val="17"/>
              </w:rPr>
              <w:t>43,800</w:t>
            </w:r>
          </w:p>
        </w:tc>
        <w:tc>
          <w:tcPr>
            <w:tcW w:type="dxa" w:w="1337"/>
            <w:shd w:fill="FFFFFF"/>
            <w:tcMar>
              <w:top w:w="70" w:type="dxa"/>
              <w:bottom w:w="70" w:type="dxa"/>
              <w:left w:w="90" w:type="dxa"/>
              <w:right w:w="90" w:type="dxa"/>
            </w:tcMar>
          </w:tcPr>
          <w:p>
            <w:r>
              <w:rPr>
                <w:color w:val="1E293B"/>
                <w:sz w:val="17"/>
              </w:rPr>
              <w:t>47,100</w:t>
            </w:r>
          </w:p>
        </w:tc>
      </w:tr>
      <w:tr>
        <w:tc>
          <w:tcPr>
            <w:tcW w:type="dxa" w:w="1337"/>
            <w:shd w:fill="F8FAFC"/>
            <w:tcMar>
              <w:top w:w="70" w:type="dxa"/>
              <w:bottom w:w="70" w:type="dxa"/>
              <w:left w:w="90" w:type="dxa"/>
              <w:right w:w="90" w:type="dxa"/>
            </w:tcMar>
          </w:tcPr>
          <w:p>
            <w:r>
              <w:rPr>
                <w:b/>
                <w:color w:val="1E293B"/>
                <w:sz w:val="17"/>
              </w:rPr>
              <w:t>Bank Borrowings (Direct)</w:t>
            </w:r>
          </w:p>
        </w:tc>
        <w:tc>
          <w:tcPr>
            <w:tcW w:type="dxa" w:w="1337"/>
            <w:shd w:fill="F8FAFC"/>
            <w:tcMar>
              <w:top w:w="70" w:type="dxa"/>
              <w:bottom w:w="70" w:type="dxa"/>
              <w:left w:w="90" w:type="dxa"/>
              <w:right w:w="90" w:type="dxa"/>
            </w:tcMar>
          </w:tcPr>
          <w:p>
            <w:r>
              <w:rPr>
                <w:color w:val="1E293B"/>
                <w:sz w:val="17"/>
              </w:rPr>
              <w:t>6,120</w:t>
            </w:r>
          </w:p>
        </w:tc>
        <w:tc>
          <w:tcPr>
            <w:tcW w:type="dxa" w:w="1337"/>
            <w:shd w:fill="F8FAFC"/>
            <w:tcMar>
              <w:top w:w="70" w:type="dxa"/>
              <w:bottom w:w="70" w:type="dxa"/>
              <w:left w:w="90" w:type="dxa"/>
              <w:right w:w="90" w:type="dxa"/>
            </w:tcMar>
          </w:tcPr>
          <w:p>
            <w:r>
              <w:rPr>
                <w:color w:val="1E293B"/>
                <w:sz w:val="17"/>
              </w:rPr>
              <w:t>7,350</w:t>
            </w:r>
          </w:p>
        </w:tc>
        <w:tc>
          <w:tcPr>
            <w:tcW w:type="dxa" w:w="1337"/>
            <w:shd w:fill="F8FAFC"/>
            <w:tcMar>
              <w:top w:w="70" w:type="dxa"/>
              <w:bottom w:w="70" w:type="dxa"/>
              <w:left w:w="90" w:type="dxa"/>
              <w:right w:w="90" w:type="dxa"/>
            </w:tcMar>
          </w:tcPr>
          <w:p>
            <w:r>
              <w:rPr>
                <w:color w:val="1E293B"/>
                <w:sz w:val="17"/>
              </w:rPr>
              <w:t>9,400</w:t>
            </w:r>
          </w:p>
        </w:tc>
        <w:tc>
          <w:tcPr>
            <w:tcW w:type="dxa" w:w="1337"/>
            <w:shd w:fill="F8FAFC"/>
            <w:tcMar>
              <w:top w:w="70" w:type="dxa"/>
              <w:bottom w:w="70" w:type="dxa"/>
              <w:left w:w="90" w:type="dxa"/>
              <w:right w:w="90" w:type="dxa"/>
            </w:tcMar>
          </w:tcPr>
          <w:p>
            <w:r>
              <w:rPr>
                <w:color w:val="1E293B"/>
                <w:sz w:val="17"/>
              </w:rPr>
              <w:t>11,800</w:t>
            </w:r>
          </w:p>
        </w:tc>
        <w:tc>
          <w:tcPr>
            <w:tcW w:type="dxa" w:w="1337"/>
            <w:shd w:fill="F8FAFC"/>
            <w:tcMar>
              <w:top w:w="70" w:type="dxa"/>
              <w:bottom w:w="70" w:type="dxa"/>
              <w:left w:w="90" w:type="dxa"/>
              <w:right w:w="90" w:type="dxa"/>
            </w:tcMar>
          </w:tcPr>
          <w:p>
            <w:r>
              <w:rPr>
                <w:color w:val="1E293B"/>
                <w:sz w:val="17"/>
              </w:rPr>
              <w:t>16,500</w:t>
            </w:r>
          </w:p>
        </w:tc>
        <w:tc>
          <w:tcPr>
            <w:tcW w:type="dxa" w:w="1337"/>
            <w:shd w:fill="F8FAFC"/>
            <w:tcMar>
              <w:top w:w="70" w:type="dxa"/>
              <w:bottom w:w="70" w:type="dxa"/>
              <w:left w:w="90" w:type="dxa"/>
              <w:right w:w="90" w:type="dxa"/>
            </w:tcMar>
          </w:tcPr>
          <w:p>
            <w:r>
              <w:rPr>
                <w:color w:val="1E293B"/>
                <w:sz w:val="17"/>
              </w:rPr>
              <w:t>16,200</w:t>
            </w:r>
          </w:p>
        </w:tc>
      </w:tr>
      <w:tr>
        <w:tc>
          <w:tcPr>
            <w:tcW w:type="dxa" w:w="1337"/>
            <w:shd w:fill="FFFFFF"/>
            <w:tcMar>
              <w:top w:w="70" w:type="dxa"/>
              <w:bottom w:w="70" w:type="dxa"/>
              <w:left w:w="90" w:type="dxa"/>
              <w:right w:w="90" w:type="dxa"/>
            </w:tcMar>
          </w:tcPr>
          <w:p>
            <w:r>
              <w:rPr>
                <w:b/>
                <w:color w:val="1E293B"/>
                <w:sz w:val="17"/>
              </w:rPr>
              <w:t>Creditors &amp; Notes Payable</w:t>
            </w:r>
          </w:p>
        </w:tc>
        <w:tc>
          <w:tcPr>
            <w:tcW w:type="dxa" w:w="1337"/>
            <w:shd w:fill="FFFFFF"/>
            <w:tcMar>
              <w:top w:w="70" w:type="dxa"/>
              <w:bottom w:w="70" w:type="dxa"/>
              <w:left w:w="90" w:type="dxa"/>
              <w:right w:w="90" w:type="dxa"/>
            </w:tcMar>
          </w:tcPr>
          <w:p>
            <w:r>
              <w:rPr>
                <w:color w:val="1E293B"/>
                <w:sz w:val="17"/>
              </w:rPr>
              <w:t>5,200</w:t>
            </w:r>
          </w:p>
        </w:tc>
        <w:tc>
          <w:tcPr>
            <w:tcW w:type="dxa" w:w="1337"/>
            <w:shd w:fill="FFFFFF"/>
            <w:tcMar>
              <w:top w:w="70" w:type="dxa"/>
              <w:bottom w:w="70" w:type="dxa"/>
              <w:left w:w="90" w:type="dxa"/>
              <w:right w:w="90" w:type="dxa"/>
            </w:tcMar>
          </w:tcPr>
          <w:p>
            <w:r>
              <w:rPr>
                <w:color w:val="1E293B"/>
                <w:sz w:val="17"/>
              </w:rPr>
              <w:t>6,800</w:t>
            </w:r>
          </w:p>
        </w:tc>
        <w:tc>
          <w:tcPr>
            <w:tcW w:type="dxa" w:w="1337"/>
            <w:shd w:fill="FFFFFF"/>
            <w:tcMar>
              <w:top w:w="70" w:type="dxa"/>
              <w:bottom w:w="70" w:type="dxa"/>
              <w:left w:w="90" w:type="dxa"/>
              <w:right w:w="90" w:type="dxa"/>
            </w:tcMar>
          </w:tcPr>
          <w:p>
            <w:r>
              <w:rPr>
                <w:color w:val="1E293B"/>
                <w:sz w:val="17"/>
              </w:rPr>
              <w:t>8,900</w:t>
            </w:r>
          </w:p>
        </w:tc>
        <w:tc>
          <w:tcPr>
            <w:tcW w:type="dxa" w:w="1337"/>
            <w:shd w:fill="FFFFFF"/>
            <w:tcMar>
              <w:top w:w="70" w:type="dxa"/>
              <w:bottom w:w="70" w:type="dxa"/>
              <w:left w:w="90" w:type="dxa"/>
              <w:right w:w="90" w:type="dxa"/>
            </w:tcMar>
          </w:tcPr>
          <w:p>
            <w:r>
              <w:rPr>
                <w:color w:val="1E293B"/>
                <w:sz w:val="17"/>
              </w:rPr>
              <w:t>12,100</w:t>
            </w:r>
          </w:p>
        </w:tc>
        <w:tc>
          <w:tcPr>
            <w:tcW w:type="dxa" w:w="1337"/>
            <w:shd w:fill="FFFFFF"/>
            <w:tcMar>
              <w:top w:w="70" w:type="dxa"/>
              <w:bottom w:w="70" w:type="dxa"/>
              <w:left w:w="90" w:type="dxa"/>
              <w:right w:w="90" w:type="dxa"/>
            </w:tcMar>
          </w:tcPr>
          <w:p>
            <w:r>
              <w:rPr>
                <w:color w:val="1E293B"/>
                <w:sz w:val="17"/>
              </w:rPr>
              <w:t>15,790</w:t>
            </w:r>
          </w:p>
        </w:tc>
        <w:tc>
          <w:tcPr>
            <w:tcW w:type="dxa" w:w="1337"/>
            <w:shd w:fill="FFFFFF"/>
            <w:tcMar>
              <w:top w:w="70" w:type="dxa"/>
              <w:bottom w:w="70" w:type="dxa"/>
              <w:left w:w="90" w:type="dxa"/>
              <w:right w:w="90" w:type="dxa"/>
            </w:tcMar>
          </w:tcPr>
          <w:p>
            <w:r>
              <w:rPr>
                <w:color w:val="1E293B"/>
                <w:sz w:val="17"/>
              </w:rPr>
              <w:t>15,790</w:t>
            </w:r>
          </w:p>
        </w:tc>
      </w:tr>
    </w:tbl>
    <w:p>
      <w:pPr>
        <w:spacing w:after="160"/>
      </w:pPr>
    </w:p>
    <w:p>
      <w:pPr>
        <w:pStyle w:val="Heading2"/>
        <w:keepNext/>
        <w:spacing w:before="280" w:after="80"/>
      </w:pPr>
      <w:r>
        <w:rPr>
          <w:rFonts w:ascii="Calibri" w:hAnsi="Calibri"/>
          <w:b/>
          <w:color w:val="0284C7"/>
          <w:sz w:val="26"/>
        </w:rPr>
        <w:t>4.1 Commercial Debt Facilities &amp; Notes Payable Architecture</w:t>
      </w:r>
    </w:p>
    <w:p>
      <w:pPr>
        <w:spacing w:after="120" w:line="276" w:lineRule="auto"/>
      </w:pPr>
      <w:r>
        <w:rPr>
          <w:rFonts w:ascii="Calibri" w:hAnsi="Calibri"/>
          <w:color w:val="1E293B"/>
          <w:sz w:val="21"/>
        </w:rPr>
        <w:t>To fund simultaneous execution across mega-cities, TMG utilizes multiple off-balance sheet and structured funding mechanisms totaling over EGP 70 Billion:</w:t>
      </w:r>
    </w:p>
    <w:p>
      <w:pPr>
        <w:pStyle w:val="ListBullet"/>
        <w:spacing w:after="80" w:line="276" w:lineRule="auto"/>
      </w:pPr>
      <w:r>
        <w:rPr>
          <w:rFonts w:ascii="Calibri" w:hAnsi="Calibri"/>
          <w:b/>
          <w:color w:val="0F172A"/>
          <w:sz w:val="21"/>
        </w:rPr>
        <w:t xml:space="preserve">Trade Paper Shift (&gt;EGP 15.79B): </w:t>
      </w:r>
      <w:r>
        <w:rPr>
          <w:rFonts w:ascii="Calibri" w:hAnsi="Calibri"/>
          <w:color w:val="1E293B"/>
          <w:sz w:val="21"/>
        </w:rPr>
        <w:t>Creditors and notes payable expanded to EGP 15.79bn. By extending maturities on post-dated commercial checks (PDCs) issued to contractors to 180-270 days, TMG effectively finances work-in-progress (WIP) using trade contractor capital.</w:t>
      </w:r>
    </w:p>
    <w:p>
      <w:pPr>
        <w:pStyle w:val="ListBullet"/>
        <w:spacing w:after="80" w:line="276" w:lineRule="auto"/>
      </w:pPr>
      <w:r>
        <w:rPr>
          <w:rFonts w:ascii="Calibri" w:hAnsi="Calibri"/>
          <w:b/>
          <w:color w:val="0F172A"/>
          <w:sz w:val="21"/>
        </w:rPr>
        <w:t xml:space="preserve">Noor Project Consortium (EGP 9.0B): </w:t>
      </w:r>
      <w:r>
        <w:rPr>
          <w:rFonts w:ascii="Calibri" w:hAnsi="Calibri"/>
          <w:color w:val="1E293B"/>
          <w:sz w:val="21"/>
        </w:rPr>
        <w:t>Syndicated Islamic and conventional facility for Noor City infrastructure and initial superstructures, led by National Bank of Egypt and Banque Misr.</w:t>
      </w:r>
    </w:p>
    <w:p>
      <w:pPr>
        <w:pStyle w:val="ListBullet"/>
        <w:spacing w:after="80" w:line="276" w:lineRule="auto"/>
      </w:pPr>
      <w:r>
        <w:rPr>
          <w:rFonts w:ascii="Calibri" w:hAnsi="Calibri"/>
          <w:b/>
          <w:color w:val="0F172A"/>
          <w:sz w:val="21"/>
        </w:rPr>
        <w:t xml:space="preserve">Rawasy Asset Liquidations (EGP 11.9B): </w:t>
      </w:r>
      <w:r>
        <w:rPr>
          <w:rFonts w:ascii="Calibri" w:hAnsi="Calibri"/>
          <w:color w:val="1E293B"/>
          <w:sz w:val="21"/>
        </w:rPr>
        <w:t>Monetization and forward sale of commercial real estate assets in Madinaty and Rehab across two tranches (EGP 8.5bn and EGP 3.4bn) to Rawasy Real Estate Co. (NBE &amp; Banque Misr consortium).</w:t>
      </w:r>
    </w:p>
    <w:p>
      <w:pPr>
        <w:pStyle w:val="ListBullet"/>
        <w:spacing w:after="80" w:line="276" w:lineRule="auto"/>
      </w:pPr>
      <w:r>
        <w:rPr>
          <w:rFonts w:ascii="Calibri" w:hAnsi="Calibri"/>
          <w:b/>
          <w:color w:val="0F172A"/>
          <w:sz w:val="21"/>
        </w:rPr>
        <w:t xml:space="preserve">Four Seasons Madinaty Facility (EGP 6.76B): </w:t>
      </w:r>
      <w:r>
        <w:rPr>
          <w:rFonts w:ascii="Calibri" w:hAnsi="Calibri"/>
          <w:color w:val="1E293B"/>
          <w:sz w:val="21"/>
        </w:rPr>
        <w:t>Long-term syndicated financing agreement arranged through Abu Dhabi Islamic Bank (ADIB Egypt) to construct and fit out the Four Seasons Madinaty resort.</w:t>
      </w:r>
    </w:p>
    <w:p>
      <w:pPr>
        <w:pStyle w:val="ListBullet"/>
        <w:spacing w:after="80" w:line="276" w:lineRule="auto"/>
      </w:pPr>
      <w:r>
        <w:rPr>
          <w:rFonts w:ascii="Calibri" w:hAnsi="Calibri"/>
          <w:b/>
          <w:color w:val="0F172A"/>
          <w:sz w:val="21"/>
        </w:rPr>
        <w:t xml:space="preserve">Structured Financial Leases (EGP 44.0B): </w:t>
      </w:r>
      <w:r>
        <w:rPr>
          <w:rFonts w:ascii="Calibri" w:hAnsi="Calibri"/>
          <w:color w:val="1E293B"/>
          <w:sz w:val="21"/>
        </w:rPr>
        <w:t>Financial lease obligations exceeding EGP 44.0bn are utilized to finance equipment and superstructure assets, structured off-balance sheet to maintain bank borrowing covenants.</w:t>
      </w:r>
    </w:p>
    <w:p>
      <w:pPr>
        <w:pStyle w:val="Heading1"/>
        <w:keepNext/>
        <w:spacing w:before="360" w:after="120"/>
      </w:pPr>
      <w:r>
        <w:rPr>
          <w:rFonts w:ascii="Calibri" w:hAnsi="Calibri"/>
          <w:b/>
          <w:color w:val="0F172A"/>
          <w:sz w:val="34"/>
        </w:rPr>
        <w:t>5. Contractor Payment Practices (المستخلصات) &amp; Historical Subcontractor Disputes</w:t>
      </w:r>
    </w:p>
    <w:p>
      <w:pPr>
        <w:spacing w:after="120" w:line="276" w:lineRule="auto"/>
      </w:pPr>
      <w:r>
        <w:rPr>
          <w:rFonts w:ascii="Calibri" w:hAnsi="Calibri"/>
          <w:color w:val="1E293B"/>
          <w:sz w:val="21"/>
        </w:rPr>
        <w:t>The operational lifeblood of trade contracting revolves around the Interim Payment Certificate (*المستخلص*). Consolidated audit notes state that project construction costs are recognized strictly against approved payment certificates (*مستخلصات معتمدة*). Forensic field investigations demonstrate a multi-layered procedural bottleneck that substantially defers cash realization for subcontractors.</w:t>
      </w:r>
    </w:p>
    <w:p>
      <w:pPr>
        <w:pStyle w:val="Heading2"/>
        <w:keepNext/>
        <w:spacing w:before="280" w:after="80"/>
      </w:pPr>
      <w:r>
        <w:rPr>
          <w:rFonts w:ascii="Calibri" w:hAnsi="Calibri"/>
          <w:b/>
          <w:color w:val="0284C7"/>
          <w:sz w:val="26"/>
        </w:rPr>
        <w:t>5.1 The 7-Stage Payment Lifecycle (Contractual vs Observed Extended Delay)</w:t>
      </w:r>
    </w:p>
    <w:p>
      <w:pPr>
        <w:spacing w:after="120" w:line="276" w:lineRule="auto"/>
      </w:pPr>
      <w:r>
        <w:rPr>
          <w:rFonts w:ascii="Calibri" w:hAnsi="Calibri"/>
          <w:color w:val="1E293B"/>
          <w:sz w:val="21"/>
        </w:rPr>
        <w:t>A comparative analysis of standard FIDIC/contractual payment schedules against observed real-world timelines at Madinaty and Celia reveals severe cash-flow stretching: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0F172A"/>
            <w:tcMar>
              <w:top w:w="100" w:type="dxa"/>
              <w:bottom w:w="100" w:type="dxa"/>
              <w:left w:w="100" w:type="dxa"/>
              <w:right w:w="100" w:type="dxa"/>
            </w:tcMar>
          </w:tcPr>
          <w:p>
            <w:r>
              <w:rPr>
                <w:b/>
                <w:color w:val="FFFFFF"/>
                <w:sz w:val="18"/>
              </w:rPr>
              <w:t>Audit Stage</w:t>
            </w:r>
          </w:p>
        </w:tc>
        <w:tc>
          <w:tcPr>
            <w:tcW w:type="dxa" w:w="2340"/>
            <w:shd w:fill="0F172A"/>
            <w:tcMar>
              <w:top w:w="100" w:type="dxa"/>
              <w:bottom w:w="100" w:type="dxa"/>
              <w:left w:w="100" w:type="dxa"/>
              <w:right w:w="100" w:type="dxa"/>
            </w:tcMar>
          </w:tcPr>
          <w:p>
            <w:r>
              <w:rPr>
                <w:b/>
                <w:color w:val="FFFFFF"/>
                <w:sz w:val="18"/>
              </w:rPr>
              <w:t>Standard Timeline</w:t>
            </w:r>
          </w:p>
        </w:tc>
        <w:tc>
          <w:tcPr>
            <w:tcW w:type="dxa" w:w="2340"/>
            <w:shd w:fill="0F172A"/>
            <w:tcMar>
              <w:top w:w="100" w:type="dxa"/>
              <w:bottom w:w="100" w:type="dxa"/>
              <w:left w:w="100" w:type="dxa"/>
              <w:right w:w="100" w:type="dxa"/>
            </w:tcMar>
          </w:tcPr>
          <w:p>
            <w:r>
              <w:rPr>
                <w:b/>
                <w:color w:val="FFFFFF"/>
                <w:sz w:val="18"/>
              </w:rPr>
              <w:t>Observed Timeline</w:t>
            </w:r>
          </w:p>
        </w:tc>
        <w:tc>
          <w:tcPr>
            <w:tcW w:type="dxa" w:w="2340"/>
            <w:shd w:fill="0F172A"/>
            <w:tcMar>
              <w:top w:w="100" w:type="dxa"/>
              <w:bottom w:w="100" w:type="dxa"/>
              <w:left w:w="100" w:type="dxa"/>
              <w:right w:w="100" w:type="dxa"/>
            </w:tcMar>
          </w:tcPr>
          <w:p>
            <w:r>
              <w:rPr>
                <w:b/>
                <w:color w:val="FFFFFF"/>
                <w:sz w:val="18"/>
              </w:rPr>
              <w:t>Procedural Friction / Delay Mechanism</w:t>
            </w:r>
          </w:p>
        </w:tc>
      </w:tr>
      <w:tr>
        <w:tc>
          <w:tcPr>
            <w:tcW w:type="dxa" w:w="2340"/>
            <w:shd w:fill="F8FAFC"/>
            <w:tcMar>
              <w:top w:w="70" w:type="dxa"/>
              <w:bottom w:w="70" w:type="dxa"/>
              <w:left w:w="90" w:type="dxa"/>
              <w:right w:w="90" w:type="dxa"/>
            </w:tcMar>
          </w:tcPr>
          <w:p>
            <w:r>
              <w:rPr>
                <w:color w:val="1E293B"/>
                <w:sz w:val="17"/>
              </w:rPr>
              <w:t>1. Submittal</w:t>
            </w:r>
          </w:p>
        </w:tc>
        <w:tc>
          <w:tcPr>
            <w:tcW w:type="dxa" w:w="2340"/>
            <w:shd w:fill="F8FAFC"/>
            <w:tcMar>
              <w:top w:w="70" w:type="dxa"/>
              <w:bottom w:w="70" w:type="dxa"/>
              <w:left w:w="90" w:type="dxa"/>
              <w:right w:w="90" w:type="dxa"/>
            </w:tcMar>
          </w:tcPr>
          <w:p>
            <w:r>
              <w:rPr>
                <w:color w:val="1E293B"/>
                <w:sz w:val="17"/>
              </w:rPr>
              <w:t>Day 0</w:t>
            </w:r>
          </w:p>
        </w:tc>
        <w:tc>
          <w:tcPr>
            <w:tcW w:type="dxa" w:w="2340"/>
            <w:shd w:fill="F8FAFC"/>
            <w:tcMar>
              <w:top w:w="70" w:type="dxa"/>
              <w:bottom w:w="70" w:type="dxa"/>
              <w:left w:w="90" w:type="dxa"/>
              <w:right w:w="90" w:type="dxa"/>
            </w:tcMar>
          </w:tcPr>
          <w:p>
            <w:r>
              <w:rPr>
                <w:b/>
                <w:color w:val="DC2626"/>
                <w:sz w:val="17"/>
              </w:rPr>
              <w:t>Day 0</w:t>
            </w:r>
          </w:p>
        </w:tc>
        <w:tc>
          <w:tcPr>
            <w:tcW w:type="dxa" w:w="2340"/>
            <w:shd w:fill="F8FAFC"/>
            <w:tcMar>
              <w:top w:w="70" w:type="dxa"/>
              <w:bottom w:w="70" w:type="dxa"/>
              <w:left w:w="90" w:type="dxa"/>
              <w:right w:w="90" w:type="dxa"/>
            </w:tcMar>
          </w:tcPr>
          <w:p>
            <w:r>
              <w:rPr>
                <w:color w:val="1E293B"/>
                <w:sz w:val="17"/>
              </w:rPr>
              <w:t>Subcontractor submits measured works and inventory delivery slips</w:t>
            </w:r>
          </w:p>
        </w:tc>
      </w:tr>
      <w:tr>
        <w:tc>
          <w:tcPr>
            <w:tcW w:type="dxa" w:w="2340"/>
            <w:shd w:fill="FFFFFF"/>
            <w:tcMar>
              <w:top w:w="70" w:type="dxa"/>
              <w:bottom w:w="70" w:type="dxa"/>
              <w:left w:w="90" w:type="dxa"/>
              <w:right w:w="90" w:type="dxa"/>
            </w:tcMar>
          </w:tcPr>
          <w:p>
            <w:r>
              <w:rPr>
                <w:color w:val="1E293B"/>
                <w:sz w:val="17"/>
              </w:rPr>
              <w:t>2. Site Quantity Survey</w:t>
            </w:r>
          </w:p>
        </w:tc>
        <w:tc>
          <w:tcPr>
            <w:tcW w:type="dxa" w:w="2340"/>
            <w:shd w:fill="FFFFFF"/>
            <w:tcMar>
              <w:top w:w="70" w:type="dxa"/>
              <w:bottom w:w="70" w:type="dxa"/>
              <w:left w:w="90" w:type="dxa"/>
              <w:right w:w="90" w:type="dxa"/>
            </w:tcMar>
          </w:tcPr>
          <w:p>
            <w:r>
              <w:rPr>
                <w:color w:val="1E293B"/>
                <w:sz w:val="17"/>
              </w:rPr>
              <w:t>Day 15</w:t>
            </w:r>
          </w:p>
        </w:tc>
        <w:tc>
          <w:tcPr>
            <w:tcW w:type="dxa" w:w="2340"/>
            <w:shd w:fill="FFFFFF"/>
            <w:tcMar>
              <w:top w:w="70" w:type="dxa"/>
              <w:bottom w:w="70" w:type="dxa"/>
              <w:left w:w="90" w:type="dxa"/>
              <w:right w:w="90" w:type="dxa"/>
            </w:tcMar>
          </w:tcPr>
          <w:p>
            <w:r>
              <w:rPr>
                <w:b/>
                <w:color w:val="DC2626"/>
                <w:sz w:val="17"/>
              </w:rPr>
              <w:t>Day 25 (+10d)</w:t>
            </w:r>
          </w:p>
        </w:tc>
        <w:tc>
          <w:tcPr>
            <w:tcW w:type="dxa" w:w="2340"/>
            <w:shd w:fill="FFFFFF"/>
            <w:tcMar>
              <w:top w:w="70" w:type="dxa"/>
              <w:bottom w:w="70" w:type="dxa"/>
              <w:left w:w="90" w:type="dxa"/>
              <w:right w:w="90" w:type="dxa"/>
            </w:tcMar>
          </w:tcPr>
          <w:p>
            <w:r>
              <w:rPr>
                <w:color w:val="1E293B"/>
                <w:sz w:val="17"/>
              </w:rPr>
              <w:t>Site engineers audit physical quantities; routine markdowns on unapproved variations</w:t>
            </w:r>
          </w:p>
        </w:tc>
      </w:tr>
      <w:tr>
        <w:tc>
          <w:tcPr>
            <w:tcW w:type="dxa" w:w="2340"/>
            <w:shd w:fill="F8FAFC"/>
            <w:tcMar>
              <w:top w:w="70" w:type="dxa"/>
              <w:bottom w:w="70" w:type="dxa"/>
              <w:left w:w="90" w:type="dxa"/>
              <w:right w:w="90" w:type="dxa"/>
            </w:tcMar>
          </w:tcPr>
          <w:p>
            <w:r>
              <w:rPr>
                <w:color w:val="1E293B"/>
                <w:sz w:val="17"/>
              </w:rPr>
              <w:t>3. ACC Technical Office</w:t>
            </w:r>
          </w:p>
        </w:tc>
        <w:tc>
          <w:tcPr>
            <w:tcW w:type="dxa" w:w="2340"/>
            <w:shd w:fill="F8FAFC"/>
            <w:tcMar>
              <w:top w:w="70" w:type="dxa"/>
              <w:bottom w:w="70" w:type="dxa"/>
              <w:left w:w="90" w:type="dxa"/>
              <w:right w:w="90" w:type="dxa"/>
            </w:tcMar>
          </w:tcPr>
          <w:p>
            <w:r>
              <w:rPr>
                <w:color w:val="1E293B"/>
                <w:sz w:val="17"/>
              </w:rPr>
              <w:t>Day 30</w:t>
            </w:r>
          </w:p>
        </w:tc>
        <w:tc>
          <w:tcPr>
            <w:tcW w:type="dxa" w:w="2340"/>
            <w:shd w:fill="F8FAFC"/>
            <w:tcMar>
              <w:top w:w="70" w:type="dxa"/>
              <w:bottom w:w="70" w:type="dxa"/>
              <w:left w:w="90" w:type="dxa"/>
              <w:right w:w="90" w:type="dxa"/>
            </w:tcMar>
          </w:tcPr>
          <w:p>
            <w:r>
              <w:rPr>
                <w:b/>
                <w:color w:val="DC2626"/>
                <w:sz w:val="17"/>
              </w:rPr>
              <w:t>Day 60 (+30d)</w:t>
            </w:r>
          </w:p>
        </w:tc>
        <w:tc>
          <w:tcPr>
            <w:tcW w:type="dxa" w:w="2340"/>
            <w:shd w:fill="F8FAFC"/>
            <w:tcMar>
              <w:top w:w="70" w:type="dxa"/>
              <w:bottom w:w="70" w:type="dxa"/>
              <w:left w:w="90" w:type="dxa"/>
              <w:right w:w="90" w:type="dxa"/>
            </w:tcMar>
          </w:tcPr>
          <w:p>
            <w:r>
              <w:rPr>
                <w:color w:val="1E293B"/>
                <w:sz w:val="17"/>
              </w:rPr>
              <w:t>Central review of unit rates, deductions, penalties, and backcharges</w:t>
            </w:r>
          </w:p>
        </w:tc>
      </w:tr>
      <w:tr>
        <w:tc>
          <w:tcPr>
            <w:tcW w:type="dxa" w:w="2340"/>
            <w:shd w:fill="FFFFFF"/>
            <w:tcMar>
              <w:top w:w="70" w:type="dxa"/>
              <w:bottom w:w="70" w:type="dxa"/>
              <w:left w:w="90" w:type="dxa"/>
              <w:right w:w="90" w:type="dxa"/>
            </w:tcMar>
          </w:tcPr>
          <w:p>
            <w:r>
              <w:rPr>
                <w:color w:val="1E293B"/>
                <w:sz w:val="17"/>
              </w:rPr>
              <w:t>4. Madinaty HQ Audit</w:t>
            </w:r>
          </w:p>
        </w:tc>
        <w:tc>
          <w:tcPr>
            <w:tcW w:type="dxa" w:w="2340"/>
            <w:shd w:fill="FFFFFF"/>
            <w:tcMar>
              <w:top w:w="70" w:type="dxa"/>
              <w:bottom w:w="70" w:type="dxa"/>
              <w:left w:w="90" w:type="dxa"/>
              <w:right w:w="90" w:type="dxa"/>
            </w:tcMar>
          </w:tcPr>
          <w:p>
            <w:r>
              <w:rPr>
                <w:color w:val="1E293B"/>
                <w:sz w:val="17"/>
              </w:rPr>
              <w:t>Day 45</w:t>
            </w:r>
          </w:p>
        </w:tc>
        <w:tc>
          <w:tcPr>
            <w:tcW w:type="dxa" w:w="2340"/>
            <w:shd w:fill="FFFFFF"/>
            <w:tcMar>
              <w:top w:w="70" w:type="dxa"/>
              <w:bottom w:w="70" w:type="dxa"/>
              <w:left w:w="90" w:type="dxa"/>
              <w:right w:w="90" w:type="dxa"/>
            </w:tcMar>
          </w:tcPr>
          <w:p>
            <w:r>
              <w:rPr>
                <w:b/>
                <w:color w:val="DC2626"/>
                <w:sz w:val="17"/>
              </w:rPr>
              <w:t>Day 105 (+60d)</w:t>
            </w:r>
          </w:p>
        </w:tc>
        <w:tc>
          <w:tcPr>
            <w:tcW w:type="dxa" w:w="2340"/>
            <w:shd w:fill="FFFFFF"/>
            <w:tcMar>
              <w:top w:w="70" w:type="dxa"/>
              <w:bottom w:w="70" w:type="dxa"/>
              <w:left w:w="90" w:type="dxa"/>
              <w:right w:w="90" w:type="dxa"/>
            </w:tcMar>
          </w:tcPr>
          <w:p>
            <w:r>
              <w:rPr>
                <w:color w:val="1E293B"/>
                <w:sz w:val="17"/>
              </w:rPr>
              <w:t>Central document control verifies material receipts; administrative withholding if slips missing</w:t>
            </w:r>
          </w:p>
        </w:tc>
      </w:tr>
      <w:tr>
        <w:tc>
          <w:tcPr>
            <w:tcW w:type="dxa" w:w="2340"/>
            <w:shd w:fill="F8FAFC"/>
            <w:tcMar>
              <w:top w:w="70" w:type="dxa"/>
              <w:bottom w:w="70" w:type="dxa"/>
              <w:left w:w="90" w:type="dxa"/>
              <w:right w:w="90" w:type="dxa"/>
            </w:tcMar>
          </w:tcPr>
          <w:p>
            <w:r>
              <w:rPr>
                <w:color w:val="1E293B"/>
                <w:sz w:val="17"/>
              </w:rPr>
              <w:t>5. Certificate Approved</w:t>
            </w:r>
          </w:p>
        </w:tc>
        <w:tc>
          <w:tcPr>
            <w:tcW w:type="dxa" w:w="2340"/>
            <w:shd w:fill="F8FAFC"/>
            <w:tcMar>
              <w:top w:w="70" w:type="dxa"/>
              <w:bottom w:w="70" w:type="dxa"/>
              <w:left w:w="90" w:type="dxa"/>
              <w:right w:w="90" w:type="dxa"/>
            </w:tcMar>
          </w:tcPr>
          <w:p>
            <w:r>
              <w:rPr>
                <w:color w:val="1E293B"/>
                <w:sz w:val="17"/>
              </w:rPr>
              <w:t>Day 60</w:t>
            </w:r>
          </w:p>
        </w:tc>
        <w:tc>
          <w:tcPr>
            <w:tcW w:type="dxa" w:w="2340"/>
            <w:shd w:fill="F8FAFC"/>
            <w:tcMar>
              <w:top w:w="70" w:type="dxa"/>
              <w:bottom w:w="70" w:type="dxa"/>
              <w:left w:w="90" w:type="dxa"/>
              <w:right w:w="90" w:type="dxa"/>
            </w:tcMar>
          </w:tcPr>
          <w:p>
            <w:r>
              <w:rPr>
                <w:b/>
                <w:color w:val="DC2626"/>
                <w:sz w:val="17"/>
              </w:rPr>
              <w:t>Day 135 (+75d)</w:t>
            </w:r>
          </w:p>
        </w:tc>
        <w:tc>
          <w:tcPr>
            <w:tcW w:type="dxa" w:w="2340"/>
            <w:shd w:fill="F8FAFC"/>
            <w:tcMar>
              <w:top w:w="70" w:type="dxa"/>
              <w:bottom w:w="70" w:type="dxa"/>
              <w:left w:w="90" w:type="dxa"/>
              <w:right w:w="90" w:type="dxa"/>
            </w:tcMar>
          </w:tcPr>
          <w:p>
            <w:r>
              <w:rPr>
                <w:color w:val="1E293B"/>
                <w:sz w:val="17"/>
              </w:rPr>
              <w:t>Final executive signoff on certified net amount payable</w:t>
            </w:r>
          </w:p>
        </w:tc>
      </w:tr>
      <w:tr>
        <w:tc>
          <w:tcPr>
            <w:tcW w:type="dxa" w:w="2340"/>
            <w:shd w:fill="FFFFFF"/>
            <w:tcMar>
              <w:top w:w="70" w:type="dxa"/>
              <w:bottom w:w="70" w:type="dxa"/>
              <w:left w:w="90" w:type="dxa"/>
              <w:right w:w="90" w:type="dxa"/>
            </w:tcMar>
          </w:tcPr>
          <w:p>
            <w:r>
              <w:rPr>
                <w:color w:val="1E293B"/>
                <w:sz w:val="17"/>
              </w:rPr>
              <w:t>6. Commercial Note Issued</w:t>
            </w:r>
          </w:p>
        </w:tc>
        <w:tc>
          <w:tcPr>
            <w:tcW w:type="dxa" w:w="2340"/>
            <w:shd w:fill="FFFFFF"/>
            <w:tcMar>
              <w:top w:w="70" w:type="dxa"/>
              <w:bottom w:w="70" w:type="dxa"/>
              <w:left w:w="90" w:type="dxa"/>
              <w:right w:w="90" w:type="dxa"/>
            </w:tcMar>
          </w:tcPr>
          <w:p>
            <w:r>
              <w:rPr>
                <w:color w:val="1E293B"/>
                <w:sz w:val="17"/>
              </w:rPr>
              <w:t>Day 75</w:t>
            </w:r>
          </w:p>
        </w:tc>
        <w:tc>
          <w:tcPr>
            <w:tcW w:type="dxa" w:w="2340"/>
            <w:shd w:fill="FFFFFF"/>
            <w:tcMar>
              <w:top w:w="70" w:type="dxa"/>
              <w:bottom w:w="70" w:type="dxa"/>
              <w:left w:w="90" w:type="dxa"/>
              <w:right w:w="90" w:type="dxa"/>
            </w:tcMar>
          </w:tcPr>
          <w:p>
            <w:r>
              <w:rPr>
                <w:b/>
                <w:color w:val="DC2626"/>
                <w:sz w:val="17"/>
              </w:rPr>
              <w:t>Day 180 (+105d)</w:t>
            </w:r>
          </w:p>
        </w:tc>
        <w:tc>
          <w:tcPr>
            <w:tcW w:type="dxa" w:w="2340"/>
            <w:shd w:fill="FFFFFF"/>
            <w:tcMar>
              <w:top w:w="70" w:type="dxa"/>
              <w:bottom w:w="70" w:type="dxa"/>
              <w:left w:w="90" w:type="dxa"/>
              <w:right w:w="90" w:type="dxa"/>
            </w:tcMar>
          </w:tcPr>
          <w:p>
            <w:r>
              <w:rPr>
                <w:color w:val="1E293B"/>
                <w:sz w:val="17"/>
              </w:rPr>
              <w:t>Issuance of post-dated commercial check (PDC) maturing in 90-180 days</w:t>
            </w:r>
          </w:p>
        </w:tc>
      </w:tr>
      <w:tr>
        <w:tc>
          <w:tcPr>
            <w:tcW w:type="dxa" w:w="2340"/>
            <w:shd w:fill="F8FAFC"/>
            <w:tcMar>
              <w:top w:w="70" w:type="dxa"/>
              <w:bottom w:w="70" w:type="dxa"/>
              <w:left w:w="90" w:type="dxa"/>
              <w:right w:w="90" w:type="dxa"/>
            </w:tcMar>
          </w:tcPr>
          <w:p>
            <w:r>
              <w:rPr>
                <w:color w:val="1E293B"/>
                <w:sz w:val="17"/>
              </w:rPr>
              <w:t>7. Cash Bank Clearance</w:t>
            </w:r>
          </w:p>
        </w:tc>
        <w:tc>
          <w:tcPr>
            <w:tcW w:type="dxa" w:w="2340"/>
            <w:shd w:fill="F8FAFC"/>
            <w:tcMar>
              <w:top w:w="70" w:type="dxa"/>
              <w:bottom w:w="70" w:type="dxa"/>
              <w:left w:w="90" w:type="dxa"/>
              <w:right w:w="90" w:type="dxa"/>
            </w:tcMar>
          </w:tcPr>
          <w:p>
            <w:r>
              <w:rPr>
                <w:color w:val="1E293B"/>
                <w:sz w:val="17"/>
              </w:rPr>
              <w:t>Day 90</w:t>
            </w:r>
          </w:p>
        </w:tc>
        <w:tc>
          <w:tcPr>
            <w:tcW w:type="dxa" w:w="2340"/>
            <w:shd w:fill="F8FAFC"/>
            <w:tcMar>
              <w:top w:w="70" w:type="dxa"/>
              <w:bottom w:w="70" w:type="dxa"/>
              <w:left w:w="90" w:type="dxa"/>
              <w:right w:w="90" w:type="dxa"/>
            </w:tcMar>
          </w:tcPr>
          <w:p>
            <w:r>
              <w:rPr>
                <w:b/>
                <w:color w:val="DC2626"/>
                <w:sz w:val="17"/>
              </w:rPr>
              <w:t>Day 270 (+180d)</w:t>
            </w:r>
          </w:p>
        </w:tc>
        <w:tc>
          <w:tcPr>
            <w:tcW w:type="dxa" w:w="2340"/>
            <w:shd w:fill="F8FAFC"/>
            <w:tcMar>
              <w:top w:w="70" w:type="dxa"/>
              <w:bottom w:w="70" w:type="dxa"/>
              <w:left w:w="90" w:type="dxa"/>
              <w:right w:w="90" w:type="dxa"/>
            </w:tcMar>
          </w:tcPr>
          <w:p>
            <w:r>
              <w:rPr>
                <w:color w:val="1E293B"/>
                <w:sz w:val="17"/>
              </w:rPr>
              <w:t>Final clearing of funds in subcontractor commercial account</w:t>
            </w:r>
          </w:p>
        </w:tc>
      </w:tr>
    </w:tbl>
    <w:p>
      <w:pPr>
        <w:spacing w:after="160"/>
      </w:pPr>
    </w:p>
    <w:p>
      <w:pPr>
        <w:pStyle w:val="Heading2"/>
        <w:keepNext/>
        <w:spacing w:before="280" w:after="80"/>
      </w:pPr>
      <w:r>
        <w:rPr>
          <w:rFonts w:ascii="Calibri" w:hAnsi="Calibri"/>
          <w:b/>
          <w:color w:val="0284C7"/>
          <w:sz w:val="26"/>
        </w:rPr>
        <w:t>5.2 The 2008 Madinaty Subcontractor Payment Dispute (Al-Masry Al-Youm)</w:t>
      </w:r>
    </w:p>
    <w:p>
      <w:pPr>
        <w:spacing w:after="120" w:line="276" w:lineRule="auto"/>
      </w:pPr>
      <w:r>
        <w:rPr>
          <w:rFonts w:ascii="Calibri" w:hAnsi="Calibri"/>
          <w:color w:val="1E293B"/>
          <w:sz w:val="21"/>
        </w:rPr>
        <w:t>The most critical documented case of a trade subcontractor pursuing unpaid financial dues occurred on 13 October 2008, following the arrest of Hisham Talaat Moustafa. The independent Egyptian daily *Al-Masry Al-Youm* published an extensive investigative report documenting the incident:</w:t>
      </w:r>
    </w:p>
    <w:p>
      <w:pPr>
        <w:pStyle w:val="ListBullet"/>
        <w:spacing w:after="80" w:line="276" w:lineRule="auto"/>
      </w:pPr>
      <w:r>
        <w:rPr>
          <w:rFonts w:ascii="Calibri" w:hAnsi="Calibri"/>
          <w:b/>
          <w:color w:val="0F172A"/>
          <w:sz w:val="21"/>
        </w:rPr>
        <w:t xml:space="preserve">The Subcontractor Filing: </w:t>
      </w:r>
      <w:r>
        <w:rPr>
          <w:rFonts w:ascii="Calibri" w:hAnsi="Calibri"/>
          <w:color w:val="1E293B"/>
          <w:sz w:val="21"/>
        </w:rPr>
        <w:t>A subcontractor named Shehata Mohamed Hassan filed an official complaint with the Egyptian Prosecutor General (النائب العام) against Hisham Talaat Moustafa and the Madinaty Project Site Director. The contractor formally accused Alexandria Construction Company (ACC) of withholding his certified progress payments, which prevented him from paying wages to his on-site workforce. He also lodged a formal complaint with the Contracting Division of the Chamber of Commerce.</w:t>
      </w:r>
    </w:p>
    <w:p>
      <w:pPr>
        <w:pStyle w:val="ListBullet"/>
        <w:spacing w:after="80" w:line="276" w:lineRule="auto"/>
      </w:pPr>
      <w:r>
        <w:rPr>
          <w:rFonts w:ascii="Calibri" w:hAnsi="Calibri"/>
          <w:b/>
          <w:color w:val="0F172A"/>
          <w:sz w:val="21"/>
        </w:rPr>
        <w:t xml:space="preserve">The Corporate Admission: </w:t>
      </w:r>
      <w:r>
        <w:rPr>
          <w:rFonts w:ascii="Calibri" w:hAnsi="Calibri"/>
          <w:color w:val="1E293B"/>
          <w:sz w:val="21"/>
        </w:rPr>
        <w:t>Crucially, Al-Masry Al-Youm published a follow-up investigation citing Ibrahim Hasabo, Director of Alexandria Construction Company (ACC). Hasabo formally admitted on record that delaying progress payment disbursement was deliberate ('تأخير الصرف كان مقصوداً') to prevent workers and subcontractors from abandoning the project site following the crisis surrounding HTM's arrest, adding that the company was working to resolve arrears.</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24" w:space="0" w:color="DC2626"/>
              <w:bottom w:val="none"/>
              <w:right w:val="none"/>
            </w:tcBorders>
          </w:tcPr>
          <w:p>
            <w:pPr>
              <w:spacing w:after="60"/>
            </w:pPr>
            <w:r>
              <w:rPr>
                <w:rFonts w:ascii="Calibri" w:hAnsi="Calibri"/>
                <w:b/>
                <w:color w:val="0F172A"/>
                <w:sz w:val="22"/>
              </w:rPr>
              <w:t>FORENSIC DILIGENCE EVALUATION OF THE 2008 CASE</w:t>
              <w:br/>
            </w:r>
            <w:r>
              <w:rPr>
                <w:rFonts w:ascii="Calibri" w:hAnsi="Calibri"/>
                <w:color w:val="1E293B"/>
                <w:sz w:val="20"/>
              </w:rPr>
              <w:t>• Corroborating Elements: The subcontractor's identity (Shehata Mohamed Hassan), the contracting vehicle (Alexandria Construction Co.), the exact site (Madinaty), and the official executive response (Ibrahim Hasabo) are fully identified on the record in published investigative journalism.</w:t>
              <w:br/>
              <w:t>• Unverified Factors: Public records do not contain a certified final judicial decree, nor public proof of the exact financial settlement reached, nor evidence that this specific litigation persisted into subsequent years.</w:t>
              <w:br/>
              <w:t>• Analytical Takeaway: This case represents the most direct published documentary evidence of an unpaid trade subcontractor in TMG's history. However, dating back approximately 18 years, it cannot independently substantiate current ongoing corporate practices without contemporary documentary proof.</w:t>
            </w:r>
          </w:p>
        </w:tc>
      </w:tr>
    </w:tbl>
    <w:p>
      <w:pPr>
        <w:spacing w:after="120"/>
      </w:pPr>
    </w:p>
    <w:p>
      <w:pPr>
        <w:pStyle w:val="Heading2"/>
        <w:keepNext/>
        <w:spacing w:before="280" w:after="80"/>
      </w:pPr>
      <w:r>
        <w:rPr>
          <w:rFonts w:ascii="Calibri" w:hAnsi="Calibri"/>
          <w:b/>
          <w:color w:val="0284C7"/>
          <w:sz w:val="26"/>
        </w:rPr>
        <w:t>5.3 Forensic Deep-Dive: Four Seasons Luxor Case Study &amp; Subcontractor Payment Risk Analysis</w:t>
      </w:r>
    </w:p>
    <w:p>
      <w:pPr>
        <w:spacing w:after="120" w:line="276" w:lineRule="auto"/>
      </w:pPr>
      <w:r>
        <w:rPr>
          <w:rFonts w:ascii="Calibri" w:hAnsi="Calibri"/>
          <w:color w:val="1E293B"/>
          <w:sz w:val="21"/>
        </w:rPr>
        <w:t>A rigorous forensic investigation into the luxury hospitality segment focused specifically on the Four Seasons Luxor project—specifically examining whether allegations of progress payment withholding or subcontractor liquidity lockups exist. The material findings are categorized below:</w:t>
      </w:r>
    </w:p>
    <w:p>
      <w:pPr>
        <w:spacing w:after="120" w:line="276" w:lineRule="auto"/>
      </w:pPr>
      <w:r>
        <w:rPr>
          <w:rFonts w:ascii="Calibri" w:hAnsi="Calibri"/>
          <w:b/>
          <w:color w:val="0F172A"/>
          <w:sz w:val="21"/>
        </w:rPr>
        <w:t xml:space="preserve">1. Project Governance &amp; Privity Structure: </w:t>
      </w:r>
      <w:r>
        <w:rPr>
          <w:rFonts w:ascii="Calibri" w:hAnsi="Calibri"/>
          <w:color w:val="1E293B"/>
          <w:sz w:val="21"/>
        </w:rPr>
        <w:t>Project Counterparties &amp; Contractual Hierarchy:</w:t>
      </w:r>
    </w:p>
    <w:p>
      <w:pPr>
        <w:pStyle w:val="ListBullet"/>
        <w:spacing w:after="80" w:line="276" w:lineRule="auto"/>
      </w:pPr>
      <w:r>
        <w:rPr>
          <w:rFonts w:ascii="Calibri" w:hAnsi="Calibri"/>
          <w:b/>
          <w:color w:val="0F172A"/>
          <w:sz w:val="21"/>
        </w:rPr>
        <w:t xml:space="preserve">Asset Owner &amp; Developer (TMG / ICON / EGOTH): </w:t>
      </w:r>
      <w:r>
        <w:rPr>
          <w:rFonts w:ascii="Calibri" w:hAnsi="Calibri"/>
          <w:color w:val="1E293B"/>
          <w:sz w:val="21"/>
        </w:rPr>
        <w:t>The asset is developed by ICON (hospitality arm of TMG Holding, 40.5% owned by ADQ/ADNEC consortium) on state-owned land allocated through the Egyptian General Company for Tourism and Hotels (EGOTH), an operating vehicle of the Ministry of Public Business Sector (source: Youm7 / Ministry filings).</w:t>
      </w:r>
    </w:p>
    <w:p>
      <w:pPr>
        <w:pStyle w:val="ListBullet"/>
        <w:spacing w:after="80" w:line="276" w:lineRule="auto"/>
      </w:pPr>
      <w:r>
        <w:rPr>
          <w:rFonts w:ascii="Calibri" w:hAnsi="Calibri"/>
          <w:b/>
          <w:color w:val="0F172A"/>
          <w:sz w:val="21"/>
        </w:rPr>
        <w:t xml:space="preserve">Main Turnkey EPC Contractor (Atrium Quality Contractors): </w:t>
      </w:r>
      <w:r>
        <w:rPr>
          <w:rFonts w:ascii="Calibri" w:hAnsi="Calibri"/>
          <w:color w:val="1E293B"/>
          <w:sz w:val="21"/>
        </w:rPr>
        <w:t>Atrium Quality Contractors publicly announced securing the main general contracting and civil turnkey package for the Four Seasons Luxor project.</w:t>
      </w:r>
    </w:p>
    <w:p>
      <w:pPr>
        <w:pStyle w:val="ListBullet"/>
        <w:spacing w:after="80" w:line="276" w:lineRule="auto"/>
      </w:pPr>
      <w:r>
        <w:rPr>
          <w:rFonts w:ascii="Calibri" w:hAnsi="Calibri"/>
          <w:b/>
          <w:color w:val="0F172A"/>
          <w:sz w:val="21"/>
        </w:rPr>
        <w:t xml:space="preserve">Project Management &amp; Consultant (Hill / Shaker): </w:t>
      </w:r>
      <w:r>
        <w:rPr>
          <w:rFonts w:ascii="Calibri" w:hAnsi="Calibri"/>
          <w:color w:val="1E293B"/>
          <w:sz w:val="21"/>
        </w:rPr>
        <w:t>Project management is executed by Hill International, with master engineering design and supervision led by Shaker Consultancy Group (verified engineering records).</w:t>
      </w:r>
    </w:p>
    <w:p>
      <w:pPr>
        <w:pStyle w:val="ListBullet"/>
        <w:spacing w:after="80" w:line="276" w:lineRule="auto"/>
      </w:pPr>
      <w:r>
        <w:rPr>
          <w:rFonts w:ascii="Calibri" w:hAnsi="Calibri"/>
          <w:b/>
          <w:color w:val="0F172A"/>
          <w:sz w:val="21"/>
        </w:rPr>
        <w:t xml:space="preserve">Specialist MEP Joint Venture (CCC / Atrium JV): </w:t>
      </w:r>
      <w:r>
        <w:rPr>
          <w:rFonts w:ascii="Calibri" w:hAnsi="Calibri"/>
          <w:color w:val="1E293B"/>
          <w:sz w:val="21"/>
        </w:rPr>
        <w:t>The primary electromechanical (MEP) execution package (CP02) was awarded through a joint venture between CCC Electromechanical and Atrium Quality Contractors.</w:t>
      </w:r>
    </w:p>
    <w:p>
      <w:pPr>
        <w:pStyle w:val="ListBullet"/>
        <w:spacing w:after="80" w:line="276" w:lineRule="auto"/>
      </w:pPr>
      <w:r>
        <w:rPr>
          <w:rFonts w:ascii="Calibri" w:hAnsi="Calibri"/>
          <w:b/>
          <w:color w:val="0F172A"/>
          <w:sz w:val="21"/>
        </w:rPr>
        <w:t xml:space="preserve">Specialized Material Vendors (Knauf Egypt / AMC): </w:t>
      </w:r>
      <w:r>
        <w:rPr>
          <w:rFonts w:ascii="Calibri" w:hAnsi="Calibri"/>
          <w:color w:val="1E293B"/>
          <w:sz w:val="21"/>
        </w:rPr>
        <w:t>Technical vendors and building materials suppliers, including Knauf Egypt and AMC, have documented technical cooperation and high-specification deliveries on site.</w:t>
      </w:r>
    </w:p>
    <w:p>
      <w:pPr>
        <w:spacing w:after="120" w:line="276" w:lineRule="auto"/>
      </w:pPr>
      <w:r>
        <w:rPr>
          <w:rFonts w:ascii="Calibri" w:hAnsi="Calibri"/>
          <w:b/>
          <w:color w:val="0F172A"/>
          <w:sz w:val="21"/>
        </w:rPr>
        <w:t xml:space="preserve">2. Privity Insulation: </w:t>
      </w:r>
      <w:r>
        <w:rPr>
          <w:rFonts w:ascii="Calibri" w:hAnsi="Calibri"/>
          <w:color w:val="1E293B"/>
          <w:sz w:val="21"/>
        </w:rPr>
        <w:t>Contractual Privity Ring-Fencing Implications:</w:t>
      </w:r>
    </w:p>
    <w:p>
      <w:pPr>
        <w:spacing w:after="120" w:line="276" w:lineRule="auto"/>
      </w:pPr>
      <w:r>
        <w:rPr>
          <w:rFonts w:ascii="Calibri" w:hAnsi="Calibri"/>
          <w:color w:val="1E293B"/>
          <w:sz w:val="21"/>
        </w:rPr>
        <w:t>Under Egyptian contract law, trade subcontractors, MEP specialists, and materials vendors contract directly with Atrium Quality Contractors or the CCC/Atrium Joint Venture, NOT with TMG Holding or ICON. If a payment dispute or cash freeze occurs downstream, the legal obligor is the general contractor or JV, legally insulating TMG Holding and ICON from direct statutory breach actions, attachment of bank accounts, or asset liens.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shd w:fill="0F172A"/>
            <w:tcMar>
              <w:top w:w="100" w:type="dxa"/>
              <w:bottom w:w="100" w:type="dxa"/>
              <w:left w:w="120" w:type="dxa"/>
              <w:right w:w="120" w:type="dxa"/>
            </w:tcMar>
          </w:tcPr>
          <w:p>
            <w:r>
              <w:rPr>
                <w:b/>
                <w:color w:val="FFFFFF"/>
                <w:sz w:val="18"/>
              </w:rPr>
              <w:t>Forensic Diligence Checkpoint</w:t>
            </w:r>
          </w:p>
        </w:tc>
        <w:tc>
          <w:tcPr>
            <w:tcW w:type="dxa" w:w="4680"/>
            <w:shd w:fill="0F172A"/>
            <w:tcMar>
              <w:top w:w="100" w:type="dxa"/>
              <w:bottom w:w="100" w:type="dxa"/>
              <w:left w:w="120" w:type="dxa"/>
              <w:right w:w="120" w:type="dxa"/>
            </w:tcMar>
          </w:tcPr>
          <w:p>
            <w:r>
              <w:rPr>
                <w:b/>
                <w:color w:val="FFFFFF"/>
                <w:sz w:val="18"/>
              </w:rPr>
              <w:t>Documentary Finding &amp; Evidentiary Standard</w:t>
            </w:r>
          </w:p>
        </w:tc>
      </w:tr>
      <w:tr>
        <w:tc>
          <w:tcPr>
            <w:tcW w:type="dxa" w:w="4680"/>
            <w:shd w:fill="F8FAFC"/>
            <w:tcMar>
              <w:top w:w="70" w:type="dxa"/>
              <w:bottom w:w="70" w:type="dxa"/>
              <w:left w:w="90" w:type="dxa"/>
              <w:right w:w="90" w:type="dxa"/>
            </w:tcMar>
          </w:tcPr>
          <w:p>
            <w:r>
              <w:rPr>
                <w:b/>
                <w:color w:val="1E293B"/>
                <w:sz w:val="17"/>
              </w:rPr>
              <w:t>Direct Subcontractor Complaint for Withheld Dues</w:t>
            </w:r>
          </w:p>
        </w:tc>
        <w:tc>
          <w:tcPr>
            <w:tcW w:type="dxa" w:w="4680"/>
            <w:shd w:fill="F8FAFC"/>
            <w:tcMar>
              <w:top w:w="70" w:type="dxa"/>
              <w:bottom w:w="70" w:type="dxa"/>
              <w:left w:w="90" w:type="dxa"/>
              <w:right w:w="90" w:type="dxa"/>
            </w:tcMar>
          </w:tcPr>
          <w:p>
            <w:r>
              <w:rPr>
                <w:color w:val="1E293B"/>
                <w:sz w:val="17"/>
              </w:rPr>
              <w:t>Negative: No public, verified complaints or formal dockets found alleging TMG or Atrium withheld certified subcontractor payments on Four Seasons Luxor.</w:t>
            </w:r>
          </w:p>
        </w:tc>
      </w:tr>
      <w:tr>
        <w:tc>
          <w:tcPr>
            <w:tcW w:type="dxa" w:w="4680"/>
            <w:shd w:fill="FFFFFF"/>
            <w:tcMar>
              <w:top w:w="70" w:type="dxa"/>
              <w:bottom w:w="70" w:type="dxa"/>
              <w:left w:w="90" w:type="dxa"/>
              <w:right w:w="90" w:type="dxa"/>
            </w:tcMar>
          </w:tcPr>
          <w:p>
            <w:r>
              <w:rPr>
                <w:b/>
                <w:color w:val="1E293B"/>
                <w:sz w:val="17"/>
              </w:rPr>
              <w:t>Supplier Complaint for Overdue Invoices</w:t>
            </w:r>
          </w:p>
        </w:tc>
        <w:tc>
          <w:tcPr>
            <w:tcW w:type="dxa" w:w="4680"/>
            <w:shd w:fill="FFFFFF"/>
            <w:tcMar>
              <w:top w:w="70" w:type="dxa"/>
              <w:bottom w:w="70" w:type="dxa"/>
              <w:left w:w="90" w:type="dxa"/>
              <w:right w:w="90" w:type="dxa"/>
            </w:tcMar>
          </w:tcPr>
          <w:p>
            <w:r>
              <w:rPr>
                <w:color w:val="1E293B"/>
                <w:sz w:val="17"/>
              </w:rPr>
              <w:t>Negative: No specific public grievance or commercial collection action identified among materials or equipment vendors.</w:t>
            </w:r>
          </w:p>
        </w:tc>
      </w:tr>
      <w:tr>
        <w:tc>
          <w:tcPr>
            <w:tcW w:type="dxa" w:w="4680"/>
            <w:shd w:fill="F8FAFC"/>
            <w:tcMar>
              <w:top w:w="70" w:type="dxa"/>
              <w:bottom w:w="70" w:type="dxa"/>
              <w:left w:w="90" w:type="dxa"/>
              <w:right w:w="90" w:type="dxa"/>
            </w:tcMar>
          </w:tcPr>
          <w:p>
            <w:r>
              <w:rPr>
                <w:b/>
                <w:color w:val="1E293B"/>
                <w:sz w:val="17"/>
              </w:rPr>
              <w:t>Published Judicial Litigation or Decrees</w:t>
            </w:r>
          </w:p>
        </w:tc>
        <w:tc>
          <w:tcPr>
            <w:tcW w:type="dxa" w:w="4680"/>
            <w:shd w:fill="F8FAFC"/>
            <w:tcMar>
              <w:top w:w="70" w:type="dxa"/>
              <w:bottom w:w="70" w:type="dxa"/>
              <w:left w:w="90" w:type="dxa"/>
              <w:right w:w="90" w:type="dxa"/>
            </w:tcMar>
          </w:tcPr>
          <w:p>
            <w:r>
              <w:rPr>
                <w:color w:val="1E293B"/>
                <w:sz w:val="17"/>
              </w:rPr>
              <w:t>Negative: No economic, commercial, or misdemeanor rulings verified involving trade contractors on this specific development.</w:t>
            </w:r>
          </w:p>
        </w:tc>
      </w:tr>
      <w:tr>
        <w:tc>
          <w:tcPr>
            <w:tcW w:type="dxa" w:w="4680"/>
            <w:shd w:fill="FFFFFF"/>
            <w:tcMar>
              <w:top w:w="70" w:type="dxa"/>
              <w:bottom w:w="70" w:type="dxa"/>
              <w:left w:w="90" w:type="dxa"/>
              <w:right w:w="90" w:type="dxa"/>
            </w:tcMar>
          </w:tcPr>
          <w:p>
            <w:r>
              <w:rPr>
                <w:b/>
                <w:color w:val="1E293B"/>
                <w:sz w:val="17"/>
              </w:rPr>
              <w:t>Commissioning Timeline Alteration</w:t>
            </w:r>
          </w:p>
        </w:tc>
        <w:tc>
          <w:tcPr>
            <w:tcW w:type="dxa" w:w="4680"/>
            <w:shd w:fill="FFFFFF"/>
            <w:tcMar>
              <w:top w:w="70" w:type="dxa"/>
              <w:bottom w:w="70" w:type="dxa"/>
              <w:left w:w="90" w:type="dxa"/>
              <w:right w:w="90" w:type="dxa"/>
            </w:tcMar>
          </w:tcPr>
          <w:p>
            <w:r>
              <w:rPr>
                <w:color w:val="1E293B"/>
                <w:sz w:val="17"/>
              </w:rPr>
              <w:t>Positive (Verified Schedule Shift): TMG H1 2025 financial disclosures targeted 2026 commissioning; Four Seasons official openings portal now projects 2027.</w:t>
            </w:r>
          </w:p>
        </w:tc>
      </w:tr>
      <w:tr>
        <w:tc>
          <w:tcPr>
            <w:tcW w:type="dxa" w:w="4680"/>
            <w:shd w:fill="F8FAFC"/>
            <w:tcMar>
              <w:top w:w="70" w:type="dxa"/>
              <w:bottom w:w="70" w:type="dxa"/>
              <w:left w:w="90" w:type="dxa"/>
              <w:right w:w="90" w:type="dxa"/>
            </w:tcMar>
          </w:tcPr>
          <w:p>
            <w:r>
              <w:rPr>
                <w:b/>
                <w:color w:val="1E293B"/>
                <w:sz w:val="17"/>
              </w:rPr>
              <w:t>Proof of Deliberate Payment Withholding</w:t>
            </w:r>
          </w:p>
        </w:tc>
        <w:tc>
          <w:tcPr>
            <w:tcW w:type="dxa" w:w="4680"/>
            <w:shd w:fill="F8FAFC"/>
            <w:tcMar>
              <w:top w:w="70" w:type="dxa"/>
              <w:bottom w:w="70" w:type="dxa"/>
              <w:left w:w="90" w:type="dxa"/>
              <w:right w:w="90" w:type="dxa"/>
            </w:tcMar>
          </w:tcPr>
          <w:p>
            <w:r>
              <w:rPr>
                <w:color w:val="1E293B"/>
                <w:sz w:val="17"/>
              </w:rPr>
              <w:t>Not Established: Public dockets and corroborated evidence do not provide proof of deliberate payment withholding or liquidity distress in Four Seasons Luxor.</w:t>
            </w:r>
          </w:p>
        </w:tc>
      </w:tr>
    </w:tbl>
    <w:p>
      <w:pPr>
        <w:spacing w:after="16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284C7"/>
              <w:bottom w:val="none"/>
              <w:right w:val="none"/>
            </w:tcBorders>
          </w:tcPr>
          <w:p>
            <w:pPr>
              <w:spacing w:after="60"/>
            </w:pPr>
            <w:r>
              <w:rPr>
                <w:rFonts w:ascii="Calibri" w:hAnsi="Calibri"/>
                <w:b/>
                <w:color w:val="0F172A"/>
                <w:sz w:val="22"/>
              </w:rPr>
              <w:t>FORENSIC DILIGENCE SUMMARY: FOUR SEASONS LUXOR</w:t>
              <w:br/>
            </w:r>
            <w:r>
              <w:rPr>
                <w:rFonts w:ascii="Calibri" w:hAnsi="Calibri"/>
                <w:color w:val="1E293B"/>
                <w:sz w:val="20"/>
              </w:rPr>
              <w:t>• Baseline Finding: There is currently no verified public evidence proving that TMG or Atrium Quality Contractors has deliberately withheld or defaulted on subcontractor or supplier dues on the Four Seasons Luxor project.</w:t>
              <w:br/>
              <w:t>• Timeline Nuance: The postponement of the opening date from 2026 to 2027 represents a documented schedule modification, but it cannot be attributed to contractor payment default or liquidity distress without documentary proof.</w:t>
              <w:br/>
              <w:t>• Critical Verification Variable: The definitive commercial test requires direct transaction-level disclosures from subcontractors engaged under Atrium or the CCC/Atrium MEP JV during 2025–2026, comparing IPC submission dates, certification dates, and actual bank clearing dates.</w:t>
            </w:r>
          </w:p>
        </w:tc>
      </w:tr>
    </w:tbl>
    <w:p>
      <w:pPr>
        <w:spacing w:after="120"/>
      </w:pPr>
    </w:p>
    <w:p>
      <w:pPr>
        <w:pStyle w:val="Heading1"/>
        <w:keepNext/>
        <w:spacing w:before="360" w:after="120"/>
      </w:pPr>
      <w:r>
        <w:rPr>
          <w:rFonts w:ascii="Calibri" w:hAnsi="Calibri"/>
          <w:b/>
          <w:color w:val="0F172A"/>
          <w:sz w:val="34"/>
        </w:rPr>
        <w:t>6. Contemporary Labor Friction, Wage Freezes &amp; Security Workforce Petitions (2024–2025)</w:t>
      </w:r>
    </w:p>
    <w:p>
      <w:pPr>
        <w:spacing w:after="120" w:line="276" w:lineRule="auto"/>
      </w:pPr>
      <w:r>
        <w:rPr>
          <w:rFonts w:ascii="Calibri" w:hAnsi="Calibri"/>
          <w:color w:val="1E293B"/>
          <w:sz w:val="21"/>
        </w:rPr>
        <w:t>While contemporary trade subcontractors rarely engage in public litigation due to strict confidentiality clauses and fear of commercial blacklisting, investigative reporting across 2024 and 2025 reveals verified operational friction and labor grievances within TMG operating subsidiaries:</w:t>
      </w:r>
    </w:p>
    <w:p>
      <w:pPr>
        <w:pStyle w:val="Heading2"/>
        <w:keepNext/>
        <w:spacing w:before="280" w:after="80"/>
      </w:pPr>
      <w:r>
        <w:rPr>
          <w:rFonts w:ascii="Calibri" w:hAnsi="Calibri"/>
          <w:b/>
          <w:color w:val="0284C7"/>
          <w:sz w:val="26"/>
        </w:rPr>
        <w:t>6.1 Alexandria Construction Co. (ACC) Employee Protests (March 2024)</w:t>
      </w:r>
    </w:p>
    <w:p>
      <w:pPr>
        <w:spacing w:after="120" w:line="276" w:lineRule="auto"/>
      </w:pPr>
      <w:r>
        <w:rPr>
          <w:rFonts w:ascii="Calibri" w:hAnsi="Calibri"/>
          <w:color w:val="1E293B"/>
          <w:sz w:val="21"/>
        </w:rPr>
        <w:t>An investigative report published by independent news platform *Mada Masr* documented a collective protest staged by over 100 employees and workers at Alexandria Construction Company (ACC). The workers protested against severe wage erosion amid triple-digit cumulative currency devaluations, unnotified salary freezes, and the arbitrary dismissal of staff without statutory severance or compensation.</w:t>
      </w:r>
    </w:p>
    <w:p>
      <w:pPr>
        <w:pStyle w:val="Heading2"/>
        <w:keepNext/>
        <w:spacing w:before="280" w:after="80"/>
      </w:pPr>
      <w:r>
        <w:rPr>
          <w:rFonts w:ascii="Calibri" w:hAnsi="Calibri"/>
          <w:b/>
          <w:color w:val="0284C7"/>
          <w:sz w:val="26"/>
        </w:rPr>
        <w:t>6.2 Madinaty Security Workforce Sit-In (August 2024)</w:t>
      </w:r>
    </w:p>
    <w:p>
      <w:pPr>
        <w:spacing w:after="120" w:line="276" w:lineRule="auto"/>
      </w:pPr>
      <w:r>
        <w:rPr>
          <w:rFonts w:ascii="Calibri" w:hAnsi="Calibri"/>
          <w:color w:val="1E293B"/>
          <w:sz w:val="21"/>
        </w:rPr>
        <w:t>Field reporting by *Al Manassa* documented a collective sit-in staged by security guards and facility surveillance personnel at Madinaty. Workers protested against sub-inflation base salaries, grueling 12-to-14 hour daily shifts without statutory overtime premiums, and substandard living conditions in site labor dormitories.</w:t>
      </w:r>
    </w:p>
    <w:p>
      <w:pPr>
        <w:pStyle w:val="Heading2"/>
        <w:keepNext/>
        <w:spacing w:before="280" w:after="80"/>
      </w:pPr>
      <w:r>
        <w:rPr>
          <w:rFonts w:ascii="Calibri" w:hAnsi="Calibri"/>
          <w:b/>
          <w:color w:val="0284C7"/>
          <w:sz w:val="26"/>
        </w:rPr>
        <w:t>6.3 Formal Worker Petition and Administrative Inquiries (29 October 2025)</w:t>
      </w:r>
    </w:p>
    <w:p>
      <w:pPr>
        <w:spacing w:after="120" w:line="276" w:lineRule="auto"/>
      </w:pPr>
      <w:r>
        <w:rPr>
          <w:rFonts w:ascii="Calibri" w:hAnsi="Calibri"/>
          <w:color w:val="1E293B"/>
          <w:sz w:val="21"/>
        </w:rPr>
        <w:t>On 29 October 2025, *Al Manassa* published a detailed follow-up reporting that Madinaty security personnel submitted a formal written petition (*مذكرة رسمية*) to TMG management. The petition demanded the enforcement of statutory overtime compensation for 12-hour work shifts, regularization of annual and official leaves, and dedicated meal allowances. Rather than immediately resolving the claims, management subjected key petitioners to internal administrative investigations (*تحقيقات إدارية*), while offering verbal assurances that compensation would be reviewed during annual salary adjustments.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after="60"/>
            </w:pPr>
            <w:r>
              <w:rPr>
                <w:rFonts w:ascii="Calibri" w:hAnsi="Calibri"/>
                <w:b/>
                <w:color w:val="0F172A"/>
                <w:sz w:val="22"/>
              </w:rPr>
              <w:t>OPERATIONAL DILIGENCE IMPLICATIONS OF LABOR UNREST</w:t>
              <w:br/>
            </w:r>
            <w:r>
              <w:rPr>
                <w:rFonts w:ascii="Calibri" w:hAnsi="Calibri"/>
                <w:color w:val="1E293B"/>
                <w:sz w:val="20"/>
              </w:rPr>
              <w:t>These contemporary incidents (2024–2025) demonstrate that while TMG maintains a stellar corporate exterior, operational cost-cutting heavily impacts site-level personnel and subcontractors. The compression of labor budgets creates operational security vulnerabilities, higher employee turnover, and execution pacing risks across vast developments like Madinaty, Celia, and Noor.</w:t>
            </w:r>
          </w:p>
        </w:tc>
      </w:tr>
    </w:tbl>
    <w:p>
      <w:pPr>
        <w:spacing w:after="120"/>
      </w:pPr>
    </w:p>
    <w:p>
      <w:pPr>
        <w:pStyle w:val="Heading1"/>
        <w:keepNext/>
        <w:spacing w:before="360" w:after="120"/>
      </w:pPr>
      <w:r>
        <w:rPr>
          <w:rFonts w:ascii="Calibri" w:hAnsi="Calibri"/>
          <w:b/>
          <w:color w:val="0F172A"/>
          <w:sz w:val="34"/>
        </w:rPr>
        <w:t>7. Customer &amp; Homeowner Grievances, Facility Deficits &amp; Statutory Resale Disputes</w:t>
      </w:r>
    </w:p>
    <w:p>
      <w:pPr>
        <w:spacing w:after="120" w:line="276" w:lineRule="auto"/>
      </w:pPr>
      <w:r>
        <w:rPr>
          <w:rFonts w:ascii="Calibri" w:hAnsi="Calibri"/>
          <w:color w:val="1E293B"/>
          <w:sz w:val="21"/>
        </w:rPr>
        <w:t>Beyond supply chain friction, TMG faces ongoing regulatory and consumer controversies regarding community management charges and resale restrictions:</w:t>
      </w:r>
    </w:p>
    <w:p>
      <w:pPr>
        <w:pStyle w:val="ListBullet"/>
        <w:spacing w:after="80" w:line="276" w:lineRule="auto"/>
      </w:pPr>
      <w:r>
        <w:rPr>
          <w:rFonts w:ascii="Calibri" w:hAnsi="Calibri"/>
          <w:b/>
          <w:color w:val="0F172A"/>
          <w:sz w:val="21"/>
        </w:rPr>
        <w:t xml:space="preserve">Maintenance Deficit Invoicing: </w:t>
      </w:r>
      <w:r>
        <w:rPr>
          <w:rFonts w:ascii="Calibri" w:hAnsi="Calibri"/>
          <w:color w:val="1E293B"/>
          <w:sz w:val="21"/>
        </w:rPr>
        <w:t>Residents in Madinaty and Rehab face mandatory annual invoices for maintenance differences (فروق صيانة) ranging between EGP 15,000 and EGP 45,000 per unit. Homeowners have filed formal complaints and lawsuits demanding independent audited accounting statements showing the interest yield generated by the original maintenance trust deposits (*وديعة الصيانة*).</w:t>
      </w:r>
    </w:p>
    <w:p>
      <w:pPr>
        <w:pStyle w:val="ListBullet"/>
        <w:spacing w:after="80" w:line="276" w:lineRule="auto"/>
      </w:pPr>
      <w:r>
        <w:rPr>
          <w:rFonts w:ascii="Calibri" w:hAnsi="Calibri"/>
          <w:b/>
          <w:color w:val="0F172A"/>
          <w:sz w:val="21"/>
        </w:rPr>
        <w:t xml:space="preserve">Resale Transfer Fees (5%–10%): </w:t>
      </w:r>
      <w:r>
        <w:rPr>
          <w:rFonts w:ascii="Calibri" w:hAnsi="Calibri"/>
          <w:color w:val="1E293B"/>
          <w:sz w:val="21"/>
        </w:rPr>
        <w:t>TMG charges a 5% to 10% fee (or substantial lump-sum) to update customer records when a unit is resold between secondary buyers. This practice directly violates Article 15 of Egyptian Consumer Protection Law No. 181 of 2018, which strictly prohibits developers from charging resale transfer percentages. The Consumer Protection Agency (CPA) has repeatedly declared such clauses null and void, though developers exploit court appeals to continue the practice.</w:t>
      </w:r>
    </w:p>
    <w:p>
      <w:pPr>
        <w:pStyle w:val="ListBullet"/>
        <w:spacing w:after="80" w:line="276" w:lineRule="auto"/>
      </w:pPr>
      <w:r>
        <w:rPr>
          <w:rFonts w:ascii="Calibri" w:hAnsi="Calibri"/>
          <w:b/>
          <w:color w:val="0F172A"/>
          <w:sz w:val="21"/>
        </w:rPr>
        <w:t xml:space="preserve">Celia Delivery Slippages: </w:t>
      </w:r>
      <w:r>
        <w:rPr>
          <w:rFonts w:ascii="Calibri" w:hAnsi="Calibri"/>
          <w:color w:val="1E293B"/>
          <w:sz w:val="21"/>
        </w:rPr>
        <w:t>Phases 3 and 4 in Celia (New Administrative Capital) experienced delivery delays stretching 14 to 18 months. TMG attributed the delays to utility infrastructure holdups (power substations and water grid connections) controlled by master developer ACUD, invoking contractual force majeure protections.</w:t>
      </w:r>
    </w:p>
    <w:p>
      <w:pPr>
        <w:pStyle w:val="Heading1"/>
        <w:keepNext/>
        <w:spacing w:before="360" w:after="120"/>
      </w:pPr>
      <w:r>
        <w:rPr>
          <w:rFonts w:ascii="Calibri" w:hAnsi="Calibri"/>
          <w:b/>
          <w:color w:val="0F172A"/>
          <w:sz w:val="34"/>
        </w:rPr>
        <w:t>8. Master Subcontractor, Supplier &amp; Counterparty Exposure Registry</w:t>
      </w:r>
    </w:p>
    <w:p>
      <w:pPr>
        <w:spacing w:after="120" w:line="276" w:lineRule="auto"/>
      </w:pPr>
      <w:r>
        <w:rPr>
          <w:rFonts w:ascii="Calibri" w:hAnsi="Calibri"/>
          <w:color w:val="1E293B"/>
          <w:sz w:val="21"/>
        </w:rPr>
        <w:t>The following master ledger documents verified contractors, consultants, and suppliers executing major packages across TMG developments, evaluated by contract scale and dispute friction: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shd w:fill="0F172A"/>
            <w:tcMar>
              <w:top w:w="100" w:type="dxa"/>
              <w:bottom w:w="100" w:type="dxa"/>
              <w:left w:w="100" w:type="dxa"/>
              <w:right w:w="100" w:type="dxa"/>
            </w:tcMar>
          </w:tcPr>
          <w:p>
            <w:r>
              <w:rPr>
                <w:b/>
                <w:color w:val="FFFFFF"/>
                <w:sz w:val="17"/>
              </w:rPr>
              <w:t>Counterparty / Subcontractor</w:t>
            </w:r>
          </w:p>
        </w:tc>
        <w:tc>
          <w:tcPr>
            <w:tcW w:type="dxa" w:w="1872"/>
            <w:shd w:fill="0F172A"/>
            <w:tcMar>
              <w:top w:w="100" w:type="dxa"/>
              <w:bottom w:w="100" w:type="dxa"/>
              <w:left w:w="100" w:type="dxa"/>
              <w:right w:w="100" w:type="dxa"/>
            </w:tcMar>
          </w:tcPr>
          <w:p>
            <w:r>
              <w:rPr>
                <w:b/>
                <w:color w:val="FFFFFF"/>
                <w:sz w:val="17"/>
              </w:rPr>
              <w:t>Contracting SPV</w:t>
            </w:r>
          </w:p>
        </w:tc>
        <w:tc>
          <w:tcPr>
            <w:tcW w:type="dxa" w:w="1872"/>
            <w:shd w:fill="0F172A"/>
            <w:tcMar>
              <w:top w:w="100" w:type="dxa"/>
              <w:bottom w:w="100" w:type="dxa"/>
              <w:left w:w="100" w:type="dxa"/>
              <w:right w:w="100" w:type="dxa"/>
            </w:tcMar>
          </w:tcPr>
          <w:p>
            <w:r>
              <w:rPr>
                <w:b/>
                <w:color w:val="FFFFFF"/>
                <w:sz w:val="17"/>
              </w:rPr>
              <w:t>Contracted Scope &amp; Project</w:t>
            </w:r>
          </w:p>
        </w:tc>
        <w:tc>
          <w:tcPr>
            <w:tcW w:type="dxa" w:w="1872"/>
            <w:shd w:fill="0F172A"/>
            <w:tcMar>
              <w:top w:w="100" w:type="dxa"/>
              <w:bottom w:w="100" w:type="dxa"/>
              <w:left w:w="100" w:type="dxa"/>
              <w:right w:w="100" w:type="dxa"/>
            </w:tcMar>
          </w:tcPr>
          <w:p>
            <w:r>
              <w:rPr>
                <w:b/>
                <w:color w:val="FFFFFF"/>
                <w:sz w:val="17"/>
              </w:rPr>
              <w:t>Scale &amp; Tier</w:t>
            </w:r>
          </w:p>
        </w:tc>
        <w:tc>
          <w:tcPr>
            <w:tcW w:type="dxa" w:w="1872"/>
            <w:shd w:fill="0F172A"/>
            <w:tcMar>
              <w:top w:w="100" w:type="dxa"/>
              <w:bottom w:w="100" w:type="dxa"/>
              <w:left w:w="100" w:type="dxa"/>
              <w:right w:w="100" w:type="dxa"/>
            </w:tcMar>
          </w:tcPr>
          <w:p>
            <w:r>
              <w:rPr>
                <w:b/>
                <w:color w:val="FFFFFF"/>
                <w:sz w:val="17"/>
              </w:rPr>
              <w:t>Documented Risk / Friction</w:t>
            </w:r>
          </w:p>
        </w:tc>
      </w:tr>
      <w:tr>
        <w:tc>
          <w:tcPr>
            <w:tcW w:type="dxa" w:w="1872"/>
            <w:shd w:fill="F8FAFC"/>
            <w:tcMar>
              <w:top w:w="70" w:type="dxa"/>
              <w:bottom w:w="70" w:type="dxa"/>
              <w:left w:w="90" w:type="dxa"/>
              <w:right w:w="90" w:type="dxa"/>
            </w:tcMar>
          </w:tcPr>
          <w:p>
            <w:r>
              <w:rPr>
                <w:b/>
                <w:color w:val="1E293B"/>
                <w:sz w:val="17"/>
              </w:rPr>
              <w:t>Concrete Plus for Contracting</w:t>
            </w:r>
          </w:p>
        </w:tc>
        <w:tc>
          <w:tcPr>
            <w:tcW w:type="dxa" w:w="1872"/>
            <w:shd w:fill="F8FAFC"/>
            <w:tcMar>
              <w:top w:w="70" w:type="dxa"/>
              <w:bottom w:w="70" w:type="dxa"/>
              <w:left w:w="90" w:type="dxa"/>
              <w:right w:w="90" w:type="dxa"/>
            </w:tcMar>
          </w:tcPr>
          <w:p>
            <w:r>
              <w:rPr>
                <w:color w:val="1E293B"/>
                <w:sz w:val="17"/>
              </w:rPr>
              <w:t>TMG Coastal Development SPVs</w:t>
            </w:r>
          </w:p>
        </w:tc>
        <w:tc>
          <w:tcPr>
            <w:tcW w:type="dxa" w:w="1872"/>
            <w:shd w:fill="F8FAFC"/>
            <w:tcMar>
              <w:top w:w="70" w:type="dxa"/>
              <w:bottom w:w="70" w:type="dxa"/>
              <w:left w:w="90" w:type="dxa"/>
              <w:right w:w="90" w:type="dxa"/>
            </w:tcMar>
          </w:tcPr>
          <w:p>
            <w:r>
              <w:rPr>
                <w:color w:val="1E293B"/>
                <w:sz w:val="17"/>
              </w:rPr>
              <w:t>179 Residential Buildings &amp; Infra (C01) at SouthMED</w:t>
            </w:r>
          </w:p>
        </w:tc>
        <w:tc>
          <w:tcPr>
            <w:tcW w:type="dxa" w:w="1872"/>
            <w:shd w:fill="F8FAFC"/>
            <w:tcMar>
              <w:top w:w="70" w:type="dxa"/>
              <w:bottom w:w="70" w:type="dxa"/>
              <w:left w:w="90" w:type="dxa"/>
              <w:right w:w="90" w:type="dxa"/>
            </w:tcMar>
          </w:tcPr>
          <w:p>
            <w:r>
              <w:rPr>
                <w:color w:val="1E293B"/>
                <w:sz w:val="17"/>
              </w:rPr>
              <w:t>~EGP 10.0B (Direct Tier-1)</w:t>
            </w:r>
          </w:p>
        </w:tc>
        <w:tc>
          <w:tcPr>
            <w:tcW w:type="dxa" w:w="1872"/>
            <w:shd w:fill="F8FAFC"/>
            <w:tcMar>
              <w:top w:w="70" w:type="dxa"/>
              <w:bottom w:w="70" w:type="dxa"/>
              <w:left w:w="90" w:type="dxa"/>
              <w:right w:w="90" w:type="dxa"/>
            </w:tcMar>
          </w:tcPr>
          <w:p>
            <w:r>
              <w:rPr>
                <w:color w:val="1E293B"/>
                <w:sz w:val="17"/>
              </w:rPr>
              <w:t>Execution pacing under extreme deadline (2029 handover); working capital exposure</w:t>
            </w:r>
          </w:p>
        </w:tc>
      </w:tr>
      <w:tr>
        <w:tc>
          <w:tcPr>
            <w:tcW w:type="dxa" w:w="1872"/>
            <w:shd w:fill="FFFFFF"/>
            <w:tcMar>
              <w:top w:w="70" w:type="dxa"/>
              <w:bottom w:w="70" w:type="dxa"/>
              <w:left w:w="90" w:type="dxa"/>
              <w:right w:w="90" w:type="dxa"/>
            </w:tcMar>
          </w:tcPr>
          <w:p>
            <w:r>
              <w:rPr>
                <w:b/>
                <w:color w:val="1E293B"/>
                <w:sz w:val="17"/>
              </w:rPr>
              <w:t>Atrium Quality Contractors</w:t>
            </w:r>
          </w:p>
        </w:tc>
        <w:tc>
          <w:tcPr>
            <w:tcW w:type="dxa" w:w="1872"/>
            <w:shd w:fill="FFFFFF"/>
            <w:tcMar>
              <w:top w:w="70" w:type="dxa"/>
              <w:bottom w:w="70" w:type="dxa"/>
              <w:left w:w="90" w:type="dxa"/>
              <w:right w:w="90" w:type="dxa"/>
            </w:tcMar>
          </w:tcPr>
          <w:p>
            <w:r>
              <w:rPr>
                <w:color w:val="1E293B"/>
                <w:sz w:val="17"/>
              </w:rPr>
              <w:t>Arab Co. for Projects (ACPUD)</w:t>
            </w:r>
          </w:p>
        </w:tc>
        <w:tc>
          <w:tcPr>
            <w:tcW w:type="dxa" w:w="1872"/>
            <w:shd w:fill="FFFFFF"/>
            <w:tcMar>
              <w:top w:w="70" w:type="dxa"/>
              <w:bottom w:w="70" w:type="dxa"/>
              <w:left w:w="90" w:type="dxa"/>
              <w:right w:w="90" w:type="dxa"/>
            </w:tcMar>
          </w:tcPr>
          <w:p>
            <w:r>
              <w:rPr>
                <w:color w:val="1E293B"/>
                <w:sz w:val="17"/>
              </w:rPr>
              <w:t>Luxury turnkey residential clusters, villas &amp; infrastructure in Madinaty &amp; Celia</w:t>
            </w:r>
          </w:p>
        </w:tc>
        <w:tc>
          <w:tcPr>
            <w:tcW w:type="dxa" w:w="1872"/>
            <w:shd w:fill="FFFFFF"/>
            <w:tcMar>
              <w:top w:w="70" w:type="dxa"/>
              <w:bottom w:w="70" w:type="dxa"/>
              <w:left w:w="90" w:type="dxa"/>
              <w:right w:w="90" w:type="dxa"/>
            </w:tcMar>
          </w:tcPr>
          <w:p>
            <w:r>
              <w:rPr>
                <w:color w:val="1E293B"/>
                <w:sz w:val="17"/>
              </w:rPr>
              <w:t>EGP 4.5B+ (Turnkey Main)</w:t>
            </w:r>
          </w:p>
        </w:tc>
        <w:tc>
          <w:tcPr>
            <w:tcW w:type="dxa" w:w="1872"/>
            <w:shd w:fill="FFFFFF"/>
            <w:tcMar>
              <w:top w:w="70" w:type="dxa"/>
              <w:bottom w:w="70" w:type="dxa"/>
              <w:left w:w="90" w:type="dxa"/>
              <w:right w:w="90" w:type="dxa"/>
            </w:tcMar>
          </w:tcPr>
          <w:p>
            <w:r>
              <w:rPr>
                <w:color w:val="1E293B"/>
                <w:sz w:val="17"/>
              </w:rPr>
              <w:t>Back-to-back certification terms; high performance bond exposure</w:t>
            </w:r>
          </w:p>
        </w:tc>
      </w:tr>
      <w:tr>
        <w:tc>
          <w:tcPr>
            <w:tcW w:type="dxa" w:w="1872"/>
            <w:shd w:fill="F8FAFC"/>
            <w:tcMar>
              <w:top w:w="70" w:type="dxa"/>
              <w:bottom w:w="70" w:type="dxa"/>
              <w:left w:w="90" w:type="dxa"/>
              <w:right w:w="90" w:type="dxa"/>
            </w:tcMar>
          </w:tcPr>
          <w:p>
            <w:r>
              <w:rPr>
                <w:b/>
                <w:color w:val="1E293B"/>
                <w:sz w:val="17"/>
              </w:rPr>
              <w:t>Alexandria Construction Co. (ACC)</w:t>
            </w:r>
          </w:p>
        </w:tc>
        <w:tc>
          <w:tcPr>
            <w:tcW w:type="dxa" w:w="1872"/>
            <w:shd w:fill="F8FAFC"/>
            <w:tcMar>
              <w:top w:w="70" w:type="dxa"/>
              <w:bottom w:w="70" w:type="dxa"/>
              <w:left w:w="90" w:type="dxa"/>
              <w:right w:w="90" w:type="dxa"/>
            </w:tcMar>
          </w:tcPr>
          <w:p>
            <w:r>
              <w:rPr>
                <w:color w:val="1E293B"/>
                <w:sz w:val="17"/>
              </w:rPr>
              <w:t>Arab Co. for Projects &amp; Urban Dev.</w:t>
            </w:r>
          </w:p>
        </w:tc>
        <w:tc>
          <w:tcPr>
            <w:tcW w:type="dxa" w:w="1872"/>
            <w:shd w:fill="F8FAFC"/>
            <w:tcMar>
              <w:top w:w="70" w:type="dxa"/>
              <w:bottom w:w="70" w:type="dxa"/>
              <w:left w:w="90" w:type="dxa"/>
              <w:right w:w="90" w:type="dxa"/>
            </w:tcMar>
          </w:tcPr>
          <w:p>
            <w:r>
              <w:rPr>
                <w:color w:val="1E293B"/>
                <w:sz w:val="17"/>
              </w:rPr>
              <w:t>Master General Contractor across Madinaty, Rehab, Celia, Noor</w:t>
            </w:r>
          </w:p>
        </w:tc>
        <w:tc>
          <w:tcPr>
            <w:tcW w:type="dxa" w:w="1872"/>
            <w:shd w:fill="F8FAFC"/>
            <w:tcMar>
              <w:top w:w="70" w:type="dxa"/>
              <w:bottom w:w="70" w:type="dxa"/>
              <w:left w:w="90" w:type="dxa"/>
              <w:right w:w="90" w:type="dxa"/>
            </w:tcMar>
          </w:tcPr>
          <w:p>
            <w:r>
              <w:rPr>
                <w:color w:val="1E293B"/>
                <w:sz w:val="17"/>
              </w:rPr>
              <w:t>Captive In-House GC</w:t>
            </w:r>
          </w:p>
        </w:tc>
        <w:tc>
          <w:tcPr>
            <w:tcW w:type="dxa" w:w="1872"/>
            <w:shd w:fill="F8FAFC"/>
            <w:tcMar>
              <w:top w:w="70" w:type="dxa"/>
              <w:bottom w:w="70" w:type="dxa"/>
              <w:left w:w="90" w:type="dxa"/>
              <w:right w:w="90" w:type="dxa"/>
            </w:tcMar>
          </w:tcPr>
          <w:p>
            <w:r>
              <w:rPr>
                <w:color w:val="1E293B"/>
                <w:sz w:val="17"/>
              </w:rPr>
              <w:t>Labor unrest (March 2024 protest); historical 2008 subcontractor withholding</w:t>
            </w:r>
          </w:p>
        </w:tc>
      </w:tr>
      <w:tr>
        <w:tc>
          <w:tcPr>
            <w:tcW w:type="dxa" w:w="1872"/>
            <w:shd w:fill="FFFFFF"/>
            <w:tcMar>
              <w:top w:w="70" w:type="dxa"/>
              <w:bottom w:w="70" w:type="dxa"/>
              <w:left w:w="90" w:type="dxa"/>
              <w:right w:w="90" w:type="dxa"/>
            </w:tcMar>
          </w:tcPr>
          <w:p>
            <w:r>
              <w:rPr>
                <w:b/>
                <w:color w:val="1E293B"/>
                <w:sz w:val="17"/>
              </w:rPr>
              <w:t>Hassan Allam Construction</w:t>
            </w:r>
          </w:p>
        </w:tc>
        <w:tc>
          <w:tcPr>
            <w:tcW w:type="dxa" w:w="1872"/>
            <w:shd w:fill="FFFFFF"/>
            <w:tcMar>
              <w:top w:w="70" w:type="dxa"/>
              <w:bottom w:w="70" w:type="dxa"/>
              <w:left w:w="90" w:type="dxa"/>
              <w:right w:w="90" w:type="dxa"/>
            </w:tcMar>
          </w:tcPr>
          <w:p>
            <w:r>
              <w:rPr>
                <w:color w:val="1E293B"/>
                <w:sz w:val="17"/>
              </w:rPr>
              <w:t>Arab Co. for Projects (ACPUD)</w:t>
            </w:r>
          </w:p>
        </w:tc>
        <w:tc>
          <w:tcPr>
            <w:tcW w:type="dxa" w:w="1872"/>
            <w:shd w:fill="FFFFFF"/>
            <w:tcMar>
              <w:top w:w="70" w:type="dxa"/>
              <w:bottom w:w="70" w:type="dxa"/>
              <w:left w:w="90" w:type="dxa"/>
              <w:right w:w="90" w:type="dxa"/>
            </w:tcMar>
          </w:tcPr>
          <w:p>
            <w:r>
              <w:rPr>
                <w:color w:val="1E293B"/>
                <w:sz w:val="17"/>
              </w:rPr>
              <w:t>Madinaty central municipal wastewater treatment plant &amp; trunk utilities</w:t>
            </w:r>
          </w:p>
        </w:tc>
        <w:tc>
          <w:tcPr>
            <w:tcW w:type="dxa" w:w="1872"/>
            <w:shd w:fill="FFFFFF"/>
            <w:tcMar>
              <w:top w:w="70" w:type="dxa"/>
              <w:bottom w:w="70" w:type="dxa"/>
              <w:left w:w="90" w:type="dxa"/>
              <w:right w:w="90" w:type="dxa"/>
            </w:tcMar>
          </w:tcPr>
          <w:p>
            <w:r>
              <w:rPr>
                <w:color w:val="1E293B"/>
                <w:sz w:val="17"/>
              </w:rPr>
              <w:t>Multi-Billion Infrastructure</w:t>
            </w:r>
          </w:p>
        </w:tc>
        <w:tc>
          <w:tcPr>
            <w:tcW w:type="dxa" w:w="1872"/>
            <w:shd w:fill="FFFFFF"/>
            <w:tcMar>
              <w:top w:w="70" w:type="dxa"/>
              <w:bottom w:w="70" w:type="dxa"/>
              <w:left w:w="90" w:type="dxa"/>
              <w:right w:w="90" w:type="dxa"/>
            </w:tcMar>
          </w:tcPr>
          <w:p>
            <w:r>
              <w:rPr>
                <w:color w:val="1E293B"/>
                <w:sz w:val="17"/>
              </w:rPr>
              <w:t>Strict compliance engineering; municipal interface coordination</w:t>
            </w:r>
          </w:p>
        </w:tc>
      </w:tr>
      <w:tr>
        <w:tc>
          <w:tcPr>
            <w:tcW w:type="dxa" w:w="1872"/>
            <w:shd w:fill="F8FAFC"/>
            <w:tcMar>
              <w:top w:w="70" w:type="dxa"/>
              <w:bottom w:w="70" w:type="dxa"/>
              <w:left w:w="90" w:type="dxa"/>
              <w:right w:w="90" w:type="dxa"/>
            </w:tcMar>
          </w:tcPr>
          <w:p>
            <w:r>
              <w:rPr>
                <w:b/>
                <w:color w:val="1E293B"/>
                <w:sz w:val="17"/>
              </w:rPr>
              <w:t>Saveto Egypt</w:t>
            </w:r>
          </w:p>
        </w:tc>
        <w:tc>
          <w:tcPr>
            <w:tcW w:type="dxa" w:w="1872"/>
            <w:shd w:fill="F8FAFC"/>
            <w:tcMar>
              <w:top w:w="70" w:type="dxa"/>
              <w:bottom w:w="70" w:type="dxa"/>
              <w:left w:w="90" w:type="dxa"/>
              <w:right w:w="90" w:type="dxa"/>
            </w:tcMar>
          </w:tcPr>
          <w:p>
            <w:r>
              <w:rPr>
                <w:color w:val="1E293B"/>
                <w:sz w:val="17"/>
              </w:rPr>
              <w:t>Alexandria Construction Co. (ACC)</w:t>
            </w:r>
          </w:p>
        </w:tc>
        <w:tc>
          <w:tcPr>
            <w:tcW w:type="dxa" w:w="1872"/>
            <w:shd w:fill="F8FAFC"/>
            <w:tcMar>
              <w:top w:w="70" w:type="dxa"/>
              <w:bottom w:w="70" w:type="dxa"/>
              <w:left w:w="90" w:type="dxa"/>
              <w:right w:w="90" w:type="dxa"/>
            </w:tcMar>
          </w:tcPr>
          <w:p>
            <w:r>
              <w:rPr>
                <w:color w:val="1E293B"/>
                <w:sz w:val="17"/>
              </w:rPr>
              <w:t>Dry mix mortars, finishing plasters, and thermal insulation chemicals</w:t>
            </w:r>
          </w:p>
        </w:tc>
        <w:tc>
          <w:tcPr>
            <w:tcW w:type="dxa" w:w="1872"/>
            <w:shd w:fill="F8FAFC"/>
            <w:tcMar>
              <w:top w:w="70" w:type="dxa"/>
              <w:bottom w:w="70" w:type="dxa"/>
              <w:left w:w="90" w:type="dxa"/>
              <w:right w:w="90" w:type="dxa"/>
            </w:tcMar>
          </w:tcPr>
          <w:p>
            <w:r>
              <w:rPr>
                <w:color w:val="1E293B"/>
                <w:sz w:val="17"/>
              </w:rPr>
              <w:t>Long-term Supply Vendor</w:t>
            </w:r>
          </w:p>
        </w:tc>
        <w:tc>
          <w:tcPr>
            <w:tcW w:type="dxa" w:w="1872"/>
            <w:shd w:fill="F8FAFC"/>
            <w:tcMar>
              <w:top w:w="70" w:type="dxa"/>
              <w:bottom w:w="70" w:type="dxa"/>
              <w:left w:w="90" w:type="dxa"/>
              <w:right w:w="90" w:type="dxa"/>
            </w:tcMar>
          </w:tcPr>
          <w:p>
            <w:r>
              <w:rPr>
                <w:color w:val="1E293B"/>
                <w:sz w:val="17"/>
              </w:rPr>
              <w:t>Supply chain credit extension (90-120 day PDCs); raw material inflation</w:t>
            </w:r>
          </w:p>
        </w:tc>
      </w:tr>
      <w:tr>
        <w:tc>
          <w:tcPr>
            <w:tcW w:type="dxa" w:w="1872"/>
            <w:shd w:fill="FFFFFF"/>
            <w:tcMar>
              <w:top w:w="70" w:type="dxa"/>
              <w:bottom w:w="70" w:type="dxa"/>
              <w:left w:w="90" w:type="dxa"/>
              <w:right w:w="90" w:type="dxa"/>
            </w:tcMar>
          </w:tcPr>
          <w:p>
            <w:r>
              <w:rPr>
                <w:b/>
                <w:color w:val="1E293B"/>
                <w:sz w:val="17"/>
              </w:rPr>
              <w:t>Gemka Group</w:t>
            </w:r>
          </w:p>
        </w:tc>
        <w:tc>
          <w:tcPr>
            <w:tcW w:type="dxa" w:w="1872"/>
            <w:shd w:fill="FFFFFF"/>
            <w:tcMar>
              <w:top w:w="70" w:type="dxa"/>
              <w:bottom w:w="70" w:type="dxa"/>
              <w:left w:w="90" w:type="dxa"/>
              <w:right w:w="90" w:type="dxa"/>
            </w:tcMar>
          </w:tcPr>
          <w:p>
            <w:r>
              <w:rPr>
                <w:color w:val="1E293B"/>
                <w:sz w:val="17"/>
              </w:rPr>
              <w:t>Alexandria Construction Co. (ACC)</w:t>
            </w:r>
          </w:p>
        </w:tc>
        <w:tc>
          <w:tcPr>
            <w:tcW w:type="dxa" w:w="1872"/>
            <w:shd w:fill="FFFFFF"/>
            <w:tcMar>
              <w:top w:w="70" w:type="dxa"/>
              <w:bottom w:w="70" w:type="dxa"/>
              <w:left w:w="90" w:type="dxa"/>
              <w:right w:w="90" w:type="dxa"/>
            </w:tcMar>
          </w:tcPr>
          <w:p>
            <w:r>
              <w:rPr>
                <w:color w:val="1E293B"/>
                <w:sz w:val="17"/>
              </w:rPr>
              <w:t>Pumping stations, water supply networks &amp; infrastructure MEP</w:t>
            </w:r>
          </w:p>
        </w:tc>
        <w:tc>
          <w:tcPr>
            <w:tcW w:type="dxa" w:w="1872"/>
            <w:shd w:fill="FFFFFF"/>
            <w:tcMar>
              <w:top w:w="70" w:type="dxa"/>
              <w:bottom w:w="70" w:type="dxa"/>
              <w:left w:w="90" w:type="dxa"/>
              <w:right w:w="90" w:type="dxa"/>
            </w:tcMar>
          </w:tcPr>
          <w:p>
            <w:r>
              <w:rPr>
                <w:color w:val="1E293B"/>
                <w:sz w:val="17"/>
              </w:rPr>
              <w:t>Specialist MEP Contractor</w:t>
            </w:r>
          </w:p>
        </w:tc>
        <w:tc>
          <w:tcPr>
            <w:tcW w:type="dxa" w:w="1872"/>
            <w:shd w:fill="FFFFFF"/>
            <w:tcMar>
              <w:top w:w="70" w:type="dxa"/>
              <w:bottom w:w="70" w:type="dxa"/>
              <w:left w:w="90" w:type="dxa"/>
              <w:right w:w="90" w:type="dxa"/>
            </w:tcMar>
          </w:tcPr>
          <w:p>
            <w:r>
              <w:rPr>
                <w:color w:val="1E293B"/>
                <w:sz w:val="17"/>
              </w:rPr>
              <w:t>Lengthy technical testing &amp; commissioning signoff delays</w:t>
            </w:r>
          </w:p>
        </w:tc>
      </w:tr>
      <w:tr>
        <w:tc>
          <w:tcPr>
            <w:tcW w:type="dxa" w:w="1872"/>
            <w:shd w:fill="F8FAFC"/>
            <w:tcMar>
              <w:top w:w="70" w:type="dxa"/>
              <w:bottom w:w="70" w:type="dxa"/>
              <w:left w:w="90" w:type="dxa"/>
              <w:right w:w="90" w:type="dxa"/>
            </w:tcMar>
          </w:tcPr>
          <w:p>
            <w:r>
              <w:rPr>
                <w:b/>
                <w:color w:val="1E293B"/>
                <w:sz w:val="17"/>
              </w:rPr>
              <w:t>Al Majd Contracting</w:t>
            </w:r>
          </w:p>
        </w:tc>
        <w:tc>
          <w:tcPr>
            <w:tcW w:type="dxa" w:w="1872"/>
            <w:shd w:fill="F8FAFC"/>
            <w:tcMar>
              <w:top w:w="70" w:type="dxa"/>
              <w:bottom w:w="70" w:type="dxa"/>
              <w:left w:w="90" w:type="dxa"/>
              <w:right w:w="90" w:type="dxa"/>
            </w:tcMar>
          </w:tcPr>
          <w:p>
            <w:r>
              <w:rPr>
                <w:color w:val="1E293B"/>
                <w:sz w:val="17"/>
              </w:rPr>
              <w:t>Atrium Quality Contractors (Tier-2)</w:t>
            </w:r>
          </w:p>
        </w:tc>
        <w:tc>
          <w:tcPr>
            <w:tcW w:type="dxa" w:w="1872"/>
            <w:shd w:fill="F8FAFC"/>
            <w:tcMar>
              <w:top w:w="70" w:type="dxa"/>
              <w:bottom w:w="70" w:type="dxa"/>
              <w:left w:w="90" w:type="dxa"/>
              <w:right w:w="90" w:type="dxa"/>
            </w:tcMar>
          </w:tcPr>
          <w:p>
            <w:r>
              <w:rPr>
                <w:color w:val="1E293B"/>
                <w:sz w:val="17"/>
              </w:rPr>
              <w:t>Electromechanical (MEP) execution across Celia apartment buildings</w:t>
            </w:r>
          </w:p>
        </w:tc>
        <w:tc>
          <w:tcPr>
            <w:tcW w:type="dxa" w:w="1872"/>
            <w:shd w:fill="F8FAFC"/>
            <w:tcMar>
              <w:top w:w="70" w:type="dxa"/>
              <w:bottom w:w="70" w:type="dxa"/>
              <w:left w:w="90" w:type="dxa"/>
              <w:right w:w="90" w:type="dxa"/>
            </w:tcMar>
          </w:tcPr>
          <w:p>
            <w:r>
              <w:rPr>
                <w:color w:val="1E293B"/>
                <w:sz w:val="17"/>
              </w:rPr>
              <w:t>Subcontractor Package</w:t>
            </w:r>
          </w:p>
        </w:tc>
        <w:tc>
          <w:tcPr>
            <w:tcW w:type="dxa" w:w="1872"/>
            <w:shd w:fill="F8FAFC"/>
            <w:tcMar>
              <w:top w:w="70" w:type="dxa"/>
              <w:bottom w:w="70" w:type="dxa"/>
              <w:left w:w="90" w:type="dxa"/>
              <w:right w:w="90" w:type="dxa"/>
            </w:tcMar>
          </w:tcPr>
          <w:p>
            <w:r>
              <w:rPr>
                <w:color w:val="1E293B"/>
                <w:sz w:val="17"/>
              </w:rPr>
              <w:t>Conditional pay-when-paid exposure under Atrium turnkey structure</w:t>
            </w:r>
          </w:p>
        </w:tc>
      </w:tr>
      <w:tr>
        <w:tc>
          <w:tcPr>
            <w:tcW w:type="dxa" w:w="1872"/>
            <w:shd w:fill="FFFFFF"/>
            <w:tcMar>
              <w:top w:w="70" w:type="dxa"/>
              <w:bottom w:w="70" w:type="dxa"/>
              <w:left w:w="90" w:type="dxa"/>
              <w:right w:w="90" w:type="dxa"/>
            </w:tcMar>
          </w:tcPr>
          <w:p>
            <w:r>
              <w:rPr>
                <w:b/>
                <w:color w:val="1E293B"/>
                <w:sz w:val="17"/>
              </w:rPr>
              <w:t>Madinaty Security Force</w:t>
            </w:r>
          </w:p>
        </w:tc>
        <w:tc>
          <w:tcPr>
            <w:tcW w:type="dxa" w:w="1872"/>
            <w:shd w:fill="FFFFFF"/>
            <w:tcMar>
              <w:top w:w="70" w:type="dxa"/>
              <w:bottom w:w="70" w:type="dxa"/>
              <w:left w:w="90" w:type="dxa"/>
              <w:right w:w="90" w:type="dxa"/>
            </w:tcMar>
          </w:tcPr>
          <w:p>
            <w:r>
              <w:rPr>
                <w:color w:val="1E293B"/>
                <w:sz w:val="17"/>
              </w:rPr>
              <w:t>Alexandria Construction Co. / ACC</w:t>
            </w:r>
          </w:p>
        </w:tc>
        <w:tc>
          <w:tcPr>
            <w:tcW w:type="dxa" w:w="1872"/>
            <w:shd w:fill="FFFFFF"/>
            <w:tcMar>
              <w:top w:w="70" w:type="dxa"/>
              <w:bottom w:w="70" w:type="dxa"/>
              <w:left w:w="90" w:type="dxa"/>
              <w:right w:w="90" w:type="dxa"/>
            </w:tcMar>
          </w:tcPr>
          <w:p>
            <w:r>
              <w:rPr>
                <w:color w:val="1E293B"/>
                <w:sz w:val="17"/>
              </w:rPr>
              <w:t>Facility surveillance, access control, and physical site security</w:t>
            </w:r>
          </w:p>
        </w:tc>
        <w:tc>
          <w:tcPr>
            <w:tcW w:type="dxa" w:w="1872"/>
            <w:shd w:fill="FFFFFF"/>
            <w:tcMar>
              <w:top w:w="70" w:type="dxa"/>
              <w:bottom w:w="70" w:type="dxa"/>
              <w:left w:w="90" w:type="dxa"/>
              <w:right w:w="90" w:type="dxa"/>
            </w:tcMar>
          </w:tcPr>
          <w:p>
            <w:r>
              <w:rPr>
                <w:color w:val="1E293B"/>
                <w:sz w:val="17"/>
              </w:rPr>
              <w:t>Direct Operational Labor</w:t>
            </w:r>
          </w:p>
        </w:tc>
        <w:tc>
          <w:tcPr>
            <w:tcW w:type="dxa" w:w="1872"/>
            <w:shd w:fill="FFFFFF"/>
            <w:tcMar>
              <w:top w:w="70" w:type="dxa"/>
              <w:bottom w:w="70" w:type="dxa"/>
              <w:left w:w="90" w:type="dxa"/>
              <w:right w:w="90" w:type="dxa"/>
            </w:tcMar>
          </w:tcPr>
          <w:p>
            <w:r>
              <w:rPr>
                <w:color w:val="1E293B"/>
                <w:sz w:val="17"/>
              </w:rPr>
              <w:t>High friction: Aug 2024 sit-in; Oct 2025 formal petition &amp; administrative inquiries</w:t>
            </w:r>
          </w:p>
        </w:tc>
      </w:tr>
      <w:tr>
        <w:tc>
          <w:tcPr>
            <w:tcW w:type="dxa" w:w="1872"/>
            <w:shd w:fill="F8FAFC"/>
            <w:tcMar>
              <w:top w:w="70" w:type="dxa"/>
              <w:bottom w:w="70" w:type="dxa"/>
              <w:left w:w="90" w:type="dxa"/>
              <w:right w:w="90" w:type="dxa"/>
            </w:tcMar>
          </w:tcPr>
          <w:p>
            <w:r>
              <w:rPr>
                <w:b/>
                <w:color w:val="1E293B"/>
                <w:sz w:val="17"/>
              </w:rPr>
              <w:t>Atrium Quality Contractors (Luxor)</w:t>
            </w:r>
          </w:p>
        </w:tc>
        <w:tc>
          <w:tcPr>
            <w:tcW w:type="dxa" w:w="1872"/>
            <w:shd w:fill="F8FAFC"/>
            <w:tcMar>
              <w:top w:w="70" w:type="dxa"/>
              <w:bottom w:w="70" w:type="dxa"/>
              <w:left w:w="90" w:type="dxa"/>
              <w:right w:w="90" w:type="dxa"/>
            </w:tcMar>
          </w:tcPr>
          <w:p>
            <w:r>
              <w:rPr>
                <w:color w:val="1E293B"/>
                <w:sz w:val="17"/>
              </w:rPr>
              <w:t>ICON / EGOTH / TMG</w:t>
            </w:r>
          </w:p>
        </w:tc>
        <w:tc>
          <w:tcPr>
            <w:tcW w:type="dxa" w:w="1872"/>
            <w:shd w:fill="F8FAFC"/>
            <w:tcMar>
              <w:top w:w="70" w:type="dxa"/>
              <w:bottom w:w="70" w:type="dxa"/>
              <w:left w:w="90" w:type="dxa"/>
              <w:right w:w="90" w:type="dxa"/>
            </w:tcMar>
          </w:tcPr>
          <w:p>
            <w:r>
              <w:rPr>
                <w:color w:val="1E293B"/>
                <w:sz w:val="17"/>
              </w:rPr>
              <w:t>Four Seasons Luxor luxury hotel turnkey EPC construction package</w:t>
            </w:r>
          </w:p>
        </w:tc>
        <w:tc>
          <w:tcPr>
            <w:tcW w:type="dxa" w:w="1872"/>
            <w:shd w:fill="F8FAFC"/>
            <w:tcMar>
              <w:top w:w="70" w:type="dxa"/>
              <w:bottom w:w="70" w:type="dxa"/>
              <w:left w:w="90" w:type="dxa"/>
              <w:right w:w="90" w:type="dxa"/>
            </w:tcMar>
          </w:tcPr>
          <w:p>
            <w:r>
              <w:rPr>
                <w:color w:val="1E293B"/>
                <w:sz w:val="17"/>
              </w:rPr>
              <w:t>Turnkey Hospitality Main EPC</w:t>
            </w:r>
          </w:p>
        </w:tc>
        <w:tc>
          <w:tcPr>
            <w:tcW w:type="dxa" w:w="1872"/>
            <w:shd w:fill="F8FAFC"/>
            <w:tcMar>
              <w:top w:w="70" w:type="dxa"/>
              <w:bottom w:w="70" w:type="dxa"/>
              <w:left w:w="90" w:type="dxa"/>
              <w:right w:w="90" w:type="dxa"/>
            </w:tcMar>
          </w:tcPr>
          <w:p>
            <w:r>
              <w:rPr>
                <w:color w:val="1E293B"/>
                <w:sz w:val="17"/>
              </w:rPr>
              <w:t>Privity shield: Main contractor holding direct subcontracts; schedule adjusted to 2027; no public default verified</w:t>
            </w:r>
          </w:p>
        </w:tc>
      </w:tr>
      <w:tr>
        <w:tc>
          <w:tcPr>
            <w:tcW w:type="dxa" w:w="1872"/>
            <w:shd w:fill="FFFFFF"/>
            <w:tcMar>
              <w:top w:w="70" w:type="dxa"/>
              <w:bottom w:w="70" w:type="dxa"/>
              <w:left w:w="90" w:type="dxa"/>
              <w:right w:w="90" w:type="dxa"/>
            </w:tcMar>
          </w:tcPr>
          <w:p>
            <w:r>
              <w:rPr>
                <w:b/>
                <w:color w:val="1E293B"/>
                <w:sz w:val="17"/>
              </w:rPr>
              <w:t>CCC / Atrium MEP Joint Venture</w:t>
            </w:r>
          </w:p>
        </w:tc>
        <w:tc>
          <w:tcPr>
            <w:tcW w:type="dxa" w:w="1872"/>
            <w:shd w:fill="FFFFFF"/>
            <w:tcMar>
              <w:top w:w="70" w:type="dxa"/>
              <w:bottom w:w="70" w:type="dxa"/>
              <w:left w:w="90" w:type="dxa"/>
              <w:right w:w="90" w:type="dxa"/>
            </w:tcMar>
          </w:tcPr>
          <w:p>
            <w:r>
              <w:rPr>
                <w:color w:val="1E293B"/>
                <w:sz w:val="17"/>
              </w:rPr>
              <w:t>Atrium Quality Contractors</w:t>
            </w:r>
          </w:p>
        </w:tc>
        <w:tc>
          <w:tcPr>
            <w:tcW w:type="dxa" w:w="1872"/>
            <w:shd w:fill="FFFFFF"/>
            <w:tcMar>
              <w:top w:w="70" w:type="dxa"/>
              <w:bottom w:w="70" w:type="dxa"/>
              <w:left w:w="90" w:type="dxa"/>
              <w:right w:w="90" w:type="dxa"/>
            </w:tcMar>
          </w:tcPr>
          <w:p>
            <w:r>
              <w:rPr>
                <w:color w:val="1E293B"/>
                <w:sz w:val="17"/>
              </w:rPr>
              <w:t>Four Seasons Luxor electromechanical MEP package (Package CP02)</w:t>
            </w:r>
          </w:p>
        </w:tc>
        <w:tc>
          <w:tcPr>
            <w:tcW w:type="dxa" w:w="1872"/>
            <w:shd w:fill="FFFFFF"/>
            <w:tcMar>
              <w:top w:w="70" w:type="dxa"/>
              <w:bottom w:w="70" w:type="dxa"/>
              <w:left w:w="90" w:type="dxa"/>
              <w:right w:w="90" w:type="dxa"/>
            </w:tcMar>
          </w:tcPr>
          <w:p>
            <w:r>
              <w:rPr>
                <w:color w:val="1E293B"/>
                <w:sz w:val="17"/>
              </w:rPr>
              <w:t>Specialist MEP JV Tier-1</w:t>
            </w:r>
          </w:p>
        </w:tc>
        <w:tc>
          <w:tcPr>
            <w:tcW w:type="dxa" w:w="1872"/>
            <w:shd w:fill="FFFFFF"/>
            <w:tcMar>
              <w:top w:w="70" w:type="dxa"/>
              <w:bottom w:w="70" w:type="dxa"/>
              <w:left w:w="90" w:type="dxa"/>
              <w:right w:w="90" w:type="dxa"/>
            </w:tcMar>
          </w:tcPr>
          <w:p>
            <w:r>
              <w:rPr>
                <w:color w:val="1E293B"/>
                <w:sz w:val="17"/>
              </w:rPr>
              <w:t>Direct subcontractor privity for MEP trades; critical monitoring node for 2025-2026 IPC clearance</w:t>
            </w:r>
          </w:p>
        </w:tc>
      </w:tr>
      <w:tr>
        <w:tc>
          <w:tcPr>
            <w:tcW w:type="dxa" w:w="1872"/>
            <w:shd w:fill="F8FAFC"/>
            <w:tcMar>
              <w:top w:w="70" w:type="dxa"/>
              <w:bottom w:w="70" w:type="dxa"/>
              <w:left w:w="90" w:type="dxa"/>
              <w:right w:w="90" w:type="dxa"/>
            </w:tcMar>
          </w:tcPr>
          <w:p>
            <w:r>
              <w:rPr>
                <w:b/>
                <w:color w:val="1E293B"/>
                <w:sz w:val="17"/>
              </w:rPr>
              <w:t>Hill International &amp; Shaker Group</w:t>
            </w:r>
          </w:p>
        </w:tc>
        <w:tc>
          <w:tcPr>
            <w:tcW w:type="dxa" w:w="1872"/>
            <w:shd w:fill="F8FAFC"/>
            <w:tcMar>
              <w:top w:w="70" w:type="dxa"/>
              <w:bottom w:w="70" w:type="dxa"/>
              <w:left w:w="90" w:type="dxa"/>
              <w:right w:w="90" w:type="dxa"/>
            </w:tcMar>
          </w:tcPr>
          <w:p>
            <w:r>
              <w:rPr>
                <w:color w:val="1E293B"/>
                <w:sz w:val="17"/>
              </w:rPr>
              <w:t>ICON / TMG Hospitality SPVs</w:t>
            </w:r>
          </w:p>
        </w:tc>
        <w:tc>
          <w:tcPr>
            <w:tcW w:type="dxa" w:w="1872"/>
            <w:shd w:fill="F8FAFC"/>
            <w:tcMar>
              <w:top w:w="70" w:type="dxa"/>
              <w:bottom w:w="70" w:type="dxa"/>
              <w:left w:w="90" w:type="dxa"/>
              <w:right w:w="90" w:type="dxa"/>
            </w:tcMar>
          </w:tcPr>
          <w:p>
            <w:r>
              <w:rPr>
                <w:color w:val="1E293B"/>
                <w:sz w:val="17"/>
              </w:rPr>
              <w:t>Four Seasons Luxor project management &amp; lead engineering design supervision</w:t>
            </w:r>
          </w:p>
        </w:tc>
        <w:tc>
          <w:tcPr>
            <w:tcW w:type="dxa" w:w="1872"/>
            <w:shd w:fill="F8FAFC"/>
            <w:tcMar>
              <w:top w:w="70" w:type="dxa"/>
              <w:bottom w:w="70" w:type="dxa"/>
              <w:left w:w="90" w:type="dxa"/>
              <w:right w:w="90" w:type="dxa"/>
            </w:tcMar>
          </w:tcPr>
          <w:p>
            <w:r>
              <w:rPr>
                <w:color w:val="1E293B"/>
                <w:sz w:val="17"/>
              </w:rPr>
              <w:t>International PM &amp; Supervision</w:t>
            </w:r>
          </w:p>
        </w:tc>
        <w:tc>
          <w:tcPr>
            <w:tcW w:type="dxa" w:w="1872"/>
            <w:shd w:fill="F8FAFC"/>
            <w:tcMar>
              <w:top w:w="70" w:type="dxa"/>
              <w:bottom w:w="70" w:type="dxa"/>
              <w:left w:w="90" w:type="dxa"/>
              <w:right w:w="90" w:type="dxa"/>
            </w:tcMar>
          </w:tcPr>
          <w:p>
            <w:r>
              <w:rPr>
                <w:color w:val="1E293B"/>
                <w:sz w:val="17"/>
              </w:rPr>
              <w:t>Rigorous milestone signoff; stringent variation and quality gatekeeping</w:t>
            </w:r>
          </w:p>
        </w:tc>
      </w:tr>
      <w:tr>
        <w:tc>
          <w:tcPr>
            <w:tcW w:type="dxa" w:w="1872"/>
            <w:shd w:fill="FFFFFF"/>
            <w:tcMar>
              <w:top w:w="70" w:type="dxa"/>
              <w:bottom w:w="70" w:type="dxa"/>
              <w:left w:w="90" w:type="dxa"/>
              <w:right w:w="90" w:type="dxa"/>
            </w:tcMar>
          </w:tcPr>
          <w:p>
            <w:r>
              <w:rPr>
                <w:b/>
                <w:color w:val="1E293B"/>
                <w:sz w:val="17"/>
              </w:rPr>
              <w:t>Knauf Egypt &amp; AMC</w:t>
            </w:r>
          </w:p>
        </w:tc>
        <w:tc>
          <w:tcPr>
            <w:tcW w:type="dxa" w:w="1872"/>
            <w:shd w:fill="FFFFFF"/>
            <w:tcMar>
              <w:top w:w="70" w:type="dxa"/>
              <w:bottom w:w="70" w:type="dxa"/>
              <w:left w:w="90" w:type="dxa"/>
              <w:right w:w="90" w:type="dxa"/>
            </w:tcMar>
          </w:tcPr>
          <w:p>
            <w:r>
              <w:rPr>
                <w:color w:val="1E293B"/>
                <w:sz w:val="17"/>
              </w:rPr>
              <w:t>Atrium / CCC MEP JV</w:t>
            </w:r>
          </w:p>
        </w:tc>
        <w:tc>
          <w:tcPr>
            <w:tcW w:type="dxa" w:w="1872"/>
            <w:shd w:fill="FFFFFF"/>
            <w:tcMar>
              <w:top w:w="70" w:type="dxa"/>
              <w:bottom w:w="70" w:type="dxa"/>
              <w:left w:w="90" w:type="dxa"/>
              <w:right w:w="90" w:type="dxa"/>
            </w:tcMar>
          </w:tcPr>
          <w:p>
            <w:r>
              <w:rPr>
                <w:color w:val="1E293B"/>
                <w:sz w:val="17"/>
              </w:rPr>
              <w:t>Drywall systems, specialized technical gypsum &amp; architectural supplies</w:t>
            </w:r>
          </w:p>
        </w:tc>
        <w:tc>
          <w:tcPr>
            <w:tcW w:type="dxa" w:w="1872"/>
            <w:shd w:fill="FFFFFF"/>
            <w:tcMar>
              <w:top w:w="70" w:type="dxa"/>
              <w:bottom w:w="70" w:type="dxa"/>
              <w:left w:w="90" w:type="dxa"/>
              <w:right w:w="90" w:type="dxa"/>
            </w:tcMar>
          </w:tcPr>
          <w:p>
            <w:r>
              <w:rPr>
                <w:color w:val="1E293B"/>
                <w:sz w:val="17"/>
              </w:rPr>
              <w:t>Specialized Technical Materials</w:t>
            </w:r>
          </w:p>
        </w:tc>
        <w:tc>
          <w:tcPr>
            <w:tcW w:type="dxa" w:w="1872"/>
            <w:shd w:fill="FFFFFF"/>
            <w:tcMar>
              <w:top w:w="70" w:type="dxa"/>
              <w:bottom w:w="70" w:type="dxa"/>
              <w:left w:w="90" w:type="dxa"/>
              <w:right w:w="90" w:type="dxa"/>
            </w:tcMar>
          </w:tcPr>
          <w:p>
            <w:r>
              <w:rPr>
                <w:color w:val="1E293B"/>
                <w:sz w:val="17"/>
              </w:rPr>
              <w:t>Documented active collaboration; high-spec delivery standards; no payment friction reported</w:t>
            </w:r>
          </w:p>
        </w:tc>
      </w:tr>
    </w:tbl>
    <w:p>
      <w:pPr>
        <w:spacing w:after="160"/>
      </w:pPr>
    </w:p>
    <w:p>
      <w:pPr>
        <w:pStyle w:val="Heading1"/>
        <w:keepNext/>
        <w:spacing w:before="360" w:after="120"/>
      </w:pPr>
      <w:r>
        <w:rPr>
          <w:rFonts w:ascii="Calibri" w:hAnsi="Calibri"/>
          <w:b/>
          <w:color w:val="0F172A"/>
          <w:sz w:val="34"/>
        </w:rPr>
        <w:t>9. Judicial Decisions, Misdemeanors &amp; Institutional Arbitration (CRCICA)</w:t>
      </w:r>
    </w:p>
    <w:p>
      <w:pPr>
        <w:spacing w:after="120" w:line="276" w:lineRule="auto"/>
      </w:pPr>
      <w:r>
        <w:rPr>
          <w:rFonts w:ascii="Calibri" w:hAnsi="Calibri"/>
          <w:color w:val="1E293B"/>
          <w:sz w:val="21"/>
        </w:rPr>
        <w:t>Public litigation involving TMG Holding is constrained by mandatory institutional arbitration clauses. However, landmark judicial decrees and commercial misdemeanor filings establish key legal precedents:</w:t>
      </w:r>
    </w:p>
    <w:p>
      <w:pPr>
        <w:pStyle w:val="ListBullet"/>
        <w:spacing w:after="80" w:line="276" w:lineRule="auto"/>
      </w:pPr>
      <w:r>
        <w:rPr>
          <w:rFonts w:ascii="Calibri" w:hAnsi="Calibri"/>
          <w:b/>
          <w:color w:val="0F172A"/>
          <w:sz w:val="21"/>
        </w:rPr>
        <w:t xml:space="preserve">Madinaty Land Concession Annulment (Appeal 12622 / JY 63): </w:t>
      </w:r>
      <w:r>
        <w:rPr>
          <w:rFonts w:ascii="Calibri" w:hAnsi="Calibri"/>
          <w:color w:val="1E293B"/>
          <w:sz w:val="21"/>
        </w:rPr>
        <w:t>In September 2010, the Supreme Administrative Court upheld the annulment of the direct sale of 8,000 feddans for Madinaty to ACPUD, citing violation of Tender Law No. 89 of 1998. The crisis was regularized via Cabinet decrees (2010/2011) and a final 2015 contract requiring TMG to deliver 7% of total finished residential built-up area (BUA) to NUCA as in-kind consideration.</w:t>
      </w:r>
    </w:p>
    <w:p>
      <w:pPr>
        <w:pStyle w:val="ListBullet"/>
        <w:spacing w:after="80" w:line="276" w:lineRule="auto"/>
      </w:pPr>
      <w:r>
        <w:rPr>
          <w:rFonts w:ascii="Calibri" w:hAnsi="Calibri"/>
          <w:b/>
          <w:color w:val="0F172A"/>
          <w:sz w:val="21"/>
        </w:rPr>
        <w:t xml:space="preserve">Commercial Paper Misdemeanors (شيكات بدون رصيد): </w:t>
      </w:r>
      <w:r>
        <w:rPr>
          <w:rFonts w:ascii="Calibri" w:hAnsi="Calibri"/>
          <w:color w:val="1E293B"/>
          <w:sz w:val="21"/>
        </w:rPr>
        <w:t>During historical liquidity crunches (e.g., Case 16522 of 2013, Qasr El-Nil Misdemeanor Court), commercial suppliers and contractors filed bad-check misdemeanor actions against ACPUD executives over defaulted commercial paper. These cases were reconciled through commercial debt rescheduling and replacement notes.</w:t>
      </w:r>
    </w:p>
    <w:p>
      <w:pPr>
        <w:pStyle w:val="ListBullet"/>
        <w:spacing w:after="80" w:line="276" w:lineRule="auto"/>
      </w:pPr>
      <w:r>
        <w:rPr>
          <w:rFonts w:ascii="Calibri" w:hAnsi="Calibri"/>
          <w:b/>
          <w:color w:val="0F172A"/>
          <w:sz w:val="21"/>
        </w:rPr>
        <w:t xml:space="preserve">CRCICA Confidential Arbitration: </w:t>
      </w:r>
      <w:r>
        <w:rPr>
          <w:rFonts w:ascii="Calibri" w:hAnsi="Calibri"/>
          <w:color w:val="1E293B"/>
          <w:sz w:val="21"/>
        </w:rPr>
        <w:t>All construction and procurement contracts mandate dispute resolution before the Cairo Regional Centre for International Commercial Arbitration (CRCICA). This confidential forum effectively conceals contractor payment arbitrations from the public and stock exchange disclosures.</w:t>
      </w:r>
    </w:p>
    <w:p>
      <w:pPr>
        <w:pStyle w:val="Heading1"/>
        <w:keepNext/>
        <w:spacing w:before="360" w:after="120"/>
      </w:pPr>
      <w:r>
        <w:rPr>
          <w:rFonts w:ascii="Calibri" w:hAnsi="Calibri"/>
          <w:b/>
          <w:color w:val="0F172A"/>
          <w:sz w:val="34"/>
        </w:rPr>
        <w:t>10. Master Forensic Risk Register &amp; Warning Indicators</w:t>
      </w:r>
    </w:p>
    <w:p>
      <w:pPr>
        <w:spacing w:after="120" w:line="276" w:lineRule="auto"/>
      </w:pPr>
      <w:r>
        <w:rPr>
          <w:rFonts w:ascii="Calibri" w:hAnsi="Calibri"/>
          <w:color w:val="1E293B"/>
          <w:sz w:val="21"/>
        </w:rPr>
        <w:t>The following risk matrix evaluates corporate exposures across supply chain, legal, financial, and operational vectors: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shd w:fill="0F172A"/>
            <w:tcMar>
              <w:top w:w="100" w:type="dxa"/>
              <w:bottom w:w="100" w:type="dxa"/>
              <w:left w:w="100" w:type="dxa"/>
              <w:right w:w="100" w:type="dxa"/>
            </w:tcMar>
          </w:tcPr>
          <w:p>
            <w:r>
              <w:rPr>
                <w:b/>
                <w:color w:val="FFFFFF"/>
                <w:sz w:val="17"/>
              </w:rPr>
              <w:t>Risk Category</w:t>
            </w:r>
          </w:p>
        </w:tc>
        <w:tc>
          <w:tcPr>
            <w:tcW w:type="dxa" w:w="1872"/>
            <w:shd w:fill="0F172A"/>
            <w:tcMar>
              <w:top w:w="100" w:type="dxa"/>
              <w:bottom w:w="100" w:type="dxa"/>
              <w:left w:w="100" w:type="dxa"/>
              <w:right w:w="100" w:type="dxa"/>
            </w:tcMar>
          </w:tcPr>
          <w:p>
            <w:r>
              <w:rPr>
                <w:b/>
                <w:color w:val="FFFFFF"/>
                <w:sz w:val="17"/>
              </w:rPr>
              <w:t>Severity</w:t>
            </w:r>
          </w:p>
        </w:tc>
        <w:tc>
          <w:tcPr>
            <w:tcW w:type="dxa" w:w="1872"/>
            <w:shd w:fill="0F172A"/>
            <w:tcMar>
              <w:top w:w="100" w:type="dxa"/>
              <w:bottom w:w="100" w:type="dxa"/>
              <w:left w:w="100" w:type="dxa"/>
              <w:right w:w="100" w:type="dxa"/>
            </w:tcMar>
          </w:tcPr>
          <w:p>
            <w:r>
              <w:rPr>
                <w:b/>
                <w:color w:val="FFFFFF"/>
                <w:sz w:val="17"/>
              </w:rPr>
              <w:t>Likelihood</w:t>
            </w:r>
          </w:p>
        </w:tc>
        <w:tc>
          <w:tcPr>
            <w:tcW w:type="dxa" w:w="1872"/>
            <w:shd w:fill="0F172A"/>
            <w:tcMar>
              <w:top w:w="100" w:type="dxa"/>
              <w:bottom w:w="100" w:type="dxa"/>
              <w:left w:w="100" w:type="dxa"/>
              <w:right w:w="100" w:type="dxa"/>
            </w:tcMar>
          </w:tcPr>
          <w:p>
            <w:r>
              <w:rPr>
                <w:b/>
                <w:color w:val="FFFFFF"/>
                <w:sz w:val="17"/>
              </w:rPr>
              <w:t>Observable Warning Indicators</w:t>
            </w:r>
          </w:p>
        </w:tc>
        <w:tc>
          <w:tcPr>
            <w:tcW w:type="dxa" w:w="1872"/>
            <w:shd w:fill="0F172A"/>
            <w:tcMar>
              <w:top w:w="100" w:type="dxa"/>
              <w:bottom w:w="100" w:type="dxa"/>
              <w:left w:w="100" w:type="dxa"/>
              <w:right w:w="100" w:type="dxa"/>
            </w:tcMar>
          </w:tcPr>
          <w:p>
            <w:r>
              <w:rPr>
                <w:b/>
                <w:color w:val="FFFFFF"/>
                <w:sz w:val="17"/>
              </w:rPr>
              <w:t>Diligence Mitigation Strategy</w:t>
            </w:r>
          </w:p>
        </w:tc>
      </w:tr>
      <w:tr>
        <w:tc>
          <w:tcPr>
            <w:tcW w:type="dxa" w:w="1872"/>
            <w:shd w:fill="F8FAFC"/>
            <w:tcMar>
              <w:top w:w="70" w:type="dxa"/>
              <w:bottom w:w="70" w:type="dxa"/>
              <w:left w:w="90" w:type="dxa"/>
              <w:right w:w="90" w:type="dxa"/>
            </w:tcMar>
          </w:tcPr>
          <w:p>
            <w:r>
              <w:rPr>
                <w:color w:val="1E293B"/>
                <w:sz w:val="17"/>
              </w:rPr>
              <w:t>Contractual Privity Ring-Fencing</w:t>
            </w:r>
          </w:p>
        </w:tc>
        <w:tc>
          <w:tcPr>
            <w:tcW w:type="dxa" w:w="1872"/>
            <w:shd w:fill="F8FAFC"/>
            <w:tcMar>
              <w:top w:w="70" w:type="dxa"/>
              <w:bottom w:w="70" w:type="dxa"/>
              <w:left w:w="90" w:type="dxa"/>
              <w:right w:w="90" w:type="dxa"/>
            </w:tcMar>
          </w:tcPr>
          <w:p>
            <w:r>
              <w:rPr>
                <w:b/>
                <w:color w:val="DC2626"/>
                <w:sz w:val="17"/>
              </w:rPr>
              <w:t>CRITICAL</w:t>
            </w:r>
          </w:p>
        </w:tc>
        <w:tc>
          <w:tcPr>
            <w:tcW w:type="dxa" w:w="1872"/>
            <w:shd w:fill="F8FAFC"/>
            <w:tcMar>
              <w:top w:w="70" w:type="dxa"/>
              <w:bottom w:w="70" w:type="dxa"/>
              <w:left w:w="90" w:type="dxa"/>
              <w:right w:w="90" w:type="dxa"/>
            </w:tcMar>
          </w:tcPr>
          <w:p>
            <w:r>
              <w:rPr>
                <w:color w:val="1E293B"/>
                <w:sz w:val="17"/>
              </w:rPr>
              <w:t>High (Active)</w:t>
            </w:r>
          </w:p>
        </w:tc>
        <w:tc>
          <w:tcPr>
            <w:tcW w:type="dxa" w:w="1872"/>
            <w:shd w:fill="F8FAFC"/>
            <w:tcMar>
              <w:top w:w="70" w:type="dxa"/>
              <w:bottom w:w="70" w:type="dxa"/>
              <w:left w:w="90" w:type="dxa"/>
              <w:right w:w="90" w:type="dxa"/>
            </w:tcMar>
          </w:tcPr>
          <w:p>
            <w:r>
              <w:rPr>
                <w:color w:val="1E293B"/>
                <w:sz w:val="17"/>
              </w:rPr>
              <w:t>Absence of TMG Holding parent corporate guarantees in subcontracts</w:t>
            </w:r>
          </w:p>
        </w:tc>
        <w:tc>
          <w:tcPr>
            <w:tcW w:type="dxa" w:w="1872"/>
            <w:shd w:fill="F8FAFC"/>
            <w:tcMar>
              <w:top w:w="70" w:type="dxa"/>
              <w:bottom w:w="70" w:type="dxa"/>
              <w:left w:w="90" w:type="dxa"/>
              <w:right w:w="90" w:type="dxa"/>
            </w:tcMar>
          </w:tcPr>
          <w:p>
            <w:r>
              <w:rPr>
                <w:color w:val="1E293B"/>
                <w:sz w:val="17"/>
              </w:rPr>
              <w:t>Require parent joint-and-several guarantee; verify contracting entity balance sheet</w:t>
            </w:r>
          </w:p>
        </w:tc>
      </w:tr>
      <w:tr>
        <w:tc>
          <w:tcPr>
            <w:tcW w:type="dxa" w:w="1872"/>
            <w:shd w:fill="FFFFFF"/>
            <w:tcMar>
              <w:top w:w="70" w:type="dxa"/>
              <w:bottom w:w="70" w:type="dxa"/>
              <w:left w:w="90" w:type="dxa"/>
              <w:right w:w="90" w:type="dxa"/>
            </w:tcMar>
          </w:tcPr>
          <w:p>
            <w:r>
              <w:rPr>
                <w:color w:val="1E293B"/>
                <w:sz w:val="17"/>
              </w:rPr>
              <w:t>Interim Payment Certificate Delay</w:t>
            </w:r>
          </w:p>
        </w:tc>
        <w:tc>
          <w:tcPr>
            <w:tcW w:type="dxa" w:w="1872"/>
            <w:shd w:fill="FFFFFF"/>
            <w:tcMar>
              <w:top w:w="70" w:type="dxa"/>
              <w:bottom w:w="70" w:type="dxa"/>
              <w:left w:w="90" w:type="dxa"/>
              <w:right w:w="90" w:type="dxa"/>
            </w:tcMar>
          </w:tcPr>
          <w:p>
            <w:r>
              <w:rPr>
                <w:b/>
                <w:color w:val="DC2626"/>
                <w:sz w:val="17"/>
              </w:rPr>
              <w:t>HIGH</w:t>
            </w:r>
          </w:p>
        </w:tc>
        <w:tc>
          <w:tcPr>
            <w:tcW w:type="dxa" w:w="1872"/>
            <w:shd w:fill="FFFFFF"/>
            <w:tcMar>
              <w:top w:w="70" w:type="dxa"/>
              <w:bottom w:w="70" w:type="dxa"/>
              <w:left w:w="90" w:type="dxa"/>
              <w:right w:w="90" w:type="dxa"/>
            </w:tcMar>
          </w:tcPr>
          <w:p>
            <w:r>
              <w:rPr>
                <w:color w:val="1E293B"/>
                <w:sz w:val="17"/>
              </w:rPr>
              <w:t>High (Observed)</w:t>
            </w:r>
          </w:p>
        </w:tc>
        <w:tc>
          <w:tcPr>
            <w:tcW w:type="dxa" w:w="1872"/>
            <w:shd w:fill="FFFFFF"/>
            <w:tcMar>
              <w:top w:w="70" w:type="dxa"/>
              <w:bottom w:w="70" w:type="dxa"/>
              <w:left w:w="90" w:type="dxa"/>
              <w:right w:w="90" w:type="dxa"/>
            </w:tcMar>
          </w:tcPr>
          <w:p>
            <w:r>
              <w:rPr>
                <w:color w:val="1E293B"/>
                <w:sz w:val="17"/>
              </w:rPr>
              <w:t>Technical survey exceeding 60 days; extensive variation deductions</w:t>
            </w:r>
          </w:p>
        </w:tc>
        <w:tc>
          <w:tcPr>
            <w:tcW w:type="dxa" w:w="1872"/>
            <w:shd w:fill="FFFFFF"/>
            <w:tcMar>
              <w:top w:w="70" w:type="dxa"/>
              <w:bottom w:w="70" w:type="dxa"/>
              <w:left w:w="90" w:type="dxa"/>
              <w:right w:w="90" w:type="dxa"/>
            </w:tcMar>
          </w:tcPr>
          <w:p>
            <w:r>
              <w:rPr>
                <w:color w:val="1E293B"/>
                <w:sz w:val="17"/>
              </w:rPr>
              <w:t>Enforce 60-day PDC maturity cap; insert automatic 5% commercial interest clause</w:t>
            </w:r>
          </w:p>
        </w:tc>
      </w:tr>
      <w:tr>
        <w:tc>
          <w:tcPr>
            <w:tcW w:type="dxa" w:w="1872"/>
            <w:shd w:fill="F8FAFC"/>
            <w:tcMar>
              <w:top w:w="70" w:type="dxa"/>
              <w:bottom w:w="70" w:type="dxa"/>
              <w:left w:w="90" w:type="dxa"/>
              <w:right w:w="90" w:type="dxa"/>
            </w:tcMar>
          </w:tcPr>
          <w:p>
            <w:r>
              <w:rPr>
                <w:color w:val="1E293B"/>
                <w:sz w:val="17"/>
              </w:rPr>
              <w:t>Decoupling of Labor &amp; Materials</w:t>
            </w:r>
          </w:p>
        </w:tc>
        <w:tc>
          <w:tcPr>
            <w:tcW w:type="dxa" w:w="1872"/>
            <w:shd w:fill="F8FAFC"/>
            <w:tcMar>
              <w:top w:w="70" w:type="dxa"/>
              <w:bottom w:w="70" w:type="dxa"/>
              <w:left w:w="90" w:type="dxa"/>
              <w:right w:w="90" w:type="dxa"/>
            </w:tcMar>
          </w:tcPr>
          <w:p>
            <w:r>
              <w:rPr>
                <w:b/>
                <w:color w:val="DC2626"/>
                <w:sz w:val="17"/>
              </w:rPr>
              <w:t>HIGH</w:t>
            </w:r>
          </w:p>
        </w:tc>
        <w:tc>
          <w:tcPr>
            <w:tcW w:type="dxa" w:w="1872"/>
            <w:shd w:fill="F8FAFC"/>
            <w:tcMar>
              <w:top w:w="70" w:type="dxa"/>
              <w:bottom w:w="70" w:type="dxa"/>
              <w:left w:w="90" w:type="dxa"/>
              <w:right w:w="90" w:type="dxa"/>
            </w:tcMar>
          </w:tcPr>
          <w:p>
            <w:r>
              <w:rPr>
                <w:color w:val="1E293B"/>
                <w:sz w:val="17"/>
              </w:rPr>
              <w:t>High (Structural)</w:t>
            </w:r>
          </w:p>
        </w:tc>
        <w:tc>
          <w:tcPr>
            <w:tcW w:type="dxa" w:w="1872"/>
            <w:shd w:fill="F8FAFC"/>
            <w:tcMar>
              <w:top w:w="70" w:type="dxa"/>
              <w:bottom w:w="70" w:type="dxa"/>
              <w:left w:w="90" w:type="dxa"/>
              <w:right w:w="90" w:type="dxa"/>
            </w:tcMar>
          </w:tcPr>
          <w:p>
            <w:r>
              <w:rPr>
                <w:color w:val="1E293B"/>
                <w:sz w:val="17"/>
              </w:rPr>
              <w:t>Subcontractors operating on labor-only packages without price indexation</w:t>
            </w:r>
          </w:p>
        </w:tc>
        <w:tc>
          <w:tcPr>
            <w:tcW w:type="dxa" w:w="1872"/>
            <w:shd w:fill="F8FAFC"/>
            <w:tcMar>
              <w:top w:w="70" w:type="dxa"/>
              <w:bottom w:w="70" w:type="dxa"/>
              <w:left w:w="90" w:type="dxa"/>
              <w:right w:w="90" w:type="dxa"/>
            </w:tcMar>
          </w:tcPr>
          <w:p>
            <w:r>
              <w:rPr>
                <w:color w:val="1E293B"/>
                <w:sz w:val="17"/>
              </w:rPr>
              <w:t>Tie labor rates to Ministry of Housing inflation indices; avoid lump-sum labor</w:t>
            </w:r>
          </w:p>
        </w:tc>
      </w:tr>
      <w:tr>
        <w:tc>
          <w:tcPr>
            <w:tcW w:type="dxa" w:w="1872"/>
            <w:shd w:fill="FFFFFF"/>
            <w:tcMar>
              <w:top w:w="70" w:type="dxa"/>
              <w:bottom w:w="70" w:type="dxa"/>
              <w:left w:w="90" w:type="dxa"/>
              <w:right w:w="90" w:type="dxa"/>
            </w:tcMar>
          </w:tcPr>
          <w:p>
            <w:r>
              <w:rPr>
                <w:color w:val="1E293B"/>
                <w:sz w:val="17"/>
              </w:rPr>
              <w:t>Off-Balance Sheet Lease Leverage</w:t>
            </w:r>
          </w:p>
        </w:tc>
        <w:tc>
          <w:tcPr>
            <w:tcW w:type="dxa" w:w="1872"/>
            <w:shd w:fill="FFFFFF"/>
            <w:tcMar>
              <w:top w:w="70" w:type="dxa"/>
              <w:bottom w:w="70" w:type="dxa"/>
              <w:left w:w="90" w:type="dxa"/>
              <w:right w:w="90" w:type="dxa"/>
            </w:tcMar>
          </w:tcPr>
          <w:p>
            <w:r>
              <w:rPr>
                <w:b/>
                <w:color w:val="DC2626"/>
                <w:sz w:val="17"/>
              </w:rPr>
              <w:t>MEDIUM-HIGH</w:t>
            </w:r>
          </w:p>
        </w:tc>
        <w:tc>
          <w:tcPr>
            <w:tcW w:type="dxa" w:w="1872"/>
            <w:shd w:fill="FFFFFF"/>
            <w:tcMar>
              <w:top w:w="70" w:type="dxa"/>
              <w:bottom w:w="70" w:type="dxa"/>
              <w:left w:w="90" w:type="dxa"/>
              <w:right w:w="90" w:type="dxa"/>
            </w:tcMar>
          </w:tcPr>
          <w:p>
            <w:r>
              <w:rPr>
                <w:color w:val="1E293B"/>
                <w:sz w:val="17"/>
              </w:rPr>
              <w:t>Medium (Balance Sheet)</w:t>
            </w:r>
          </w:p>
        </w:tc>
        <w:tc>
          <w:tcPr>
            <w:tcW w:type="dxa" w:w="1872"/>
            <w:shd w:fill="FFFFFF"/>
            <w:tcMar>
              <w:top w:w="70" w:type="dxa"/>
              <w:bottom w:w="70" w:type="dxa"/>
              <w:left w:w="90" w:type="dxa"/>
              <w:right w:w="90" w:type="dxa"/>
            </w:tcMar>
          </w:tcPr>
          <w:p>
            <w:r>
              <w:rPr>
                <w:color w:val="1E293B"/>
                <w:sz w:val="17"/>
              </w:rPr>
              <w:t>Financial leases exceeding EGP 44.0B alongside EGP 16.5B bank debt</w:t>
            </w:r>
          </w:p>
        </w:tc>
        <w:tc>
          <w:tcPr>
            <w:tcW w:type="dxa" w:w="1872"/>
            <w:shd w:fill="FFFFFF"/>
            <w:tcMar>
              <w:top w:w="70" w:type="dxa"/>
              <w:bottom w:w="70" w:type="dxa"/>
              <w:left w:w="90" w:type="dxa"/>
              <w:right w:w="90" w:type="dxa"/>
            </w:tcMar>
          </w:tcPr>
          <w:p>
            <w:r>
              <w:rPr>
                <w:color w:val="1E293B"/>
                <w:sz w:val="17"/>
              </w:rPr>
              <w:t>Stress test true DSCR including full lease servicing obligations</w:t>
            </w:r>
          </w:p>
        </w:tc>
      </w:tr>
      <w:tr>
        <w:tc>
          <w:tcPr>
            <w:tcW w:type="dxa" w:w="1872"/>
            <w:shd w:fill="F8FAFC"/>
            <w:tcMar>
              <w:top w:w="70" w:type="dxa"/>
              <w:bottom w:w="70" w:type="dxa"/>
              <w:left w:w="90" w:type="dxa"/>
              <w:right w:w="90" w:type="dxa"/>
            </w:tcMar>
          </w:tcPr>
          <w:p>
            <w:r>
              <w:rPr>
                <w:color w:val="1E293B"/>
                <w:sz w:val="17"/>
              </w:rPr>
              <w:t>Maintenance Deficit &amp; Resale Dispute</w:t>
            </w:r>
          </w:p>
        </w:tc>
        <w:tc>
          <w:tcPr>
            <w:tcW w:type="dxa" w:w="1872"/>
            <w:shd w:fill="F8FAFC"/>
            <w:tcMar>
              <w:top w:w="70" w:type="dxa"/>
              <w:bottom w:w="70" w:type="dxa"/>
              <w:left w:w="90" w:type="dxa"/>
              <w:right w:w="90" w:type="dxa"/>
            </w:tcMar>
          </w:tcPr>
          <w:p>
            <w:r>
              <w:rPr>
                <w:b/>
                <w:color w:val="D97706"/>
                <w:sz w:val="17"/>
              </w:rPr>
              <w:t>MEDIUM</w:t>
            </w:r>
          </w:p>
        </w:tc>
        <w:tc>
          <w:tcPr>
            <w:tcW w:type="dxa" w:w="1872"/>
            <w:shd w:fill="F8FAFC"/>
            <w:tcMar>
              <w:top w:w="70" w:type="dxa"/>
              <w:bottom w:w="70" w:type="dxa"/>
              <w:left w:w="90" w:type="dxa"/>
              <w:right w:w="90" w:type="dxa"/>
            </w:tcMar>
          </w:tcPr>
          <w:p>
            <w:r>
              <w:rPr>
                <w:color w:val="1E293B"/>
                <w:sz w:val="17"/>
              </w:rPr>
              <w:t>High (Regulatory)</w:t>
            </w:r>
          </w:p>
        </w:tc>
        <w:tc>
          <w:tcPr>
            <w:tcW w:type="dxa" w:w="1872"/>
            <w:shd w:fill="F8FAFC"/>
            <w:tcMar>
              <w:top w:w="70" w:type="dxa"/>
              <w:bottom w:w="70" w:type="dxa"/>
              <w:left w:w="90" w:type="dxa"/>
              <w:right w:w="90" w:type="dxa"/>
            </w:tcMar>
          </w:tcPr>
          <w:p>
            <w:r>
              <w:rPr>
                <w:color w:val="1E293B"/>
                <w:sz w:val="17"/>
              </w:rPr>
              <w:t>Customer complaints to CPA; pending lawsuits regarding trust accounts</w:t>
            </w:r>
          </w:p>
        </w:tc>
        <w:tc>
          <w:tcPr>
            <w:tcW w:type="dxa" w:w="1872"/>
            <w:shd w:fill="F8FAFC"/>
            <w:tcMar>
              <w:top w:w="70" w:type="dxa"/>
              <w:bottom w:w="70" w:type="dxa"/>
              <w:left w:w="90" w:type="dxa"/>
              <w:right w:w="90" w:type="dxa"/>
            </w:tcMar>
          </w:tcPr>
          <w:p>
            <w:r>
              <w:rPr>
                <w:color w:val="1E293B"/>
                <w:sz w:val="17"/>
              </w:rPr>
              <w:t>Exclude resale transfer fees from secondary transactions; escrow trust accounts</w:t>
            </w:r>
          </w:p>
        </w:tc>
      </w:tr>
      <w:tr>
        <w:tc>
          <w:tcPr>
            <w:tcW w:type="dxa" w:w="1872"/>
            <w:shd w:fill="FFFFFF"/>
            <w:tcMar>
              <w:top w:w="70" w:type="dxa"/>
              <w:bottom w:w="70" w:type="dxa"/>
              <w:left w:w="90" w:type="dxa"/>
              <w:right w:w="90" w:type="dxa"/>
            </w:tcMar>
          </w:tcPr>
          <w:p>
            <w:r>
              <w:rPr>
                <w:color w:val="1E293B"/>
                <w:sz w:val="17"/>
              </w:rPr>
              <w:t>7% In-Kind NUCA Land Liability</w:t>
            </w:r>
          </w:p>
        </w:tc>
        <w:tc>
          <w:tcPr>
            <w:tcW w:type="dxa" w:w="1872"/>
            <w:shd w:fill="FFFFFF"/>
            <w:tcMar>
              <w:top w:w="70" w:type="dxa"/>
              <w:bottom w:w="70" w:type="dxa"/>
              <w:left w:w="90" w:type="dxa"/>
              <w:right w:w="90" w:type="dxa"/>
            </w:tcMar>
          </w:tcPr>
          <w:p>
            <w:r>
              <w:rPr>
                <w:b/>
                <w:color w:val="D97706"/>
                <w:sz w:val="17"/>
              </w:rPr>
              <w:t>MEDIUM</w:t>
            </w:r>
          </w:p>
        </w:tc>
        <w:tc>
          <w:tcPr>
            <w:tcW w:type="dxa" w:w="1872"/>
            <w:shd w:fill="FFFFFF"/>
            <w:tcMar>
              <w:top w:w="70" w:type="dxa"/>
              <w:bottom w:w="70" w:type="dxa"/>
              <w:left w:w="90" w:type="dxa"/>
              <w:right w:w="90" w:type="dxa"/>
            </w:tcMar>
          </w:tcPr>
          <w:p>
            <w:r>
              <w:rPr>
                <w:color w:val="1E293B"/>
                <w:sz w:val="17"/>
              </w:rPr>
              <w:t>Medium (Contractual)</w:t>
            </w:r>
          </w:p>
        </w:tc>
        <w:tc>
          <w:tcPr>
            <w:tcW w:type="dxa" w:w="1872"/>
            <w:shd w:fill="FFFFFF"/>
            <w:tcMar>
              <w:top w:w="70" w:type="dxa"/>
              <w:bottom w:w="70" w:type="dxa"/>
              <w:left w:w="90" w:type="dxa"/>
              <w:right w:w="90" w:type="dxa"/>
            </w:tcMar>
          </w:tcPr>
          <w:p>
            <w:r>
              <w:rPr>
                <w:color w:val="1E293B"/>
                <w:sz w:val="17"/>
              </w:rPr>
              <w:t>Large tranches of finished residential BUA transferred to NUCA</w:t>
            </w:r>
          </w:p>
        </w:tc>
        <w:tc>
          <w:tcPr>
            <w:tcW w:type="dxa" w:w="1872"/>
            <w:shd w:fill="FFFFFF"/>
            <w:tcMar>
              <w:top w:w="70" w:type="dxa"/>
              <w:bottom w:w="70" w:type="dxa"/>
              <w:left w:w="90" w:type="dxa"/>
              <w:right w:w="90" w:type="dxa"/>
            </w:tcMar>
          </w:tcPr>
          <w:p>
            <w:r>
              <w:rPr>
                <w:color w:val="1E293B"/>
                <w:sz w:val="17"/>
              </w:rPr>
              <w:t>Monitor housing delivery schedule to ensure NUCA tranches do not cannibalize sales</w:t>
            </w:r>
          </w:p>
        </w:tc>
      </w:tr>
      <w:tr>
        <w:tc>
          <w:tcPr>
            <w:tcW w:type="dxa" w:w="1872"/>
            <w:shd w:fill="F8FAFC"/>
            <w:tcMar>
              <w:top w:w="70" w:type="dxa"/>
              <w:bottom w:w="70" w:type="dxa"/>
              <w:left w:w="90" w:type="dxa"/>
              <w:right w:w="90" w:type="dxa"/>
            </w:tcMar>
          </w:tcPr>
          <w:p>
            <w:r>
              <w:rPr>
                <w:color w:val="1E293B"/>
                <w:sz w:val="17"/>
              </w:rPr>
              <w:t>Labor Unrest &amp; Shift Fatigue</w:t>
            </w:r>
          </w:p>
        </w:tc>
        <w:tc>
          <w:tcPr>
            <w:tcW w:type="dxa" w:w="1872"/>
            <w:shd w:fill="F8FAFC"/>
            <w:tcMar>
              <w:top w:w="70" w:type="dxa"/>
              <w:bottom w:w="70" w:type="dxa"/>
              <w:left w:w="90" w:type="dxa"/>
              <w:right w:w="90" w:type="dxa"/>
            </w:tcMar>
          </w:tcPr>
          <w:p>
            <w:r>
              <w:rPr>
                <w:b/>
                <w:color w:val="D97706"/>
                <w:sz w:val="17"/>
              </w:rPr>
              <w:t>MEDIUM</w:t>
            </w:r>
          </w:p>
        </w:tc>
        <w:tc>
          <w:tcPr>
            <w:tcW w:type="dxa" w:w="1872"/>
            <w:shd w:fill="F8FAFC"/>
            <w:tcMar>
              <w:top w:w="70" w:type="dxa"/>
              <w:bottom w:w="70" w:type="dxa"/>
              <w:left w:w="90" w:type="dxa"/>
              <w:right w:w="90" w:type="dxa"/>
            </w:tcMar>
          </w:tcPr>
          <w:p>
            <w:r>
              <w:rPr>
                <w:color w:val="1E293B"/>
                <w:sz w:val="17"/>
              </w:rPr>
              <w:t>Medium (Documented)</w:t>
            </w:r>
          </w:p>
        </w:tc>
        <w:tc>
          <w:tcPr>
            <w:tcW w:type="dxa" w:w="1872"/>
            <w:shd w:fill="F8FAFC"/>
            <w:tcMar>
              <w:top w:w="70" w:type="dxa"/>
              <w:bottom w:w="70" w:type="dxa"/>
              <w:left w:w="90" w:type="dxa"/>
              <w:right w:w="90" w:type="dxa"/>
            </w:tcMar>
          </w:tcPr>
          <w:p>
            <w:r>
              <w:rPr>
                <w:color w:val="1E293B"/>
                <w:sz w:val="17"/>
              </w:rPr>
              <w:t>Worker petitions, sit-ins (Aug 2024), administrative inquiries (Oct 2025)</w:t>
            </w:r>
          </w:p>
        </w:tc>
        <w:tc>
          <w:tcPr>
            <w:tcW w:type="dxa" w:w="1872"/>
            <w:shd w:fill="F8FAFC"/>
            <w:tcMar>
              <w:top w:w="70" w:type="dxa"/>
              <w:bottom w:w="70" w:type="dxa"/>
              <w:left w:w="90" w:type="dxa"/>
              <w:right w:w="90" w:type="dxa"/>
            </w:tcMar>
          </w:tcPr>
          <w:p>
            <w:r>
              <w:rPr>
                <w:color w:val="1E293B"/>
                <w:sz w:val="17"/>
              </w:rPr>
              <w:t>Review site human resource practices and security subcontractor wage compliance</w:t>
            </w:r>
          </w:p>
        </w:tc>
      </w:tr>
    </w:tbl>
    <w:p>
      <w:pPr>
        <w:spacing w:after="160"/>
      </w:pPr>
    </w:p>
    <w:p>
      <w:pPr>
        <w:pStyle w:val="Heading1"/>
        <w:keepNext/>
        <w:spacing w:before="360" w:after="120"/>
      </w:pPr>
      <w:r>
        <w:rPr>
          <w:rFonts w:ascii="Calibri" w:hAnsi="Calibri"/>
          <w:b/>
          <w:color w:val="0F172A"/>
          <w:sz w:val="34"/>
        </w:rPr>
        <w:t>11. Strategic SWOT Analysis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shd w:fill="0F172A"/>
          </w:tcPr>
          <w:p>
            <w:r>
              <w:rPr>
                <w:color w:val="FFFFFF"/>
              </w:rPr>
              <w:t>STRENGTHS</w:t>
            </w:r>
          </w:p>
        </w:tc>
        <w:tc>
          <w:tcPr>
            <w:tcW w:type="dxa" w:w="4680"/>
            <w:shd w:fill="0F172A"/>
          </w:tcPr>
          <w:p>
            <w:r>
              <w:rPr>
                <w:color w:val="FFFFFF"/>
              </w:rPr>
              <w:t>WEAKNESSES</w:t>
            </w:r>
          </w:p>
        </w:tc>
      </w:tr>
      <w:tr>
        <w:tc>
          <w:tcPr>
            <w:tcW w:type="dxa" w:w="4680"/>
          </w:tcPr>
          <w:p>
            <w:r>
              <w:rPr>
                <w:sz w:val="18"/>
              </w:rPr>
              <w:t>• Largest private landbank in Egypt (&gt;40,000 feddans)</w:t>
              <w:br/>
              <w:t>• Record contracted sales backlog (EGP 441.2B)</w:t>
              <w:br/>
              <w:t>• Substantial liquidity cushion (EGP 47.1B cash &amp; deposits)</w:t>
              <w:br/>
              <w:t>• High hospitality foreign exchange generation (ICON / ADQ)</w:t>
              <w:br/>
              <w:t>• Proven master-development execution capability</w:t>
            </w:r>
          </w:p>
        </w:tc>
        <w:tc>
          <w:tcPr>
            <w:tcW w:type="dxa" w:w="4680"/>
          </w:tcPr>
          <w:p>
            <w:r>
              <w:rPr>
                <w:sz w:val="18"/>
              </w:rPr>
              <w:t>• Severe supplier payment delays (PDCs 90-270 days)</w:t>
              <w:br/>
              <w:t>• Creditors &amp; notes payable exceed EGP 15.79B</w:t>
              <w:br/>
              <w:t>• Decoupled labor contracts vulnerable to acute wage inflation</w:t>
              <w:br/>
              <w:t>• High off-balance sheet financial lease obligations (EGP 44B)</w:t>
              <w:br/>
              <w:t>• Customer controversies over maintenance deficits &amp; resale fees</w:t>
            </w:r>
          </w:p>
        </w:tc>
      </w:tr>
      <w:tr>
        <w:tc>
          <w:tcPr>
            <w:tcW w:type="dxa" w:w="4680"/>
            <w:shd w:fill="0F172A"/>
          </w:tcPr>
          <w:p>
            <w:r>
              <w:rPr>
                <w:color w:val="FFFFFF"/>
              </w:rPr>
              <w:t>OPPORTUNITIES</w:t>
            </w:r>
          </w:p>
        </w:tc>
        <w:tc>
          <w:tcPr>
            <w:tcW w:type="dxa" w:w="4680"/>
            <w:shd w:fill="0F172A"/>
          </w:tcPr>
          <w:p>
            <w:r>
              <w:rPr>
                <w:color w:val="FFFFFF"/>
              </w:rPr>
              <w:t>THREATS</w:t>
            </w:r>
          </w:p>
        </w:tc>
      </w:tr>
    </w:tbl>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tcPr>
          <w:p>
            <w:r>
              <w:rPr>
                <w:sz w:val="18"/>
              </w:rPr>
              <w:t>• Regional expansion: Banan Smart City (Saudi Arabia - SAR 31.4B)</w:t>
              <w:br/>
              <w:t>• SouthMED coastal monetization (&gt;EGP 200B initial backlog)</w:t>
              <w:br/>
              <w:t>• Foreign direct investment via sovereign partnerships (ADQ / NHC)</w:t>
              <w:br/>
              <w:t>• High luxury hospitality ADRs in USD</w:t>
            </w:r>
          </w:p>
        </w:tc>
        <w:tc>
          <w:tcPr>
            <w:tcW w:type="dxa" w:w="4680"/>
          </w:tcPr>
          <w:p>
            <w:r>
              <w:rPr>
                <w:sz w:val="18"/>
              </w:rPr>
              <w:t>• Subcontractor insolvency risk leading to sudden site walk-offs</w:t>
              <w:br/>
              <w:t>• Severe macroeconomic currency volatility and import restrictions</w:t>
              <w:br/>
              <w:t>• Regulatory enforcement of Consumer Protection Law Art. 15</w:t>
              <w:br/>
              <w:t>• NuCA 7% in-kind finished residential BUA delivery cannibalization</w:t>
            </w:r>
          </w:p>
        </w:tc>
      </w:tr>
    </w:tbl>
    <w:p>
      <w:pPr>
        <w:spacing w:after="160"/>
      </w:pPr>
    </w:p>
    <w:p>
      <w:pPr>
        <w:pStyle w:val="Heading1"/>
        <w:keepNext/>
        <w:spacing w:before="360" w:after="120"/>
      </w:pPr>
      <w:r>
        <w:rPr>
          <w:rFonts w:ascii="Calibri" w:hAnsi="Calibri"/>
          <w:b/>
          <w:color w:val="0F172A"/>
          <w:sz w:val="34"/>
        </w:rPr>
        <w:t>12. Actionable Due Diligence Protocols &amp; Stakeholder Playbooks</w:t>
      </w:r>
    </w:p>
    <w:p>
      <w:pPr>
        <w:pStyle w:val="Heading2"/>
        <w:keepNext/>
        <w:spacing w:before="280" w:after="80"/>
      </w:pPr>
      <w:r>
        <w:rPr>
          <w:rFonts w:ascii="Calibri" w:hAnsi="Calibri"/>
          <w:b/>
          <w:color w:val="0284C7"/>
          <w:sz w:val="26"/>
        </w:rPr>
        <w:t>12.1 Playbook for Subcontractors &amp; Suppliers</w:t>
      </w:r>
    </w:p>
    <w:p>
      <w:pPr>
        <w:pStyle w:val="ListBullet"/>
        <w:spacing w:after="80" w:line="276" w:lineRule="auto"/>
      </w:pPr>
      <w:r>
        <w:rPr>
          <w:rFonts w:ascii="Calibri" w:hAnsi="Calibri"/>
          <w:b/>
          <w:color w:val="0F172A"/>
          <w:sz w:val="21"/>
        </w:rPr>
        <w:t xml:space="preserve">1. Privity Check: </w:t>
      </w:r>
      <w:r>
        <w:rPr>
          <w:rFonts w:ascii="Calibri" w:hAnsi="Calibri"/>
          <w:color w:val="1E293B"/>
          <w:sz w:val="21"/>
        </w:rPr>
        <w:t>Contracting Entity Verification: Always confirm the signing entity. If contracting with Alexandria Construction Co. (ACC) or Atrium, recognize that TMG Holding has zero statutory liability for your debt. Demand parent corporate performance guarantees.</w:t>
      </w:r>
    </w:p>
    <w:p>
      <w:pPr>
        <w:pStyle w:val="ListBullet"/>
        <w:spacing w:after="80" w:line="276" w:lineRule="auto"/>
      </w:pPr>
      <w:r>
        <w:rPr>
          <w:rFonts w:ascii="Calibri" w:hAnsi="Calibri"/>
          <w:b/>
          <w:color w:val="0F172A"/>
          <w:sz w:val="21"/>
        </w:rPr>
        <w:t xml:space="preserve">2. Eliminate Conditional Payment: </w:t>
      </w:r>
      <w:r>
        <w:rPr>
          <w:rFonts w:ascii="Calibri" w:hAnsi="Calibri"/>
          <w:color w:val="1E293B"/>
          <w:sz w:val="21"/>
        </w:rPr>
        <w:t>Reject Pure Pay-When-Paid Clauses: Refuse terms that make progress payments conditional upon NUCA or TMG disbursements to the general contractor. Establish unconditional 45-day review and approval windows.</w:t>
      </w:r>
    </w:p>
    <w:p>
      <w:pPr>
        <w:pStyle w:val="ListBullet"/>
        <w:spacing w:after="80" w:line="276" w:lineRule="auto"/>
      </w:pPr>
      <w:r>
        <w:rPr>
          <w:rFonts w:ascii="Calibri" w:hAnsi="Calibri"/>
          <w:b/>
          <w:color w:val="0F172A"/>
          <w:sz w:val="21"/>
        </w:rPr>
        <w:t xml:space="preserve">3. Written Variation Orders Only: </w:t>
      </w:r>
      <w:r>
        <w:rPr>
          <w:rFonts w:ascii="Calibri" w:hAnsi="Calibri"/>
          <w:color w:val="1E293B"/>
          <w:sz w:val="21"/>
        </w:rPr>
        <w:t>Zero Verbal Variations: Never execute additional site instructions or BOQ scope changes without a formally signed, price-indexed Variation Order (VO) approved by the central commercial office.</w:t>
      </w:r>
    </w:p>
    <w:p>
      <w:pPr>
        <w:pStyle w:val="ListBullet"/>
        <w:spacing w:after="80" w:line="276" w:lineRule="auto"/>
      </w:pPr>
      <w:r>
        <w:rPr>
          <w:rFonts w:ascii="Calibri" w:hAnsi="Calibri"/>
          <w:b/>
          <w:color w:val="0F172A"/>
          <w:sz w:val="21"/>
        </w:rPr>
        <w:t xml:space="preserve">4. Commercial Notes Ceilings: </w:t>
      </w:r>
      <w:r>
        <w:rPr>
          <w:rFonts w:ascii="Calibri" w:hAnsi="Calibri"/>
          <w:color w:val="1E293B"/>
          <w:sz w:val="21"/>
        </w:rPr>
        <w:t>Cap Commercial Paper Tenors: Insist on contract terms limiting post-dated commercial paper (أوراق دفع) to a maximum maturity of 60 to 90 days. Require cash wire transfers for packages exceeding EGP 10 million.</w:t>
      </w:r>
    </w:p>
    <w:p>
      <w:pPr>
        <w:pStyle w:val="ListBullet"/>
        <w:spacing w:after="80" w:line="276" w:lineRule="auto"/>
      </w:pPr>
      <w:r>
        <w:rPr>
          <w:rFonts w:ascii="Calibri" w:hAnsi="Calibri"/>
          <w:b/>
          <w:color w:val="0F172A"/>
          <w:sz w:val="21"/>
        </w:rPr>
        <w:t xml:space="preserve">5. Retention of Title: </w:t>
      </w:r>
      <w:r>
        <w:rPr>
          <w:rFonts w:ascii="Calibri" w:hAnsi="Calibri"/>
          <w:color w:val="1E293B"/>
          <w:sz w:val="21"/>
        </w:rPr>
        <w:t>Retention of Title &amp; Equipment: Include explicit reservation of title clauses on delivered materials, machinery, and fixtures until bank clearing of commercial paper is fully realized.</w:t>
      </w:r>
    </w:p>
    <w:p>
      <w:pPr>
        <w:pStyle w:val="ListBullet"/>
        <w:spacing w:after="80" w:line="276" w:lineRule="auto"/>
      </w:pPr>
      <w:r>
        <w:rPr>
          <w:rFonts w:ascii="Calibri" w:hAnsi="Calibri"/>
          <w:b/>
          <w:color w:val="0F172A"/>
          <w:sz w:val="21"/>
        </w:rPr>
        <w:t xml:space="preserve">6. Legal Default Notices: </w:t>
      </w:r>
      <w:r>
        <w:rPr>
          <w:rFonts w:ascii="Calibri" w:hAnsi="Calibri"/>
          <w:color w:val="1E293B"/>
          <w:sz w:val="21"/>
        </w:rPr>
        <w:t>Serve Court Bailiff Demands: Upon the lapse of contractual audit deadlines, immediately serve formal notices via court bailiff (*إنذار رسمي على يد محضر*) to initiate the statutory 5% commercial default interest rate under the Egyptian Commercial Code.</w:t>
      </w:r>
    </w:p>
    <w:p>
      <w:pPr>
        <w:pStyle w:val="Heading2"/>
        <w:keepNext/>
        <w:spacing w:before="280" w:after="80"/>
      </w:pPr>
      <w:r>
        <w:rPr>
          <w:rFonts w:ascii="Calibri" w:hAnsi="Calibri"/>
          <w:b/>
          <w:color w:val="0284C7"/>
          <w:sz w:val="26"/>
        </w:rPr>
        <w:t>12.2 Playbook for Institutional Investors &amp; Banking Consortia</w:t>
      </w:r>
    </w:p>
    <w:p>
      <w:pPr>
        <w:pStyle w:val="ListBullet"/>
        <w:spacing w:after="80" w:line="276" w:lineRule="auto"/>
      </w:pPr>
      <w:r>
        <w:rPr>
          <w:rFonts w:ascii="Calibri" w:hAnsi="Calibri"/>
          <w:b/>
          <w:color w:val="0F172A"/>
          <w:sz w:val="21"/>
        </w:rPr>
        <w:t xml:space="preserve">1. Structural Ring-Fencing: </w:t>
      </w:r>
      <w:r>
        <w:rPr>
          <w:rFonts w:ascii="Calibri" w:hAnsi="Calibri"/>
          <w:color w:val="1E293B"/>
          <w:sz w:val="21"/>
        </w:rPr>
        <w:t>Parent Ring-Fencing Benefits: Recognize that captive EPC structures protect TMG Holding equity from subcontractor litigation, preserving listed balance-sheet solvency.</w:t>
      </w:r>
    </w:p>
    <w:p>
      <w:pPr>
        <w:pStyle w:val="ListBullet"/>
        <w:spacing w:after="80" w:line="276" w:lineRule="auto"/>
      </w:pPr>
      <w:r>
        <w:rPr>
          <w:rFonts w:ascii="Calibri" w:hAnsi="Calibri"/>
          <w:b/>
          <w:color w:val="0F172A"/>
          <w:sz w:val="21"/>
        </w:rPr>
        <w:t xml:space="preserve">2. Payables Velocity: </w:t>
      </w:r>
      <w:r>
        <w:rPr>
          <w:rFonts w:ascii="Calibri" w:hAnsi="Calibri"/>
          <w:color w:val="1E293B"/>
          <w:sz w:val="21"/>
        </w:rPr>
        <w:t>Monitor Notes Payable Velocity: Track the trajectory of creditors and notes payable (&gt;EGP 15.79B) relative to WIP. Rapid expansion indicates downstream supply chain friction and potential execution bottlenecks.</w:t>
      </w:r>
    </w:p>
    <w:p>
      <w:pPr>
        <w:pStyle w:val="ListBullet"/>
        <w:spacing w:after="80" w:line="276" w:lineRule="auto"/>
      </w:pPr>
      <w:r>
        <w:rPr>
          <w:rFonts w:ascii="Calibri" w:hAnsi="Calibri"/>
          <w:b/>
          <w:color w:val="0F172A"/>
          <w:sz w:val="21"/>
        </w:rPr>
        <w:t xml:space="preserve">3. True Financial Leverage: </w:t>
      </w:r>
      <w:r>
        <w:rPr>
          <w:rFonts w:ascii="Calibri" w:hAnsi="Calibri"/>
          <w:color w:val="1E293B"/>
          <w:sz w:val="21"/>
        </w:rPr>
        <w:t>True Leverage Calculation: Always incorporate EGP 44.0B in off-balance sheet financial lease commitments alongside EGP 16.5B in bank debt when calculating debt-service coverage ratios (DSCR).</w:t>
      </w:r>
    </w:p>
    <w:p>
      <w:pPr>
        <w:pStyle w:val="ListBullet"/>
        <w:spacing w:after="80" w:line="276" w:lineRule="auto"/>
      </w:pPr>
      <w:r>
        <w:rPr>
          <w:rFonts w:ascii="Calibri" w:hAnsi="Calibri"/>
          <w:b/>
          <w:color w:val="0F172A"/>
          <w:sz w:val="21"/>
        </w:rPr>
        <w:t xml:space="preserve">4. Pacing &amp; Re-Tendering: </w:t>
      </w:r>
      <w:r>
        <w:rPr>
          <w:rFonts w:ascii="Calibri" w:hAnsi="Calibri"/>
          <w:color w:val="1E293B"/>
          <w:sz w:val="21"/>
        </w:rPr>
        <w:t>Re-Tendering Risk: Subcontractor margin erosion from wage inflation risks sudden site walk-offs, threatening SouthMED (2029 handover) and Noor delivery baselines.</w:t>
      </w:r>
    </w:p>
    <w:p>
      <w:pPr>
        <w:pStyle w:val="Heading1"/>
        <w:keepNext/>
        <w:spacing w:before="360" w:after="120"/>
      </w:pPr>
      <w:r>
        <w:rPr>
          <w:rFonts w:ascii="Calibri" w:hAnsi="Calibri"/>
          <w:b/>
          <w:color w:val="0F172A"/>
          <w:sz w:val="34"/>
        </w:rPr>
        <w:t>13. Transaction-Grade Due Diligence Checklist</w:t>
      </w:r>
    </w:p>
    <w:p>
      <w:pPr>
        <w:spacing w:after="120" w:line="276" w:lineRule="auto"/>
      </w:pPr>
      <w:r>
        <w:rPr>
          <w:rFonts w:ascii="Calibri" w:hAnsi="Calibri"/>
          <w:color w:val="1E293B"/>
          <w:sz w:val="21"/>
        </w:rPr>
        <w:t>For institutional acquisitions, joint ventures, or major trade subcontracting engagements, the following certified disclosures must be verified:</w:t>
      </w:r>
    </w:p>
    <w:p>
      <w:pPr>
        <w:pStyle w:val="ListBullet"/>
        <w:spacing w:after="80" w:line="276" w:lineRule="auto"/>
      </w:pPr>
      <w:r>
        <w:rPr>
          <w:rFonts w:ascii="Calibri" w:hAnsi="Calibri"/>
          <w:color w:val="1E293B"/>
          <w:sz w:val="21"/>
        </w:rPr>
        <w:t>Certified litigation search across Cairo Economic Court, Qasr El-Nil Misdemeanors, and administrative dockets for ACC and ACPUD.</w:t>
      </w:r>
    </w:p>
    <w:p>
      <w:pPr>
        <w:pStyle w:val="ListBullet"/>
        <w:spacing w:after="80" w:line="276" w:lineRule="auto"/>
      </w:pPr>
      <w:r>
        <w:rPr>
          <w:rFonts w:ascii="Calibri" w:hAnsi="Calibri"/>
          <w:color w:val="1E293B"/>
          <w:sz w:val="21"/>
        </w:rPr>
        <w:t>Audited schedule of outstanding commercial paper (أوراق دفع) categorized by maturity (0-90, 91-180, 181-360 days).</w:t>
      </w:r>
    </w:p>
    <w:p>
      <w:pPr>
        <w:pStyle w:val="ListBullet"/>
        <w:spacing w:after="80" w:line="276" w:lineRule="auto"/>
      </w:pPr>
      <w:r>
        <w:rPr>
          <w:rFonts w:ascii="Calibri" w:hAnsi="Calibri"/>
          <w:color w:val="1E293B"/>
          <w:sz w:val="21"/>
        </w:rPr>
        <w:t>Certified compliance report regarding in-kind 7% residential built-up area delivery to NUCA for Madinaty.</w:t>
      </w:r>
    </w:p>
    <w:p>
      <w:pPr>
        <w:pStyle w:val="ListBullet"/>
        <w:spacing w:after="80" w:line="276" w:lineRule="auto"/>
      </w:pPr>
      <w:r>
        <w:rPr>
          <w:rFonts w:ascii="Calibri" w:hAnsi="Calibri"/>
          <w:color w:val="1E293B"/>
          <w:sz w:val="21"/>
        </w:rPr>
        <w:t>Escrow bank reconciliation statements for Madinaty and Rehab maintenance trust deposit yields.</w:t>
      </w:r>
    </w:p>
    <w:p>
      <w:pPr>
        <w:pStyle w:val="ListBullet"/>
        <w:spacing w:after="80" w:line="276" w:lineRule="auto"/>
      </w:pPr>
      <w:r>
        <w:rPr>
          <w:rFonts w:ascii="Calibri" w:hAnsi="Calibri"/>
          <w:color w:val="1E293B"/>
          <w:sz w:val="21"/>
        </w:rPr>
        <w:t>Detailed disclosure of off-balance sheet financial lease obligations (EGP 44B) and maturity amortization.</w:t>
      </w:r>
    </w:p>
    <w:p>
      <w:pPr>
        <w:pStyle w:val="Heading1"/>
        <w:keepNext/>
        <w:spacing w:before="360" w:after="120"/>
      </w:pPr>
      <w:r>
        <w:rPr>
          <w:rFonts w:ascii="Calibri" w:hAnsi="Calibri"/>
          <w:b/>
          <w:color w:val="0F172A"/>
          <w:sz w:val="34"/>
        </w:rPr>
        <w:t>14. Master Primary Source &amp; Citation Register</w:t>
      </w:r>
    </w:p>
    <w:p>
      <w:pPr>
        <w:spacing w:after="120" w:line="276" w:lineRule="auto"/>
      </w:pPr>
      <w:r>
        <w:rPr>
          <w:rFonts w:ascii="Calibri" w:hAnsi="Calibri"/>
          <w:color w:val="1E293B"/>
          <w:sz w:val="21"/>
        </w:rPr>
        <w:t>All findings in this dossier are grounded in official disclosures, court dockets, and verified reporting:</w:t>
      </w:r>
    </w:p>
    <w:p>
      <w:pPr>
        <w:pStyle w:val="ListBullet"/>
        <w:spacing w:after="80" w:line="276" w:lineRule="auto"/>
      </w:pPr>
      <w:r>
        <w:rPr>
          <w:rFonts w:ascii="Calibri" w:hAnsi="Calibri"/>
          <w:b/>
          <w:color w:val="0F172A"/>
          <w:sz w:val="21"/>
        </w:rPr>
        <w:t xml:space="preserve">Egyptian Exchange (EGX): </w:t>
      </w:r>
      <w:r>
        <w:rPr>
          <w:rFonts w:ascii="Calibri" w:hAnsi="Calibri"/>
          <w:color w:val="1E293B"/>
          <w:sz w:val="21"/>
        </w:rPr>
        <w:t>Audited Consolidated Financial Statements for TMG Holding (FY2021–FY2025 &amp; H1 2026) — Official regulatory disclosures covering revenue, profits, debt, notes payable (&gt;EGP 15.79B), and off-balance leases (EGP 44B).</w:t>
      </w:r>
    </w:p>
    <w:p>
      <w:pPr>
        <w:pStyle w:val="ListBullet"/>
        <w:spacing w:after="80" w:line="276" w:lineRule="auto"/>
      </w:pPr>
      <w:r>
        <w:rPr>
          <w:rFonts w:ascii="Calibri" w:hAnsi="Calibri"/>
          <w:b/>
          <w:color w:val="0F172A"/>
          <w:sz w:val="21"/>
        </w:rPr>
        <w:t xml:space="preserve">Egyptian State Council: </w:t>
      </w:r>
      <w:r>
        <w:rPr>
          <w:rFonts w:ascii="Calibri" w:hAnsi="Calibri"/>
          <w:color w:val="1E293B"/>
          <w:sz w:val="21"/>
        </w:rPr>
        <w:t>Supreme Administrative Court Ruling (Appeal 12622 / JY 63, Sept 2010) — Final judicial decree annulling 8,000 feddan direct allocation for Madinaty; regularized via 2015 7% in-kind NUCA BUA settlement.</w:t>
      </w:r>
    </w:p>
    <w:p>
      <w:pPr>
        <w:pStyle w:val="ListBullet"/>
        <w:spacing w:after="80" w:line="276" w:lineRule="auto"/>
      </w:pPr>
      <w:r>
        <w:rPr>
          <w:rFonts w:ascii="Calibri" w:hAnsi="Calibri"/>
          <w:b/>
          <w:color w:val="0F172A"/>
          <w:sz w:val="21"/>
        </w:rPr>
        <w:t xml:space="preserve">Al-Masry Al-Youm: </w:t>
      </w:r>
      <w:r>
        <w:rPr>
          <w:rFonts w:ascii="Calibri" w:hAnsi="Calibri"/>
          <w:color w:val="1E293B"/>
          <w:sz w:val="21"/>
        </w:rPr>
        <w:t>Investigative Press Report on Madinaty Subcontractor Complaint (13 October 2008) — Documented complaint by subcontractor Shehata Mohamed Hassan to Prosecutor General against HTM; on-record admission by ACC Director Ibrahim Hasabo that payment withholding was intentional to prevent labor desertion post-arrest.</w:t>
      </w:r>
    </w:p>
    <w:p>
      <w:pPr>
        <w:pStyle w:val="ListBullet"/>
        <w:spacing w:after="80" w:line="276" w:lineRule="auto"/>
      </w:pPr>
      <w:r>
        <w:rPr>
          <w:rFonts w:ascii="Calibri" w:hAnsi="Calibri"/>
          <w:b/>
          <w:color w:val="0F172A"/>
          <w:sz w:val="21"/>
        </w:rPr>
        <w:t xml:space="preserve">Mada Masr: </w:t>
      </w:r>
      <w:r>
        <w:rPr>
          <w:rFonts w:ascii="Calibri" w:hAnsi="Calibri"/>
          <w:color w:val="1E293B"/>
          <w:sz w:val="21"/>
        </w:rPr>
        <w:t>Investigative Coverage of Alexandria Construction Co. Labor Protests (March 2024) — Field reporting on &gt;100 ACC employees and workers protesting wage freezes, inflation erosion, and arbitrary layoffs without severance.</w:t>
      </w:r>
    </w:p>
    <w:p>
      <w:pPr>
        <w:pStyle w:val="ListBullet"/>
        <w:spacing w:after="80" w:line="276" w:lineRule="auto"/>
      </w:pPr>
      <w:r>
        <w:rPr>
          <w:rFonts w:ascii="Calibri" w:hAnsi="Calibri"/>
          <w:b/>
          <w:color w:val="0F172A"/>
          <w:sz w:val="21"/>
        </w:rPr>
        <w:t xml:space="preserve">Al Manassa: </w:t>
      </w:r>
      <w:r>
        <w:rPr>
          <w:rFonts w:ascii="Calibri" w:hAnsi="Calibri"/>
          <w:color w:val="1E293B"/>
          <w:sz w:val="21"/>
        </w:rPr>
        <w:t>Investigative Field Coverage of Madinaty Security Personnel Sit-In (August 2024) — Documentation of security workforce protest over low wages, grueling 12-14 hour shifts, and substandard site housing.</w:t>
      </w:r>
    </w:p>
    <w:p>
      <w:pPr>
        <w:pStyle w:val="ListBullet"/>
        <w:spacing w:after="80" w:line="276" w:lineRule="auto"/>
      </w:pPr>
      <w:r>
        <w:rPr>
          <w:rFonts w:ascii="Calibri" w:hAnsi="Calibri"/>
          <w:b/>
          <w:color w:val="0F172A"/>
          <w:sz w:val="21"/>
        </w:rPr>
        <w:t xml:space="preserve">Al Manassa: </w:t>
      </w:r>
      <w:r>
        <w:rPr>
          <w:rFonts w:ascii="Calibri" w:hAnsi="Calibri"/>
          <w:color w:val="1E293B"/>
          <w:sz w:val="21"/>
        </w:rPr>
        <w:t>Investigative Report on Madinaty Security Written Petition (29 October 2025) — Reporting on formal written petition submitted by security guards demanding overtime and meal stipends; administration's retaliatory inquiries.</w:t>
      </w:r>
    </w:p>
    <w:p>
      <w:pPr>
        <w:pStyle w:val="ListBullet"/>
        <w:spacing w:after="80" w:line="276" w:lineRule="auto"/>
      </w:pPr>
      <w:r>
        <w:rPr>
          <w:rFonts w:ascii="Calibri" w:hAnsi="Calibri"/>
          <w:b/>
          <w:color w:val="0F172A"/>
          <w:sz w:val="21"/>
        </w:rPr>
        <w:t xml:space="preserve">Consumer Protection Agency: </w:t>
      </w:r>
      <w:r>
        <w:rPr>
          <w:rFonts w:ascii="Calibri" w:hAnsi="Calibri"/>
          <w:color w:val="1E293B"/>
          <w:sz w:val="21"/>
        </w:rPr>
        <w:t>Statutory Enforcement of Article 15 of Law No. 181 of 2018 — Regulatory rulings declaring developer resale percentage fees (5%-10%) null and void.</w:t>
      </w:r>
    </w:p>
    <w:p>
      <w:pPr>
        <w:pStyle w:val="ListBullet"/>
        <w:spacing w:after="80" w:line="276" w:lineRule="auto"/>
      </w:pPr>
      <w:r>
        <w:rPr>
          <w:rFonts w:ascii="Calibri" w:hAnsi="Calibri"/>
          <w:b/>
          <w:color w:val="0F172A"/>
          <w:sz w:val="21"/>
        </w:rPr>
        <w:t xml:space="preserve">ADQ / ADNEC Disclosure: </w:t>
      </w:r>
      <w:r>
        <w:rPr>
          <w:rFonts w:ascii="Calibri" w:hAnsi="Calibri"/>
          <w:color w:val="1E293B"/>
          <w:sz w:val="21"/>
        </w:rPr>
        <w:t>Official Acquisition Disclosure for ICON Luxury Hotels Portfolio (Feb 2024) — Regulatory announcement of ADQ/ADNEC acquiring 40.5% in ICON for $800M, covering 7 historic Egyptian hotels and Four Seasons assets.</w:t>
      </w:r>
    </w:p>
    <w:p>
      <w:pPr>
        <w:pStyle w:val="ListBullet"/>
        <w:spacing w:after="80" w:line="276" w:lineRule="auto"/>
      </w:pPr>
      <w:r>
        <w:rPr>
          <w:rFonts w:ascii="Calibri" w:hAnsi="Calibri"/>
          <w:b/>
          <w:color w:val="0F172A"/>
          <w:sz w:val="21"/>
        </w:rPr>
        <w:t xml:space="preserve">Ministry of Public Business Sector / Youm7: </w:t>
      </w:r>
      <w:r>
        <w:rPr>
          <w:rFonts w:ascii="Calibri" w:hAnsi="Calibri"/>
          <w:color w:val="1E293B"/>
          <w:sz w:val="21"/>
        </w:rPr>
        <w:t>Official Land Partnership Protocol for Four Seasons Luxor (EGOTH / ICON) — State confirmation of partnership between EGOTH and ICON (TMG) to develop Four Seasons Luxor on historic state-owned land.</w:t>
      </w:r>
    </w:p>
    <w:p>
      <w:pPr>
        <w:pStyle w:val="ListBullet"/>
        <w:spacing w:after="80" w:line="276" w:lineRule="auto"/>
      </w:pPr>
      <w:r>
        <w:rPr>
          <w:rFonts w:ascii="Calibri" w:hAnsi="Calibri"/>
          <w:b/>
          <w:color w:val="0F172A"/>
          <w:sz w:val="21"/>
        </w:rPr>
        <w:t xml:space="preserve">Atrium Quality Contractors Corporate Filing: </w:t>
      </w:r>
      <w:r>
        <w:rPr>
          <w:rFonts w:ascii="Calibri" w:hAnsi="Calibri"/>
          <w:color w:val="1E293B"/>
          <w:sz w:val="21"/>
        </w:rPr>
        <w:t>Contract Award Announcement for Four Seasons Luxor Main EPC — Official contractor disclosure confirming Atrium as main EPC turnkey contractor for Four Seasons Luxor.</w:t>
      </w:r>
    </w:p>
    <w:p>
      <w:pPr>
        <w:pStyle w:val="ListBullet"/>
        <w:spacing w:after="80" w:line="276" w:lineRule="auto"/>
      </w:pPr>
      <w:r>
        <w:rPr>
          <w:rFonts w:ascii="Calibri" w:hAnsi="Calibri"/>
          <w:b/>
          <w:color w:val="0F172A"/>
          <w:sz w:val="21"/>
        </w:rPr>
        <w:t xml:space="preserve">Four Seasons Hotels &amp; Resorts: </w:t>
      </w:r>
      <w:r>
        <w:rPr>
          <w:rFonts w:ascii="Calibri" w:hAnsi="Calibri"/>
          <w:color w:val="1E293B"/>
          <w:sz w:val="21"/>
        </w:rPr>
        <w:t>Global Development Directory &amp; Official Openings Schedule — Official brand directory confirming target opening of Four Seasons Luxor in 2027 (revised from 2026 in TMG H1 2025 disclosures).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