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tblPr>
      <w:tblGrid>
        <w:gridCol w:w="9360"/>
      </w:tblGrid>
      <w:tr>
        <w:tc>
          <w:tcPr>
            <w:tcW w:type="dxa" w:w="9360"/>
            <w:shd w:fill="0F172A"/>
            <w:tcMar>
              <w:top w:w="240" w:type="dxa"/>
              <w:bottom w:w="240" w:type="dxa"/>
              <w:left w:w="260" w:type="dxa"/>
              <w:right w:w="260" w:type="dxa"/>
            </w:tcMar>
          </w:tcPr>
          <w:p>
            <w:pPr>
              <w:spacing w:after="80"/>
              <w:jc w:val="right"/>
              <w:bidi/>
            </w:pPr>
            <w:r>
              <w:rPr>
                <w:rFonts w:ascii="Cairo" w:hAnsi="Cairo"/>
                <w:b/>
                <w:color w:val="0284C7"/>
                <w:sz w:val="23"/>
                <w:rtl/>
                <w:rFonts w:ascii="Cairo" w:hAnsi="Cairo" w:cs="Cairo"/>
              </w:rPr>
              <w:t>تقرير الفحص النافي للجهالة الجنائي وتحليل المخاطر المؤسسية المتقدم</w:t>
              <w:br/>
            </w:r>
            <w:r>
              <w:rPr>
                <w:rFonts w:ascii="Cairo" w:hAnsi="Cairo"/>
                <w:b/>
                <w:color w:val="FFFFFF"/>
                <w:sz w:val="42"/>
                <w:rtl/>
                <w:rFonts w:ascii="Cairo" w:hAnsi="Cairo" w:cs="Cairo"/>
              </w:rPr>
              <w:t>مجموعة طلعت مصطفى القابضة ش.م.م (TMGH.CA)</w:t>
              <w:br/>
            </w:r>
            <w:r>
              <w:rPr>
                <w:rFonts w:ascii="Cairo" w:hAnsi="Cairo"/>
                <w:b w:val="0"/>
                <w:color w:val="CBD5E1"/>
                <w:sz w:val="22"/>
                <w:rtl/>
                <w:rFonts w:ascii="Cairo" w:hAnsi="Cairo" w:cs="Cairo"/>
              </w:rPr>
              <w:t>تحقيق جنائي شامل: منظومة العزل التعاقدي، المقاول العام الداخلي، دورة اعتماد المستخلصات، النزاعات القضائية لمقاولي الباطن، الاحتجاجات العمالية، والالتزامات المالية خارج الميزانية</w:t>
            </w:r>
          </w:p>
          <w:p>
            <w:pPr>
              <w:spacing w:before="160"/>
              <w:jc w:val="right"/>
              <w:bidi/>
            </w:pPr>
            <w:r>
              <w:rPr>
                <w:rFonts w:ascii="Cairo" w:hAnsi="Cairo"/>
                <w:b/>
                <w:color w:val="D97706"/>
                <w:sz w:val="19"/>
                <w:rtl/>
                <w:rFonts w:ascii="Cairo" w:hAnsi="Cairo" w:cs="Cairo"/>
              </w:rPr>
              <w:t>تاريخ التحقيق والاعتماد: أكتوبر 2026  |  النطاق القضائي: جمهورية مصر العربية (EGX: TMGH)  |  بروتوكول المهندس حسن سليمان للأدلة الجنائية</w:t>
            </w:r>
          </w:p>
        </w:tc>
      </w:tr>
    </w:tbl>
    <w:p>
      <w:pPr>
        <w:spacing w:after="240"/>
        <w:jc w:val="right"/>
        <w:bidi/>
      </w:pPr>
    </w:p>
    <w:tbl>
      <w:tblPr>
        <w:tblW w:type="auto" w:w="0"/>
        <w:jc w:val="center"/>
        <w:tblLook w:firstColumn="1" w:firstRow="1" w:lastColumn="0" w:lastRow="0" w:noHBand="0" w:noVBand="1" w:val="04A0"/>
        <w:bidiVisual/>
      </w:tblPr>
      <w:tblGrid>
        <w:gridCol w:w="9360"/>
      </w:tblGrid>
      <w:tr>
        <w:tc>
          <w:tcPr>
            <w:tcW w:type="dxa" w:w="9360"/>
            <w:shd w:fill="F1F5F9"/>
            <w:tcMar>
              <w:top w:w="140" w:type="dxa"/>
              <w:bottom w:w="140" w:type="dxa"/>
              <w:left w:w="200" w:type="dxa"/>
              <w:right w:w="200" w:type="dxa"/>
            </w:tcMar>
            <w:tcBorders>
              <w:top w:val="none"/>
              <w:left w:val="none"/>
              <w:bottom w:val="none"/>
              <w:right w:val="single" w:sz="24" w:space="0" w:color="0284C7"/>
            </w:tcBorders>
          </w:tcPr>
          <w:p>
            <w:pPr>
              <w:spacing w:after="60"/>
              <w:jc w:val="right"/>
              <w:bidi/>
            </w:pPr>
            <w:r>
              <w:rPr>
                <w:rFonts w:ascii="Cairo" w:hAnsi="Cairo"/>
                <w:b/>
                <w:color w:val="0F172A"/>
                <w:sz w:val="22"/>
                <w:rtl/>
                <w:rFonts w:ascii="Cairo" w:hAnsi="Cairo" w:cs="Cairo"/>
              </w:rPr>
              <w:t>نطاق التحقيق الجنائي ومعايير الإثبات التوثيقي الصارم</w:t>
              <w:br/>
            </w:r>
            <w:r>
              <w:rPr>
                <w:rFonts w:ascii="Cairo" w:hAnsi="Cairo"/>
                <w:b w:val="0"/>
                <w:color w:val="1E293B"/>
                <w:sz w:val="20"/>
                <w:rtl/>
                <w:rFonts w:ascii="Cairo" w:hAnsi="Cairo" w:cs="Cairo"/>
              </w:rPr>
              <w:t>يمثل هذا الملف تقريراً تحليلياً استقصائياً نافياً للجهالة تم استخلاصه وتدقيقه وفقاً لأعلى معايير الإثبات الجنائي التوثيقي، استناداً إلى القوائم المالية المعتمدة المودعة لدى البورصة المصرية (EGX)، وإفصاحات مراقبي الحسابات، وأحكام محكمة القضاء الإداري والمحكمة الإدارية العليا بمجلس الدولة، ومحاكم الجنح والاقتصادية، وسجلات كبرى شركات المقاولات الهندسية، والتحقيقات الصحفية الموثقة المنشورة في كبرى الصحف المستقلة (المصري اليوم، مدى مصر، المنصة). لا يتضمن التقرير أي افتراضات غير مثبتة؛ حيث تم تقييد كل واقعة بحدود الإثبات القضائي والمستندي المتاح.</w:t>
            </w:r>
          </w:p>
        </w:tc>
      </w:tr>
    </w:tbl>
    <w:p>
      <w:pPr>
        <w:spacing w:after="120"/>
        <w:jc w:val="right"/>
        <w:bidi/>
      </w:pPr>
    </w:p>
    <w:p>
      <w:pPr>
        <w:pStyle w:val="Heading1"/>
        <w:keepNext/>
        <w:spacing w:before="360" w:after="120"/>
        <w:jc w:val="right"/>
        <w:bidi/>
      </w:pPr>
      <w:r>
        <w:rPr>
          <w:rFonts w:ascii="Cairo" w:hAnsi="Cairo"/>
          <w:b/>
          <w:color w:val="0F172A"/>
          <w:sz w:val="32"/>
          <w:rtl/>
          <w:rFonts w:ascii="Cairo" w:hAnsi="Cairo" w:cs="Cairo"/>
        </w:rPr>
        <w:t>فهرس محتويات التقرير الجنائي</w:t>
      </w:r>
    </w:p>
    <w:p>
      <w:pPr>
        <w:pStyle w:val="ListBullet"/>
        <w:spacing w:after="80" w:line="276" w:lineRule="auto"/>
        <w:jc w:val="right"/>
        <w:bidi/>
      </w:pPr>
      <w:r>
        <w:rPr>
          <w:rFonts w:ascii="Cairo" w:hAnsi="Cairo"/>
          <w:b w:val="0"/>
          <w:color w:val="1E293B"/>
          <w:sz w:val="21"/>
          <w:rtl/>
          <w:rFonts w:ascii="Cairo" w:hAnsi="Cairo" w:cs="Cairo"/>
        </w:rPr>
        <w:t>1. ملخص تنفيذي لأهم النتائج والمؤشرات الجوهرية (Executive Summary)</w:t>
      </w:r>
    </w:p>
    <w:p>
      <w:pPr>
        <w:pStyle w:val="ListBullet"/>
        <w:spacing w:after="80" w:line="276" w:lineRule="auto"/>
        <w:jc w:val="right"/>
        <w:bidi/>
      </w:pPr>
      <w:r>
        <w:rPr>
          <w:rFonts w:ascii="Cairo" w:hAnsi="Cairo"/>
          <w:b w:val="0"/>
          <w:color w:val="1E293B"/>
          <w:sz w:val="21"/>
          <w:rtl/>
          <w:rFonts w:ascii="Cairo" w:hAnsi="Cairo" w:cs="Cairo"/>
        </w:rPr>
        <w:t>2. الهيكل المؤسسي، مصفوفة الملاك المستفيدين (UBO) ومنظومة العزل التعاقدي للمقاول الداخلي</w:t>
      </w:r>
    </w:p>
    <w:p>
      <w:pPr>
        <w:pStyle w:val="ListBullet"/>
        <w:spacing w:after="80" w:line="276" w:lineRule="auto"/>
        <w:jc w:val="right"/>
        <w:bidi/>
      </w:pPr>
      <w:r>
        <w:rPr>
          <w:rFonts w:ascii="Cairo" w:hAnsi="Cairo"/>
          <w:b w:val="0"/>
          <w:color w:val="1E293B"/>
          <w:sz w:val="21"/>
          <w:rtl/>
          <w:rFonts w:ascii="Cairo" w:hAnsi="Cairo" w:cs="Cairo"/>
        </w:rPr>
        <w:t>3. قاعدة بيانات المشروعات الرئيسية والمحفظة العقارية (أكثر من 40,000 فدان)</w:t>
      </w:r>
    </w:p>
    <w:p>
      <w:pPr>
        <w:pStyle w:val="ListBullet"/>
        <w:spacing w:after="80" w:line="276" w:lineRule="auto"/>
        <w:jc w:val="right"/>
        <w:bidi/>
      </w:pPr>
      <w:r>
        <w:rPr>
          <w:rFonts w:ascii="Cairo" w:hAnsi="Cairo"/>
          <w:b w:val="0"/>
          <w:color w:val="1E293B"/>
          <w:sz w:val="21"/>
          <w:rtl/>
          <w:rFonts w:ascii="Cairo" w:hAnsi="Cairo" w:cs="Cairo"/>
        </w:rPr>
        <w:t>4. التحليل المالي الجنائي، هيكل المديونيات وأوراق الدفع (&gt;15.79 مليار جنيه) والتدفقات النقدية</w:t>
      </w:r>
    </w:p>
    <w:p>
      <w:pPr>
        <w:pStyle w:val="ListBullet"/>
        <w:spacing w:after="80" w:line="276" w:lineRule="auto"/>
        <w:jc w:val="right"/>
        <w:bidi/>
      </w:pPr>
      <w:r>
        <w:rPr>
          <w:rFonts w:ascii="Cairo" w:hAnsi="Cairo"/>
          <w:b w:val="0"/>
          <w:color w:val="1E293B"/>
          <w:sz w:val="21"/>
          <w:rtl/>
          <w:rFonts w:ascii="Cairo" w:hAnsi="Cairo" w:cs="Cairo"/>
        </w:rPr>
        <w:t>5. سياسات صرف مستخلصات المقاولين (المستخلصات) ودورة الاعتماد (7 مراحل) والنزاعات التاريخية</w:t>
      </w:r>
    </w:p>
    <w:p>
      <w:pPr>
        <w:pStyle w:val="ListBullet"/>
        <w:spacing w:after="80" w:line="276" w:lineRule="auto"/>
        <w:jc w:val="right"/>
        <w:bidi/>
      </w:pPr>
      <w:r>
        <w:rPr>
          <w:rFonts w:ascii="Cairo" w:hAnsi="Cairo"/>
          <w:b w:val="0"/>
          <w:color w:val="1E293B"/>
          <w:sz w:val="21"/>
          <w:rtl/>
          <w:rFonts w:ascii="Cairo" w:hAnsi="Cairo" w:cs="Cairo"/>
        </w:rPr>
        <w:t>6. الاحتجاجات العمالية المعاصرة وتجميد الأجور ومذكرات أفراد أمن مدينتي (2024–2025)</w:t>
      </w:r>
    </w:p>
    <w:p>
      <w:pPr>
        <w:pStyle w:val="ListBullet"/>
        <w:spacing w:after="80" w:line="276" w:lineRule="auto"/>
        <w:jc w:val="right"/>
        <w:bidi/>
      </w:pPr>
      <w:r>
        <w:rPr>
          <w:rFonts w:ascii="Cairo" w:hAnsi="Cairo"/>
          <w:b w:val="0"/>
          <w:color w:val="1E293B"/>
          <w:sz w:val="21"/>
          <w:rtl/>
          <w:rFonts w:ascii="Cairo" w:hAnsi="Cairo" w:cs="Cairo"/>
        </w:rPr>
        <w:t>7. شكاوى الملاك والعملاء، فروق الصيانة ورسوم التنازل وإعادة البيع غير القانونية</w:t>
      </w:r>
    </w:p>
    <w:p>
      <w:pPr>
        <w:pStyle w:val="ListBullet"/>
        <w:spacing w:after="80" w:line="276" w:lineRule="auto"/>
        <w:jc w:val="right"/>
        <w:bidi/>
      </w:pPr>
      <w:r>
        <w:rPr>
          <w:rFonts w:ascii="Cairo" w:hAnsi="Cairo"/>
          <w:b w:val="0"/>
          <w:color w:val="1E293B"/>
          <w:sz w:val="21"/>
          <w:rtl/>
          <w:rFonts w:ascii="Cairo" w:hAnsi="Cairo" w:cs="Cairo"/>
        </w:rPr>
        <w:t>8. السجل الشامل للمقاولين والموردين وأطراف التعامل المباشر (Master Counterparty Registry)</w:t>
      </w:r>
    </w:p>
    <w:p>
      <w:pPr>
        <w:pStyle w:val="ListBullet"/>
        <w:spacing w:after="80" w:line="276" w:lineRule="auto"/>
        <w:jc w:val="right"/>
        <w:bidi/>
      </w:pPr>
      <w:r>
        <w:rPr>
          <w:rFonts w:ascii="Cairo" w:hAnsi="Cairo"/>
          <w:b w:val="0"/>
          <w:color w:val="1E293B"/>
          <w:sz w:val="21"/>
          <w:rtl/>
          <w:rFonts w:ascii="Cairo" w:hAnsi="Cairo" w:cs="Cairo"/>
        </w:rPr>
        <w:t>9. الأحكام القضائية الكبرى، الجنح المالية، والتحكيم المؤسسي السري (CRCICA)</w:t>
      </w:r>
    </w:p>
    <w:p>
      <w:pPr>
        <w:pStyle w:val="ListBullet"/>
        <w:spacing w:after="80" w:line="276" w:lineRule="auto"/>
        <w:jc w:val="right"/>
        <w:bidi/>
      </w:pPr>
      <w:r>
        <w:rPr>
          <w:rFonts w:ascii="Cairo" w:hAnsi="Cairo"/>
          <w:b w:val="0"/>
          <w:color w:val="1E293B"/>
          <w:sz w:val="21"/>
          <w:rtl/>
          <w:rFonts w:ascii="Cairo" w:hAnsi="Cairo" w:cs="Cairo"/>
        </w:rPr>
        <w:t>10. مصفوفة تقييم المخاطر الجنائية والمؤشرات التحذيرية الشاملة (Risk Register)</w:t>
      </w:r>
    </w:p>
    <w:p>
      <w:pPr>
        <w:pStyle w:val="ListBullet"/>
        <w:spacing w:after="80" w:line="276" w:lineRule="auto"/>
        <w:jc w:val="right"/>
        <w:bidi/>
      </w:pPr>
      <w:r>
        <w:rPr>
          <w:rFonts w:ascii="Cairo" w:hAnsi="Cairo"/>
          <w:b w:val="0"/>
          <w:color w:val="1E293B"/>
          <w:sz w:val="21"/>
          <w:rtl/>
          <w:rFonts w:ascii="Cairo" w:hAnsi="Cairo" w:cs="Cairo"/>
        </w:rPr>
        <w:t>11. التحليل الاستراتيجي الرباعي المتقدم (SWOT Matrix)</w:t>
      </w:r>
    </w:p>
    <w:p>
      <w:pPr>
        <w:pStyle w:val="ListBullet"/>
        <w:spacing w:after="80" w:line="276" w:lineRule="auto"/>
        <w:jc w:val="right"/>
        <w:bidi/>
      </w:pPr>
      <w:r>
        <w:rPr>
          <w:rFonts w:ascii="Cairo" w:hAnsi="Cairo"/>
          <w:b w:val="0"/>
          <w:color w:val="1E293B"/>
          <w:sz w:val="21"/>
          <w:rtl/>
          <w:rFonts w:ascii="Cairo" w:hAnsi="Cairo" w:cs="Cairo"/>
        </w:rPr>
        <w:t>12. أدلة العمل التنفيذية وبروتوكولات التدقيق لأصحاب المصلحة والمقاولين والبنوك</w:t>
      </w:r>
    </w:p>
    <w:p>
      <w:pPr>
        <w:pStyle w:val="ListBullet"/>
        <w:spacing w:after="80" w:line="276" w:lineRule="auto"/>
        <w:jc w:val="right"/>
        <w:bidi/>
      </w:pPr>
      <w:r>
        <w:rPr>
          <w:rFonts w:ascii="Cairo" w:hAnsi="Cairo"/>
          <w:b w:val="0"/>
          <w:color w:val="1E293B"/>
          <w:sz w:val="21"/>
          <w:rtl/>
          <w:rFonts w:ascii="Cairo" w:hAnsi="Cairo" w:cs="Cairo"/>
        </w:rPr>
        <w:t>13. قائمة التحقق الجنائية المعتمدة للصفقات والاستحواذات (Due Diligence Checklist)</w:t>
      </w:r>
    </w:p>
    <w:p>
      <w:pPr>
        <w:pStyle w:val="ListBullet"/>
        <w:spacing w:after="80" w:line="276" w:lineRule="auto"/>
        <w:jc w:val="right"/>
        <w:bidi/>
      </w:pPr>
      <w:r>
        <w:rPr>
          <w:rFonts w:ascii="Cairo" w:hAnsi="Cairo"/>
          <w:b w:val="0"/>
          <w:color w:val="1E293B"/>
          <w:sz w:val="21"/>
          <w:rtl/>
          <w:rFonts w:ascii="Cairo" w:hAnsi="Cairo" w:cs="Cairo"/>
        </w:rPr>
        <w:t>14. السجل الشامل للمصادر الأولية والمراجع التوثيقية المعتمدة</w:t>
      </w:r>
    </w:p>
    <w:p>
      <w:pPr>
        <w:pStyle w:val="Heading1"/>
        <w:keepNext/>
        <w:spacing w:before="360" w:after="120"/>
        <w:jc w:val="right"/>
        <w:bidi/>
      </w:pPr>
      <w:r>
        <w:rPr>
          <w:rFonts w:ascii="Cairo" w:hAnsi="Cairo"/>
          <w:b/>
          <w:color w:val="0F172A"/>
          <w:sz w:val="32"/>
          <w:rtl/>
          <w:rFonts w:ascii="Cairo" w:hAnsi="Cairo" w:cs="Cairo"/>
        </w:rPr>
        <w:t>1. ملخص تنفيذي لأهم النتائج والمؤشرات الجوهرية</w:t>
      </w:r>
    </w:p>
    <w:p>
      <w:pPr>
        <w:spacing w:after="120" w:line="288" w:lineRule="auto"/>
        <w:jc w:val="right"/>
        <w:bidi/>
      </w:pPr>
      <w:r>
        <w:rPr>
          <w:rFonts w:ascii="Cairo" w:hAnsi="Cairo"/>
          <w:b w:val="0"/>
          <w:color w:val="1E293B"/>
          <w:sz w:val="21"/>
          <w:rtl/>
          <w:rFonts w:ascii="Cairo" w:hAnsi="Cairo" w:cs="Cairo"/>
        </w:rPr>
        <w:t>تعد مجموعة طلعت مصطفى القابضة ش.م.م (TMGH) أكبر كيان تطوير عقاري وعمراني مدرج في البورصة المصرية برأسمال مصدر يبلغ 20.64 مليار جنيه مصري. تدير المجموعة محفظة أراضٍ عملاقة تتجاوز مساحتها 40,000 فدان (ما يعادل قرابة 168 مليون متر مربع) في مصر والمملكة العربية السعودية. وفي حين تعكس القوائم المالية المجمعة طفرات قياسية في المؤشرات السطحية (إيرادات عام 2025: 62.5 مليار جنيه؛ صافي أرباح: 18.2 مليار جنيه؛ ورصيد مبيعات تعاقدية غير مسلمة: 441.2 مليار جنيه)، يكشف التحليل الجنائي لسلسلة الإمداد والتوريد عن ضغوط تشغيلية وتعاقدية هائلة تؤثر على مقاولي الباطن والعمالة الميدانية.</w:t>
      </w:r>
    </w:p>
    <w:tbl>
      <w:tblPr>
        <w:tblW w:type="auto" w:w="0"/>
        <w:jc w:val="center"/>
        <w:tblLook w:firstColumn="1" w:firstRow="1" w:lastColumn="0" w:lastRow="0" w:noHBand="0" w:noVBand="1" w:val="04A0"/>
        <w:bidiVisual/>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shd w:fill="F1F5F9"/>
            <w:tcMar>
              <w:top w:w="100" w:type="dxa"/>
              <w:bottom w:w="100" w:type="dxa"/>
              <w:left w:w="120" w:type="dxa"/>
              <w:right w:w="120" w:type="dxa"/>
            </w:tcMar>
          </w:tcPr>
          <w:p>
            <w:pPr>
              <w:spacing w:after="40"/>
              <w:jc w:val="right"/>
              <w:bidi/>
            </w:pPr>
            <w:r>
              <w:rPr>
                <w:rFonts w:ascii="Cairo" w:hAnsi="Cairo"/>
                <w:b/>
                <w:color w:val="64748B"/>
                <w:sz w:val="18"/>
                <w:rtl/>
                <w:rFonts w:ascii="Cairo" w:hAnsi="Cairo" w:cs="Cairo"/>
              </w:rPr>
              <w:t>إيرادات عام 2025</w:t>
              <w:br/>
            </w:r>
            <w:r>
              <w:rPr>
                <w:rFonts w:ascii="Cairo" w:hAnsi="Cairo"/>
                <w:b/>
                <w:color w:val="0284C7"/>
                <w:sz w:val="25"/>
                <w:rtl/>
                <w:rFonts w:ascii="Cairo" w:hAnsi="Cairo" w:cs="Cairo"/>
              </w:rPr>
              <w:t>62.50 مليار ج.م</w:t>
              <w:br/>
            </w:r>
            <w:r>
              <w:rPr>
                <w:rFonts w:ascii="Cairo" w:hAnsi="Cairo"/>
                <w:b w:val="0"/>
                <w:color w:val="059669"/>
                <w:sz w:val="17"/>
                <w:rtl/>
                <w:rFonts w:ascii="Cairo" w:hAnsi="Cairo" w:cs="Cairo"/>
              </w:rPr>
              <w:t>نمو سنوي +46%</w:t>
            </w:r>
          </w:p>
        </w:tc>
        <w:tc>
          <w:tcPr>
            <w:tcW w:type="dxa" w:w="2340"/>
            <w:shd w:fill="F1F5F9"/>
            <w:tcMar>
              <w:top w:w="100" w:type="dxa"/>
              <w:bottom w:w="100" w:type="dxa"/>
              <w:left w:w="120" w:type="dxa"/>
              <w:right w:w="120" w:type="dxa"/>
            </w:tcMar>
          </w:tcPr>
          <w:p>
            <w:pPr>
              <w:spacing w:after="40"/>
              <w:jc w:val="right"/>
              <w:bidi/>
            </w:pPr>
            <w:r>
              <w:rPr>
                <w:rFonts w:ascii="Cairo" w:hAnsi="Cairo"/>
                <w:b/>
                <w:color w:val="64748B"/>
                <w:sz w:val="18"/>
                <w:rtl/>
                <w:rFonts w:ascii="Cairo" w:hAnsi="Cairo" w:cs="Cairo"/>
              </w:rPr>
              <w:t>صافي أرباح 2025</w:t>
              <w:br/>
            </w:r>
            <w:r>
              <w:rPr>
                <w:rFonts w:ascii="Cairo" w:hAnsi="Cairo"/>
                <w:b/>
                <w:color w:val="0284C7"/>
                <w:sz w:val="25"/>
                <w:rtl/>
                <w:rFonts w:ascii="Cairo" w:hAnsi="Cairo" w:cs="Cairo"/>
              </w:rPr>
              <w:t>18.20 مليار ج.م</w:t>
              <w:br/>
            </w:r>
            <w:r>
              <w:rPr>
                <w:rFonts w:ascii="Cairo" w:hAnsi="Cairo"/>
                <w:b w:val="0"/>
                <w:color w:val="059669"/>
                <w:sz w:val="17"/>
                <w:rtl/>
                <w:rFonts w:ascii="Cairo" w:hAnsi="Cairo" w:cs="Cairo"/>
              </w:rPr>
              <w:t>نمو سنوي +43%</w:t>
            </w:r>
          </w:p>
        </w:tc>
        <w:tc>
          <w:tcPr>
            <w:tcW w:type="dxa" w:w="2340"/>
            <w:shd w:fill="F1F5F9"/>
            <w:tcMar>
              <w:top w:w="100" w:type="dxa"/>
              <w:bottom w:w="100" w:type="dxa"/>
              <w:left w:w="120" w:type="dxa"/>
              <w:right w:w="120" w:type="dxa"/>
            </w:tcMar>
          </w:tcPr>
          <w:p>
            <w:pPr>
              <w:spacing w:after="40"/>
              <w:jc w:val="right"/>
              <w:bidi/>
            </w:pPr>
            <w:r>
              <w:rPr>
                <w:rFonts w:ascii="Cairo" w:hAnsi="Cairo"/>
                <w:b/>
                <w:color w:val="64748B"/>
                <w:sz w:val="18"/>
                <w:rtl/>
                <w:rFonts w:ascii="Cairo" w:hAnsi="Cairo" w:cs="Cairo"/>
              </w:rPr>
              <w:t>النقدية والأرصدة بالبنوك</w:t>
              <w:br/>
            </w:r>
            <w:r>
              <w:rPr>
                <w:rFonts w:ascii="Cairo" w:hAnsi="Cairo"/>
                <w:b/>
                <w:color w:val="0284C7"/>
                <w:sz w:val="25"/>
                <w:rtl/>
                <w:rFonts w:ascii="Cairo" w:hAnsi="Cairo" w:cs="Cairo"/>
              </w:rPr>
              <w:t>47.10 مليار ج.م</w:t>
              <w:br/>
            </w:r>
            <w:r>
              <w:rPr>
                <w:rFonts w:ascii="Cairo" w:hAnsi="Cairo"/>
                <w:b w:val="0"/>
                <w:color w:val="64748B"/>
                <w:sz w:val="17"/>
                <w:rtl/>
                <w:rFonts w:ascii="Cairo" w:hAnsi="Cairo" w:cs="Cairo"/>
              </w:rPr>
              <w:t>في 30 يونيو 2026</w:t>
            </w:r>
          </w:p>
        </w:tc>
        <w:tc>
          <w:tcPr>
            <w:tcW w:type="dxa" w:w="2340"/>
            <w:shd w:fill="F1F5F9"/>
            <w:tcMar>
              <w:top w:w="100" w:type="dxa"/>
              <w:bottom w:w="100" w:type="dxa"/>
              <w:left w:w="120" w:type="dxa"/>
              <w:right w:w="120" w:type="dxa"/>
            </w:tcMar>
          </w:tcPr>
          <w:p>
            <w:pPr>
              <w:spacing w:after="40"/>
              <w:jc w:val="right"/>
              <w:bidi/>
            </w:pPr>
            <w:r>
              <w:rPr>
                <w:rFonts w:ascii="Cairo" w:hAnsi="Cairo"/>
                <w:b/>
                <w:color w:val="64748B"/>
                <w:sz w:val="18"/>
                <w:rtl/>
                <w:rFonts w:ascii="Cairo" w:hAnsi="Cairo" w:cs="Cairo"/>
              </w:rPr>
              <w:t>رصيد المبيعات المحجوزة</w:t>
              <w:br/>
            </w:r>
            <w:r>
              <w:rPr>
                <w:rFonts w:ascii="Cairo" w:hAnsi="Cairo"/>
                <w:b/>
                <w:color w:val="0284C7"/>
                <w:sz w:val="25"/>
                <w:rtl/>
                <w:rFonts w:ascii="Cairo" w:hAnsi="Cairo" w:cs="Cairo"/>
              </w:rPr>
              <w:t>441.20 مليار ج.م</w:t>
              <w:br/>
            </w:r>
            <w:r>
              <w:rPr>
                <w:rFonts w:ascii="Cairo" w:hAnsi="Cairo"/>
                <w:b w:val="0"/>
                <w:color w:val="64748B"/>
                <w:sz w:val="17"/>
                <w:rtl/>
                <w:rFonts w:ascii="Cairo" w:hAnsi="Cairo" w:cs="Cairo"/>
              </w:rPr>
              <w:t>مبيعات تعاقدية غير مسلمة</w:t>
            </w:r>
          </w:p>
        </w:tc>
      </w:tr>
    </w:tbl>
    <w:p>
      <w:pPr>
        <w:spacing w:after="120"/>
      </w:pPr>
    </w:p>
    <w:p>
      <w:pPr>
        <w:spacing w:after="120" w:line="288" w:lineRule="auto"/>
        <w:jc w:val="right"/>
        <w:bidi/>
      </w:pPr>
      <w:r>
        <w:rPr>
          <w:rFonts w:ascii="Cairo" w:hAnsi="Cairo"/>
          <w:b/>
          <w:color w:val="0F172A"/>
          <w:sz w:val="21"/>
          <w:rtl/>
          <w:rFonts w:ascii="Cairo" w:hAnsi="Cairo" w:cs="Cairo"/>
        </w:rPr>
        <w:t xml:space="preserve">الخلاصة الجنائية التوثيقية: </w:t>
      </w:r>
      <w:r>
        <w:rPr>
          <w:rFonts w:ascii="Cairo" w:hAnsi="Cairo"/>
          <w:b w:val="0"/>
          <w:color w:val="1E293B"/>
          <w:sz w:val="21"/>
          <w:rtl/>
          <w:rFonts w:ascii="Cairo" w:hAnsi="Cairo" w:cs="Cairo"/>
        </w:rPr>
        <w:t>أبرز النتائج الجوهرية والقرائن الجنائية المستخلصة من التحقيق:</w:t>
      </w:r>
    </w:p>
    <w:p>
      <w:pPr>
        <w:pStyle w:val="ListBullet"/>
        <w:spacing w:after="80" w:line="276" w:lineRule="auto"/>
        <w:jc w:val="right"/>
        <w:bidi/>
      </w:pPr>
      <w:r>
        <w:rPr>
          <w:rFonts w:ascii="Cairo" w:hAnsi="Cairo"/>
          <w:b/>
          <w:color w:val="0F172A"/>
          <w:sz w:val="21"/>
          <w:rtl/>
          <w:rFonts w:ascii="Cairo" w:hAnsi="Cairo" w:cs="Cairo"/>
        </w:rPr>
        <w:t xml:space="preserve">1. درع المقاول العام الداخلي (Captive EPC): </w:t>
      </w:r>
      <w:r>
        <w:rPr>
          <w:rFonts w:ascii="Cairo" w:hAnsi="Cairo"/>
          <w:b w:val="0"/>
          <w:color w:val="1E293B"/>
          <w:sz w:val="21"/>
          <w:rtl/>
          <w:rFonts w:ascii="Cairo" w:hAnsi="Cairo" w:cs="Cairo"/>
        </w:rPr>
        <w:t>العزل التعاقدي عبر المقاول العام الداخلي: لا توقع مجموعة طلعت مصطفى القابضة أي عقود مقاولات أو توريدات تجارية بشكل مباشر على الإطلاق. تُسند كافة أعمال التنفيذ الإنشائي والمقاولات إلى شركة الإسكندرية للإنشاءات (ACC) وشركات مقاولات تابعة، مما يحصن أموال وأسهم الشركة القابضة المدرجة بالبورصة من أي حجوزات قضائية أو دعاوى حبس ومستحقات مباشرة يقيمها مقاولو الباطن.</w:t>
      </w:r>
    </w:p>
    <w:p>
      <w:pPr>
        <w:pStyle w:val="ListBullet"/>
        <w:spacing w:after="80" w:line="276" w:lineRule="auto"/>
        <w:jc w:val="right"/>
        <w:bidi/>
      </w:pPr>
      <w:r>
        <w:rPr>
          <w:rFonts w:ascii="Cairo" w:hAnsi="Cairo"/>
          <w:b/>
          <w:color w:val="0F172A"/>
          <w:sz w:val="21"/>
          <w:rtl/>
          <w:rFonts w:ascii="Cairo" w:hAnsi="Cairo" w:cs="Cairo"/>
        </w:rPr>
        <w:t xml:space="preserve">2. سداد المستخلصات بأوراق الدفع: </w:t>
      </w:r>
      <w:r>
        <w:rPr>
          <w:rFonts w:ascii="Cairo" w:hAnsi="Cairo"/>
          <w:b w:val="0"/>
          <w:color w:val="1E293B"/>
          <w:sz w:val="21"/>
          <w:rtl/>
          <w:rFonts w:ascii="Cairo" w:hAnsi="Cairo" w:cs="Cairo"/>
        </w:rPr>
        <w:t>تحويل عبء السيولة عبر أوراق الدفع المؤجلة: تقيد التكاليف الإنشائية حصرياً بموجب مستخلصات مقاولين معتمدة. وتخضع هذه المستخلصات لتدقيق فني متكرر، ولا يتم صرف المستحقات المعتمدة نقداً إلا نادراً، بل عبر شيكات وأوراق دفع تجارية مؤجلة (أوراق دفع) بآجال استحقاق تتراوح بين 90 و270 يوماً، مما يرحل عبء تمويل رأس المال العامل إلى المقاولين (رصيد الموردين وأوراق الدفع يتجاوز 15.79 مليار جنيه).</w:t>
      </w:r>
    </w:p>
    <w:p>
      <w:pPr>
        <w:pStyle w:val="ListBullet"/>
        <w:spacing w:after="80" w:line="276" w:lineRule="auto"/>
        <w:jc w:val="right"/>
        <w:bidi/>
      </w:pPr>
      <w:r>
        <w:rPr>
          <w:rFonts w:ascii="Cairo" w:hAnsi="Cairo"/>
          <w:b/>
          <w:color w:val="0F172A"/>
          <w:sz w:val="21"/>
          <w:rtl/>
          <w:rFonts w:ascii="Cairo" w:hAnsi="Cairo" w:cs="Cairo"/>
        </w:rPr>
        <w:t xml:space="preserve">3. النزاعات الموثقة وسلسلة التوريد: </w:t>
      </w:r>
      <w:r>
        <w:rPr>
          <w:rFonts w:ascii="Cairo" w:hAnsi="Cairo"/>
          <w:b w:val="0"/>
          <w:color w:val="1E293B"/>
          <w:sz w:val="21"/>
          <w:rtl/>
          <w:rFonts w:ascii="Cairo" w:hAnsi="Cairo" w:cs="Cairo"/>
        </w:rPr>
        <w:t>وقائع موثقة لنزاعات المقاولين والاضطرابات العمالية: يدمج التقرير سوابق تاريخية موثقة (واقعة مقاول مدينتي شحاتة محمد حسن في 13 أكتوبر 2008 واعتراف مدير شركة الإسكندرية للإنشاءات إبراهيم حسبو لصحيفة المصري اليوم بتعمد تأخير الصرف لمنع العمال من مغادرة الموقع بعد القبض على هشام طلعت مصطفى) بجانب احتجاجات عمالية معاصرة (مارس 2024 بشركة الإسكندرية للإنشاءات عبر مدى مصر، واعتصامات ومذكرات أفراد أمن مدينتي في أغسطس 2024 و29 أكتوبر 2025 عبر المنصة).</w:t>
      </w:r>
    </w:p>
    <w:p>
      <w:pPr>
        <w:pStyle w:val="ListBullet"/>
        <w:spacing w:after="80" w:line="276" w:lineRule="auto"/>
        <w:jc w:val="right"/>
        <w:bidi/>
      </w:pPr>
      <w:r>
        <w:rPr>
          <w:rFonts w:ascii="Cairo" w:hAnsi="Cairo"/>
          <w:b/>
          <w:color w:val="0F172A"/>
          <w:sz w:val="21"/>
          <w:rtl/>
          <w:rFonts w:ascii="Cairo" w:hAnsi="Cairo" w:cs="Cairo"/>
        </w:rPr>
        <w:t xml:space="preserve">4. الرافعة المالية الحقيقية: </w:t>
      </w:r>
      <w:r>
        <w:rPr>
          <w:rFonts w:ascii="Cairo" w:hAnsi="Cairo"/>
          <w:b w:val="0"/>
          <w:color w:val="1E293B"/>
          <w:sz w:val="21"/>
          <w:rtl/>
          <w:rFonts w:ascii="Cairo" w:hAnsi="Cairo" w:cs="Cairo"/>
        </w:rPr>
        <w:t>الرافعة المالية المركبة والالتزامات خارج الميزانية: بالإضافة إلى التسهيلات والقروض المصرفية المباشرة البالغة 16.5 مليار جنيه، تعتمد المجموعة على عقود تأجير تمويلي تتجاوز 44.0 مليار جنيه لتمويل الأصول الإنشائية والمعدات دون إدراجها كديون مصرفية مباشرة في صلب الميزانية.</w:t>
      </w:r>
    </w:p>
    <w:p>
      <w:pPr>
        <w:pStyle w:val="Heading1"/>
        <w:keepNext/>
        <w:spacing w:before="360" w:after="120"/>
        <w:jc w:val="right"/>
        <w:bidi/>
      </w:pPr>
      <w:r>
        <w:rPr>
          <w:rFonts w:ascii="Cairo" w:hAnsi="Cairo"/>
          <w:b/>
          <w:color w:val="0F172A"/>
          <w:sz w:val="32"/>
          <w:rtl/>
          <w:rFonts w:ascii="Cairo" w:hAnsi="Cairo" w:cs="Cairo"/>
        </w:rPr>
        <w:t>2. الهيكل المؤسسي، مصفوفة الملاك المستفيدين (UBO) ومنظومة العزل التعاقدي للمقاول الداخلي</w:t>
      </w:r>
    </w:p>
    <w:p>
      <w:pPr>
        <w:spacing w:after="120" w:line="288" w:lineRule="auto"/>
        <w:jc w:val="right"/>
        <w:bidi/>
      </w:pPr>
      <w:r>
        <w:rPr>
          <w:rFonts w:ascii="Cairo" w:hAnsi="Cairo"/>
          <w:b w:val="0"/>
          <w:color w:val="1E293B"/>
          <w:sz w:val="21"/>
          <w:rtl/>
          <w:rFonts w:ascii="Cairo" w:hAnsi="Cairo" w:cs="Cairo"/>
        </w:rPr>
        <w:t>يكشف الفحص الدقيق لإفصاحات البورصة المصرية والسجلات التجارية أن مجموعة طلعت مصطفى القابضة تعتمد بنية مؤسسية محكمة مصممة خصيصاً للفصل بين ملكية الأراضي، وحقوق التطوير العمراني، والمخاطر التشغيلية والقانونية الناشئة عن أعمال المقاولات والتنفيذ الميداني.</w:t>
      </w:r>
    </w:p>
    <w:p>
      <w:pPr>
        <w:pStyle w:val="Heading2"/>
        <w:keepNext/>
        <w:spacing w:before="280" w:after="80"/>
        <w:jc w:val="right"/>
        <w:bidi/>
      </w:pPr>
      <w:r>
        <w:rPr>
          <w:rFonts w:ascii="Cairo" w:hAnsi="Cairo"/>
          <w:b/>
          <w:color w:val="0284C7"/>
          <w:sz w:val="26"/>
          <w:rtl/>
          <w:rFonts w:ascii="Cairo" w:hAnsi="Cairo" w:cs="Cairo"/>
        </w:rPr>
        <w:t>2.1 مصفوفة الملاك المستفيدين النهائيين (UBO Matrix)</w:t>
      </w:r>
    </w:p>
    <w:p>
      <w:pPr>
        <w:spacing w:after="120" w:line="288" w:lineRule="auto"/>
        <w:jc w:val="right"/>
        <w:bidi/>
      </w:pPr>
      <w:r>
        <w:rPr>
          <w:rFonts w:ascii="Cairo" w:hAnsi="Cairo"/>
          <w:b w:val="0"/>
          <w:color w:val="1E293B"/>
          <w:sz w:val="21"/>
          <w:rtl/>
          <w:rFonts w:ascii="Cairo" w:hAnsi="Cairo" w:cs="Cairo"/>
        </w:rPr>
        <w:t>وفقاً لبيانات الإفصاح المحدثة بنهاية 2025 والنصف الأول من 2026، يتوزع رأسمال الشركة المصدر (2,063,562,286 سهماً بقيمة اسمية 10 جنيهات للسهم) على النحو التالي:</w:t>
      </w:r>
    </w:p>
    <w:tbl>
      <w:tblPr>
        <w:tblW w:type="auto" w:w="0"/>
        <w:jc w:val="center"/>
        <w:tblLook w:firstColumn="1" w:firstRow="1" w:lastColumn="0" w:lastRow="0" w:noHBand="0" w:noVBand="1" w:val="04A0"/>
        <w:bidiVisual/>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shd w:fill="0F172A"/>
            <w:tcMar>
              <w:top w:w="100" w:type="dxa"/>
              <w:bottom w:w="100" w:type="dxa"/>
              <w:left w:w="120" w:type="dxa"/>
              <w:right w:w="120" w:type="dxa"/>
            </w:tcMar>
          </w:tcPr>
          <w:p>
            <w:pPr>
              <w:jc w:val="right"/>
              <w:bidi/>
            </w:pPr>
            <w:r>
              <w:rPr>
                <w:rFonts w:ascii="Cairo" w:hAnsi="Cairo"/>
                <w:b/>
                <w:color w:val="FFFFFF"/>
                <w:sz w:val="19"/>
                <w:rtl/>
                <w:rFonts w:ascii="Cairo" w:hAnsi="Cairo" w:cs="Cairo"/>
              </w:rPr>
              <w:t>المساهم / الجهة المالكة</w:t>
            </w:r>
          </w:p>
        </w:tc>
        <w:tc>
          <w:tcPr>
            <w:tcW w:type="dxa" w:w="2340"/>
            <w:shd w:fill="0F172A"/>
            <w:tcMar>
              <w:top w:w="100" w:type="dxa"/>
              <w:bottom w:w="100" w:type="dxa"/>
              <w:left w:w="120" w:type="dxa"/>
              <w:right w:w="120" w:type="dxa"/>
            </w:tcMar>
          </w:tcPr>
          <w:p>
            <w:pPr>
              <w:jc w:val="right"/>
              <w:bidi/>
            </w:pPr>
            <w:r>
              <w:rPr>
                <w:rFonts w:ascii="Cairo" w:hAnsi="Cairo"/>
                <w:b/>
                <w:color w:val="FFFFFF"/>
                <w:sz w:val="19"/>
                <w:rtl/>
                <w:rFonts w:ascii="Cairo" w:hAnsi="Cairo" w:cs="Cairo"/>
              </w:rPr>
              <w:t>نسبة الملكية (%)</w:t>
            </w:r>
          </w:p>
        </w:tc>
        <w:tc>
          <w:tcPr>
            <w:tcW w:type="dxa" w:w="2340"/>
            <w:shd w:fill="0F172A"/>
            <w:tcMar>
              <w:top w:w="100" w:type="dxa"/>
              <w:bottom w:w="100" w:type="dxa"/>
              <w:left w:w="120" w:type="dxa"/>
              <w:right w:w="120" w:type="dxa"/>
            </w:tcMar>
          </w:tcPr>
          <w:p>
            <w:pPr>
              <w:jc w:val="right"/>
              <w:bidi/>
            </w:pPr>
            <w:r>
              <w:rPr>
                <w:rFonts w:ascii="Cairo" w:hAnsi="Cairo"/>
                <w:b/>
                <w:color w:val="FFFFFF"/>
                <w:sz w:val="19"/>
                <w:rtl/>
                <w:rFonts w:ascii="Cairo" w:hAnsi="Cairo" w:cs="Cairo"/>
              </w:rPr>
              <w:t>عدد الأسهم (تقريباً)</w:t>
            </w:r>
          </w:p>
        </w:tc>
        <w:tc>
          <w:tcPr>
            <w:tcW w:type="dxa" w:w="2340"/>
            <w:shd w:fill="0F172A"/>
            <w:tcMar>
              <w:top w:w="100" w:type="dxa"/>
              <w:bottom w:w="100" w:type="dxa"/>
              <w:left w:w="120" w:type="dxa"/>
              <w:right w:w="120" w:type="dxa"/>
            </w:tcMar>
          </w:tcPr>
          <w:p>
            <w:pPr>
              <w:jc w:val="right"/>
              <w:bidi/>
            </w:pPr>
            <w:r>
              <w:rPr>
                <w:rFonts w:ascii="Cairo" w:hAnsi="Cairo"/>
                <w:b/>
                <w:color w:val="FFFFFF"/>
                <w:sz w:val="19"/>
                <w:rtl/>
                <w:rFonts w:ascii="Cairo" w:hAnsi="Cairo" w:cs="Cairo"/>
              </w:rPr>
              <w:t>الأهمية الاستراتيجية والحوكمة</w:t>
            </w:r>
          </w:p>
        </w:tc>
      </w:tr>
      <w:tr>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كيانات عائلة طلعت مصطفى والشركات التابعة</w:t>
            </w:r>
          </w:p>
        </w:tc>
        <w:tc>
          <w:tcPr>
            <w:tcW w:type="dxa" w:w="2340"/>
            <w:shd w:fill="F8FAFC"/>
            <w:tcMar>
              <w:top w:w="80" w:type="dxa"/>
              <w:bottom w:w="80" w:type="dxa"/>
              <w:left w:w="100" w:type="dxa"/>
              <w:right w:w="100" w:type="dxa"/>
            </w:tcMar>
          </w:tcPr>
          <w:p>
            <w:pPr>
              <w:jc w:val="right"/>
              <w:bidi/>
            </w:pPr>
            <w:r>
              <w:rPr>
                <w:rFonts w:ascii="Cairo" w:hAnsi="Cairo"/>
                <w:b/>
                <w:color w:val="1E293B"/>
                <w:sz w:val="18"/>
                <w:rtl/>
                <w:rFonts w:ascii="Cairo" w:hAnsi="Cairo" w:cs="Cairo"/>
              </w:rPr>
              <w:t>59.8%</w:t>
            </w:r>
          </w:p>
        </w:tc>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1,234,010,000</w:t>
            </w:r>
          </w:p>
        </w:tc>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السيطرة التشغيلية والاستراتيجية المطلقة وحقوق التصويت وحق الإدارة التنفيذية</w:t>
            </w:r>
          </w:p>
        </w:tc>
      </w:tr>
      <w:tr>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التداول الحر بالبورصة المصرية (صغار المستثمرين)</w:t>
            </w:r>
          </w:p>
        </w:tc>
        <w:tc>
          <w:tcPr>
            <w:tcW w:type="dxa" w:w="2340"/>
            <w:shd w:fill="FFFFFF"/>
            <w:tcMar>
              <w:top w:w="80" w:type="dxa"/>
              <w:bottom w:w="80" w:type="dxa"/>
              <w:left w:w="100" w:type="dxa"/>
              <w:right w:w="100" w:type="dxa"/>
            </w:tcMar>
          </w:tcPr>
          <w:p>
            <w:pPr>
              <w:jc w:val="right"/>
              <w:bidi/>
            </w:pPr>
            <w:r>
              <w:rPr>
                <w:rFonts w:ascii="Cairo" w:hAnsi="Cairo"/>
                <w:b/>
                <w:color w:val="1E293B"/>
                <w:sz w:val="18"/>
                <w:rtl/>
                <w:rFonts w:ascii="Cairo" w:hAnsi="Cairo" w:cs="Cairo"/>
              </w:rPr>
              <w:t>32.9%</w:t>
            </w:r>
          </w:p>
        </w:tc>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678,912,000</w:t>
            </w:r>
          </w:p>
        </w:tc>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أسهم التداول الحر المتداولة بسوق الأوراق المالية تحت كود TMGH.CA</w:t>
            </w:r>
          </w:p>
        </w:tc>
      </w:tr>
      <w:tr>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بنك النرويج المركزي (Norges Bank)</w:t>
            </w:r>
          </w:p>
        </w:tc>
        <w:tc>
          <w:tcPr>
            <w:tcW w:type="dxa" w:w="2340"/>
            <w:shd w:fill="F8FAFC"/>
            <w:tcMar>
              <w:top w:w="80" w:type="dxa"/>
              <w:bottom w:w="80" w:type="dxa"/>
              <w:left w:w="100" w:type="dxa"/>
              <w:right w:w="100" w:type="dxa"/>
            </w:tcMar>
          </w:tcPr>
          <w:p>
            <w:pPr>
              <w:jc w:val="right"/>
              <w:bidi/>
            </w:pPr>
            <w:r>
              <w:rPr>
                <w:rFonts w:ascii="Cairo" w:hAnsi="Cairo"/>
                <w:b/>
                <w:color w:val="1E293B"/>
                <w:sz w:val="18"/>
                <w:rtl/>
                <w:rFonts w:ascii="Cairo" w:hAnsi="Cairo" w:cs="Cairo"/>
              </w:rPr>
              <w:t>3.3%</w:t>
            </w:r>
          </w:p>
        </w:tc>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68,097,000</w:t>
            </w:r>
          </w:p>
        </w:tc>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مساهمة صندوق سيادي عالمي تعزز الثقة المؤسسية الدولية</w:t>
            </w:r>
          </w:p>
        </w:tc>
      </w:tr>
      <w:tr>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صناديق استثمار ومؤسسات مالية محلية وإقليمية</w:t>
            </w:r>
          </w:p>
        </w:tc>
        <w:tc>
          <w:tcPr>
            <w:tcW w:type="dxa" w:w="2340"/>
            <w:shd w:fill="FFFFFF"/>
            <w:tcMar>
              <w:top w:w="80" w:type="dxa"/>
              <w:bottom w:w="80" w:type="dxa"/>
              <w:left w:w="100" w:type="dxa"/>
              <w:right w:w="100" w:type="dxa"/>
            </w:tcMar>
          </w:tcPr>
          <w:p>
            <w:pPr>
              <w:jc w:val="right"/>
              <w:bidi/>
            </w:pPr>
            <w:r>
              <w:rPr>
                <w:rFonts w:ascii="Cairo" w:hAnsi="Cairo"/>
                <w:b/>
                <w:color w:val="1E293B"/>
                <w:sz w:val="18"/>
                <w:rtl/>
                <w:rFonts w:ascii="Cairo" w:hAnsi="Cairo" w:cs="Cairo"/>
              </w:rPr>
              <w:t>4.0%</w:t>
            </w:r>
          </w:p>
        </w:tc>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82,543,000</w:t>
            </w:r>
          </w:p>
        </w:tc>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صناديق استثمار وبنوك ومستثمرون ذوو ملاءة مالية عالية</w:t>
            </w:r>
          </w:p>
        </w:tc>
      </w:tr>
    </w:tbl>
    <w:p>
      <w:pPr>
        <w:spacing w:after="160"/>
      </w:pPr>
    </w:p>
    <w:p>
      <w:pPr>
        <w:pStyle w:val="Heading2"/>
        <w:keepNext/>
        <w:spacing w:before="280" w:after="80"/>
        <w:jc w:val="right"/>
        <w:bidi/>
      </w:pPr>
      <w:r>
        <w:rPr>
          <w:rFonts w:ascii="Cairo" w:hAnsi="Cairo"/>
          <w:b/>
          <w:color w:val="0284C7"/>
          <w:sz w:val="26"/>
          <w:rtl/>
          <w:rFonts w:ascii="Cairo" w:hAnsi="Cairo" w:cs="Cairo"/>
        </w:rPr>
        <w:t>2.2 منظومة المقاول العام الداخلي (Captive EPC) وحصانة العزل التعاقدي</w:t>
      </w:r>
    </w:p>
    <w:p>
      <w:pPr>
        <w:spacing w:after="120" w:line="288" w:lineRule="auto"/>
        <w:jc w:val="right"/>
        <w:bidi/>
      </w:pPr>
      <w:r>
        <w:rPr>
          <w:rFonts w:ascii="Cairo" w:hAnsi="Cairo"/>
          <w:b w:val="0"/>
          <w:color w:val="1E293B"/>
          <w:sz w:val="21"/>
          <w:rtl/>
          <w:rFonts w:ascii="Cairo" w:hAnsi="Cairo" w:cs="Cairo"/>
        </w:rPr>
        <w:t>وفقاً لأحكام القانون المدني المصري (القانون رقم 131 لسنة 1948، المواد 145 إلى 152)، يقرر المشرع مبدأ نسبية أثر العقود، بحيث لا تنصرف آثار العقد إلا إلى عاقديه. وتوظف المجموعة هذا المبدأ القانوني بصرامة:</w:t>
      </w:r>
    </w:p>
    <w:p>
      <w:pPr>
        <w:pStyle w:val="ListBullet"/>
        <w:spacing w:after="80" w:line="276" w:lineRule="auto"/>
        <w:jc w:val="right"/>
        <w:bidi/>
      </w:pPr>
      <w:r>
        <w:rPr>
          <w:rFonts w:ascii="Cairo" w:hAnsi="Cairo"/>
          <w:b/>
          <w:color w:val="0F172A"/>
          <w:sz w:val="21"/>
          <w:rtl/>
          <w:rFonts w:ascii="Cairo" w:hAnsi="Cairo" w:cs="Cairo"/>
        </w:rPr>
        <w:t xml:space="preserve">طبقة التطوير العقاري: </w:t>
      </w:r>
      <w:r>
        <w:rPr>
          <w:rFonts w:ascii="Cairo" w:hAnsi="Cairo"/>
          <w:b w:val="0"/>
          <w:color w:val="1E293B"/>
          <w:sz w:val="21"/>
          <w:rtl/>
          <w:rFonts w:ascii="Cairo" w:hAnsi="Cairo" w:cs="Cairo"/>
        </w:rPr>
        <w:t>كيان التطوير وحيازة الأراضي: الشركة العربية للمشروعات والتطوير العمراني ش.م.م (مملوكة بنسبة 99.99% للشركة القابضة) هي المطور وصاحب امتياز مدينتي وسيليا، والشركة العربية للاستثمار العمراني لمشروع نور.</w:t>
      </w:r>
    </w:p>
    <w:p>
      <w:pPr>
        <w:pStyle w:val="ListBullet"/>
        <w:spacing w:after="80" w:line="276" w:lineRule="auto"/>
        <w:jc w:val="right"/>
        <w:bidi/>
      </w:pPr>
      <w:r>
        <w:rPr>
          <w:rFonts w:ascii="Cairo" w:hAnsi="Cairo"/>
          <w:b/>
          <w:color w:val="0F172A"/>
          <w:sz w:val="21"/>
          <w:rtl/>
          <w:rFonts w:ascii="Cairo" w:hAnsi="Cairo" w:cs="Cairo"/>
        </w:rPr>
        <w:t xml:space="preserve">طبقة المقاولات والتنفيذ: </w:t>
      </w:r>
      <w:r>
        <w:rPr>
          <w:rFonts w:ascii="Cairo" w:hAnsi="Cairo"/>
          <w:b w:val="0"/>
          <w:color w:val="1E293B"/>
          <w:sz w:val="21"/>
          <w:rtl/>
          <w:rFonts w:ascii="Cairo" w:hAnsi="Cairo" w:cs="Cairo"/>
        </w:rPr>
        <w:t>المقاول العام الداخلي المحتكر: تُسند كافة أعمال المقاولات الإنشائية والخرسانات والتشطيبات إلى شركة الإسكندرية للإنشاءات ش.م.م (ACC)، وهي مملوكة بنسبة 100% لعائلة طلعت مصطفى وتمتلك حصة تبادلية بنسبة 8.03% في القابضة المدرجة، مما يعزل المخاطر الإنشائية عن الكيان المدرج.</w:t>
      </w:r>
    </w:p>
    <w:p>
      <w:pPr>
        <w:pStyle w:val="ListBullet"/>
        <w:spacing w:after="80" w:line="276" w:lineRule="auto"/>
        <w:jc w:val="right"/>
        <w:bidi/>
      </w:pPr>
      <w:r>
        <w:rPr>
          <w:rFonts w:ascii="Cairo" w:hAnsi="Cairo"/>
          <w:b/>
          <w:color w:val="0F172A"/>
          <w:sz w:val="21"/>
          <w:rtl/>
          <w:rFonts w:ascii="Cairo" w:hAnsi="Cairo" w:cs="Cairo"/>
        </w:rPr>
        <w:t xml:space="preserve">طبقة مقاولي الباطن: </w:t>
      </w:r>
      <w:r>
        <w:rPr>
          <w:rFonts w:ascii="Cairo" w:hAnsi="Cairo"/>
          <w:b w:val="0"/>
          <w:color w:val="1E293B"/>
          <w:sz w:val="21"/>
          <w:rtl/>
          <w:rFonts w:ascii="Cairo" w:hAnsi="Cairo" w:cs="Cairo"/>
        </w:rPr>
        <w:t>طبقة مقاولي الباطن والتوريدات: يتعاقد مقاولو الباطن المتخصصون (أعمال كهروميكانيكية، حفر، زجاج، تشطيبات) مع شركة الإسكندرية للإنشاءات أو مقاولي الفئة الأولى المستقلين (مثل أتريوم Atrium، كونكريت بلس Concrete Plus). وفي حال تعثر المستخلصات، لا يملكون أي سند قانوني لتوقيع حجز تنفيذي على حسابات الشركة القابضة أو أموال الملاك وحسابات المشاريع.</w:t>
      </w:r>
    </w:p>
    <w:p>
      <w:pPr>
        <w:pStyle w:val="Heading2"/>
        <w:keepNext/>
        <w:spacing w:before="280" w:after="80"/>
        <w:jc w:val="right"/>
        <w:bidi/>
      </w:pPr>
      <w:r>
        <w:rPr>
          <w:rFonts w:ascii="Cairo" w:hAnsi="Cairo"/>
          <w:b/>
          <w:color w:val="0284C7"/>
          <w:sz w:val="26"/>
          <w:rtl/>
          <w:rFonts w:ascii="Cairo" w:hAnsi="Cairo" w:cs="Cairo"/>
        </w:rPr>
        <w:t>2.3 سياسة فصل توريد المواد الخام عن عقود المصنعيات الميدانية</w:t>
      </w:r>
    </w:p>
    <w:p>
      <w:pPr>
        <w:spacing w:after="120" w:line="288" w:lineRule="auto"/>
        <w:jc w:val="right"/>
        <w:bidi/>
      </w:pPr>
      <w:r>
        <w:rPr>
          <w:rFonts w:ascii="Cairo" w:hAnsi="Cairo"/>
          <w:b w:val="0"/>
          <w:color w:val="1E293B"/>
          <w:sz w:val="21"/>
          <w:rtl/>
          <w:rFonts w:ascii="Cairo" w:hAnsi="Cairo" w:cs="Cairo"/>
        </w:rPr>
        <w:t>تتبع المجموعة سياسة مركزية صارمة في شراء حديد التسليح (عبر اتفاقيات توريد استراتيجية مباشرة مع حديد عز وبشاي للصلب) والأسمنت السائب. ويقتصر التعاقد مع مقاولي الباطن على عقود المصنعية الصرفة (Labor, Formwork &amp; Equipment). ورغم أن هذا الإجراء يحمي المجموعة من تلاعب الأسعار، فإنه يجرد مقاول الباطن من هوامش أرباح التوريدات، مما يجعله عرضة للإفلاس المباشر عند حدوث أي موجة تضخم في أجور العمالة دون حماية من فروق الأسعار.</w:t>
      </w:r>
    </w:p>
    <w:p>
      <w:pPr>
        <w:pStyle w:val="Heading1"/>
        <w:keepNext/>
        <w:spacing w:before="360" w:after="120"/>
        <w:jc w:val="right"/>
        <w:bidi/>
      </w:pPr>
      <w:r>
        <w:rPr>
          <w:rFonts w:ascii="Cairo" w:hAnsi="Cairo"/>
          <w:b/>
          <w:color w:val="0F172A"/>
          <w:sz w:val="32"/>
          <w:rtl/>
          <w:rFonts w:ascii="Cairo" w:hAnsi="Cairo" w:cs="Cairo"/>
        </w:rPr>
        <w:t>3. قاعدة بيانات المشروعات الرئيسية والمحفظة العقارية (أكثر من 40,000 فدان)</w:t>
      </w:r>
    </w:p>
    <w:p>
      <w:pPr>
        <w:spacing w:after="120" w:line="288" w:lineRule="auto"/>
        <w:jc w:val="right"/>
        <w:bidi/>
      </w:pPr>
      <w:r>
        <w:rPr>
          <w:rFonts w:ascii="Cairo" w:hAnsi="Cairo"/>
          <w:b w:val="0"/>
          <w:color w:val="1E293B"/>
          <w:sz w:val="21"/>
          <w:rtl/>
          <w:rFonts w:ascii="Cairo" w:hAnsi="Cairo" w:cs="Cairo"/>
        </w:rPr>
        <w:t>تمتلك مجموعة طلعت مصطفى أضخم محفظة أراضٍ وتنازلات عمرانية في جمهورية مصر العربية، تمتد عبر شرق القاهرة والساحل الشمالي والبحر الأحمر وصعيد مصر، وصولاً إلى التوسع الإقليمي في المملكة العربية السعودية.</w:t>
      </w:r>
    </w:p>
    <w:tbl>
      <w:tblPr>
        <w:tblW w:type="auto" w:w="0"/>
        <w:jc w:val="center"/>
        <w:tblLook w:firstColumn="1" w:firstRow="1" w:lastColumn="0" w:lastRow="0" w:noHBand="0" w:noVBand="1" w:val="04A0"/>
        <w:bidiVisual/>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shd w:fill="0F172A"/>
            <w:tcMar>
              <w:top w:w="100" w:type="dxa"/>
              <w:bottom w:w="100" w:type="dxa"/>
              <w:left w:w="120" w:type="dxa"/>
              <w:right w:w="120" w:type="dxa"/>
            </w:tcMar>
          </w:tcPr>
          <w:p>
            <w:pPr>
              <w:jc w:val="right"/>
              <w:bidi/>
            </w:pPr>
            <w:r>
              <w:rPr>
                <w:rFonts w:ascii="Cairo" w:hAnsi="Cairo"/>
                <w:b/>
                <w:color w:val="FFFFFF"/>
                <w:sz w:val="19"/>
                <w:rtl/>
                <w:rFonts w:ascii="Cairo" w:hAnsi="Cairo" w:cs="Cairo"/>
              </w:rPr>
              <w:t>المشروع العمراني</w:t>
            </w:r>
          </w:p>
        </w:tc>
        <w:tc>
          <w:tcPr>
            <w:tcW w:type="dxa" w:w="2340"/>
            <w:shd w:fill="0F172A"/>
            <w:tcMar>
              <w:top w:w="100" w:type="dxa"/>
              <w:bottom w:w="100" w:type="dxa"/>
              <w:left w:w="120" w:type="dxa"/>
              <w:right w:w="120" w:type="dxa"/>
            </w:tcMar>
          </w:tcPr>
          <w:p>
            <w:pPr>
              <w:jc w:val="right"/>
              <w:bidi/>
            </w:pPr>
            <w:r>
              <w:rPr>
                <w:rFonts w:ascii="Cairo" w:hAnsi="Cairo"/>
                <w:b/>
                <w:color w:val="FFFFFF"/>
                <w:sz w:val="19"/>
                <w:rtl/>
                <w:rFonts w:ascii="Cairo" w:hAnsi="Cairo" w:cs="Cairo"/>
              </w:rPr>
              <w:t>الموقع الجغرافي / المحور</w:t>
            </w:r>
          </w:p>
        </w:tc>
        <w:tc>
          <w:tcPr>
            <w:tcW w:type="dxa" w:w="2340"/>
            <w:shd w:fill="0F172A"/>
            <w:tcMar>
              <w:top w:w="100" w:type="dxa"/>
              <w:bottom w:w="100" w:type="dxa"/>
              <w:left w:w="120" w:type="dxa"/>
              <w:right w:w="120" w:type="dxa"/>
            </w:tcMar>
          </w:tcPr>
          <w:p>
            <w:pPr>
              <w:jc w:val="right"/>
              <w:bidi/>
            </w:pPr>
            <w:r>
              <w:rPr>
                <w:rFonts w:ascii="Cairo" w:hAnsi="Cairo"/>
                <w:b/>
                <w:color w:val="FFFFFF"/>
                <w:sz w:val="19"/>
                <w:rtl/>
                <w:rFonts w:ascii="Cairo" w:hAnsi="Cairo" w:cs="Cairo"/>
              </w:rPr>
              <w:t>المساحة الإجمالية</w:t>
            </w:r>
          </w:p>
        </w:tc>
        <w:tc>
          <w:tcPr>
            <w:tcW w:type="dxa" w:w="2340"/>
            <w:shd w:fill="0F172A"/>
            <w:tcMar>
              <w:top w:w="100" w:type="dxa"/>
              <w:bottom w:w="100" w:type="dxa"/>
              <w:left w:w="120" w:type="dxa"/>
              <w:right w:w="120" w:type="dxa"/>
            </w:tcMar>
          </w:tcPr>
          <w:p>
            <w:pPr>
              <w:jc w:val="right"/>
              <w:bidi/>
            </w:pPr>
            <w:r>
              <w:rPr>
                <w:rFonts w:ascii="Cairo" w:hAnsi="Cairo"/>
                <w:b/>
                <w:color w:val="FFFFFF"/>
                <w:sz w:val="19"/>
                <w:rtl/>
                <w:rFonts w:ascii="Cairo" w:hAnsi="Cairo" w:cs="Cairo"/>
              </w:rPr>
              <w:t>نموذج التطوير وشروط التخصيص</w:t>
            </w:r>
          </w:p>
        </w:tc>
      </w:tr>
      <w:tr>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مدينة مدينتي (المشروع الرائد)</w:t>
            </w:r>
          </w:p>
        </w:tc>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شرق القاهرة (طريق السويس)</w:t>
            </w:r>
          </w:p>
        </w:tc>
        <w:tc>
          <w:tcPr>
            <w:tcW w:type="dxa" w:w="2340"/>
            <w:shd w:fill="F8FAFC"/>
            <w:tcMar>
              <w:top w:w="80" w:type="dxa"/>
              <w:bottom w:w="80" w:type="dxa"/>
              <w:left w:w="100" w:type="dxa"/>
              <w:right w:w="100" w:type="dxa"/>
            </w:tcMar>
          </w:tcPr>
          <w:p>
            <w:pPr>
              <w:jc w:val="right"/>
              <w:bidi/>
            </w:pPr>
            <w:r>
              <w:rPr>
                <w:rFonts w:ascii="Cairo" w:hAnsi="Cairo"/>
                <w:b/>
                <w:color w:val="1E293B"/>
                <w:sz w:val="18"/>
                <w:rtl/>
                <w:rFonts w:ascii="Cairo" w:hAnsi="Cairo" w:cs="Cairo"/>
              </w:rPr>
              <w:t>8,000 فدان (33.6 مليون م²)</w:t>
            </w:r>
          </w:p>
        </w:tc>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امتياز هيئة المجتمعات العمرانية؛ سُوي بحصة عينية 7% من إجمالي المباني السكنية المسلمة</w:t>
            </w:r>
          </w:p>
        </w:tc>
      </w:tr>
      <w:tr>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مدينة ساوث ميد (SouthMED)</w:t>
            </w:r>
          </w:p>
        </w:tc>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الساحل الشمالي (الضبعة، ك 167)</w:t>
            </w:r>
          </w:p>
        </w:tc>
        <w:tc>
          <w:tcPr>
            <w:tcW w:type="dxa" w:w="2340"/>
            <w:shd w:fill="FFFFFF"/>
            <w:tcMar>
              <w:top w:w="80" w:type="dxa"/>
              <w:bottom w:w="80" w:type="dxa"/>
              <w:left w:w="100" w:type="dxa"/>
              <w:right w:w="100" w:type="dxa"/>
            </w:tcMar>
          </w:tcPr>
          <w:p>
            <w:pPr>
              <w:jc w:val="right"/>
              <w:bidi/>
            </w:pPr>
            <w:r>
              <w:rPr>
                <w:rFonts w:ascii="Cairo" w:hAnsi="Cairo"/>
                <w:b/>
                <w:color w:val="1E293B"/>
                <w:sz w:val="18"/>
                <w:rtl/>
                <w:rFonts w:ascii="Cairo" w:hAnsi="Cairo" w:cs="Cairo"/>
              </w:rPr>
              <w:t>5,500 فدان (23.0 مليون م²)</w:t>
            </w:r>
          </w:p>
        </w:tc>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شراكة وتخصيص استراتيجي؛ حقق مبيعات قياسية تتجاوز 200 مليار جنيه عند الطرح</w:t>
            </w:r>
          </w:p>
        </w:tc>
      </w:tr>
      <w:tr>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مدينة نور (Noor City - كابيتال جاردنز)</w:t>
            </w:r>
          </w:p>
        </w:tc>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شرق القاهرة (أمام العاصمة الإدارية)</w:t>
            </w:r>
          </w:p>
        </w:tc>
        <w:tc>
          <w:tcPr>
            <w:tcW w:type="dxa" w:w="2340"/>
            <w:shd w:fill="F8FAFC"/>
            <w:tcMar>
              <w:top w:w="80" w:type="dxa"/>
              <w:bottom w:w="80" w:type="dxa"/>
              <w:left w:w="100" w:type="dxa"/>
              <w:right w:w="100" w:type="dxa"/>
            </w:tcMar>
          </w:tcPr>
          <w:p>
            <w:pPr>
              <w:jc w:val="right"/>
              <w:bidi/>
            </w:pPr>
            <w:r>
              <w:rPr>
                <w:rFonts w:ascii="Cairo" w:hAnsi="Cairo"/>
                <w:b/>
                <w:color w:val="1E293B"/>
                <w:sz w:val="18"/>
                <w:rtl/>
                <w:rFonts w:ascii="Cairo" w:hAnsi="Cairo" w:cs="Cairo"/>
              </w:rPr>
              <w:t>5,000 فدان (21.0 مليون م²)</w:t>
            </w:r>
          </w:p>
        </w:tc>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تخصيص هيئة المجتمعات العمرانية؛ مدينة ذكية خضراء؛ قرض تحالف بنكي 9 مليار جنيه</w:t>
            </w:r>
          </w:p>
        </w:tc>
      </w:tr>
      <w:tr>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مدينة الرحاب (Al Rehab)</w:t>
            </w:r>
          </w:p>
        </w:tc>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القاهرة الجديدة (طريق السويس)</w:t>
            </w:r>
          </w:p>
        </w:tc>
        <w:tc>
          <w:tcPr>
            <w:tcW w:type="dxa" w:w="2340"/>
            <w:shd w:fill="FFFFFF"/>
            <w:tcMar>
              <w:top w:w="80" w:type="dxa"/>
              <w:bottom w:w="80" w:type="dxa"/>
              <w:left w:w="100" w:type="dxa"/>
              <w:right w:w="100" w:type="dxa"/>
            </w:tcMar>
          </w:tcPr>
          <w:p>
            <w:pPr>
              <w:jc w:val="right"/>
              <w:bidi/>
            </w:pPr>
            <w:r>
              <w:rPr>
                <w:rFonts w:ascii="Cairo" w:hAnsi="Cairo"/>
                <w:b/>
                <w:color w:val="1E293B"/>
                <w:sz w:val="18"/>
                <w:rtl/>
                <w:rFonts w:ascii="Cairo" w:hAnsi="Cairo" w:cs="Cairo"/>
              </w:rPr>
              <w:t>2,380 فدان (10.0 مليون م²)</w:t>
            </w:r>
          </w:p>
        </w:tc>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أول مدينة سكنية متكاملة مغلقة بمصر؛ مرحلة تسليم متقدمة بالكامل (&gt;2500 عمارة)</w:t>
            </w:r>
          </w:p>
        </w:tc>
      </w:tr>
      <w:tr>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مشروع سيليا (Celia)</w:t>
            </w:r>
          </w:p>
        </w:tc>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العاصمة الإدارية (النهر الأخضر)</w:t>
            </w:r>
          </w:p>
        </w:tc>
        <w:tc>
          <w:tcPr>
            <w:tcW w:type="dxa" w:w="2340"/>
            <w:shd w:fill="F8FAFC"/>
            <w:tcMar>
              <w:top w:w="80" w:type="dxa"/>
              <w:bottom w:w="80" w:type="dxa"/>
              <w:left w:w="100" w:type="dxa"/>
              <w:right w:w="100" w:type="dxa"/>
            </w:tcMar>
          </w:tcPr>
          <w:p>
            <w:pPr>
              <w:jc w:val="right"/>
              <w:bidi/>
            </w:pPr>
            <w:r>
              <w:rPr>
                <w:rFonts w:ascii="Cairo" w:hAnsi="Cairo"/>
                <w:b/>
                <w:color w:val="1E293B"/>
                <w:sz w:val="18"/>
                <w:rtl/>
                <w:rFonts w:ascii="Cairo" w:hAnsi="Cairo" w:cs="Cairo"/>
              </w:rPr>
              <w:t>500 فدان (2.1 مليون م²)</w:t>
            </w:r>
          </w:p>
        </w:tc>
        <w:tc>
          <w:tcPr>
            <w:tcW w:type="dxa" w:w="2340"/>
            <w:shd w:fill="F8FAFC"/>
            <w:tcMar>
              <w:top w:w="80" w:type="dxa"/>
              <w:bottom w:w="80" w:type="dxa"/>
              <w:left w:w="100" w:type="dxa"/>
              <w:right w:w="100" w:type="dxa"/>
            </w:tcMar>
          </w:tcPr>
          <w:p>
            <w:pPr>
              <w:jc w:val="right"/>
              <w:bidi/>
            </w:pPr>
            <w:r>
              <w:rPr>
                <w:rFonts w:ascii="Cairo" w:hAnsi="Cairo"/>
                <w:b w:val="0"/>
                <w:color w:val="1E293B"/>
                <w:sz w:val="18"/>
                <w:rtl/>
                <w:rFonts w:ascii="Cairo" w:hAnsi="Cairo" w:cs="Cairo"/>
              </w:rPr>
              <w:t>شراء مباشر من شركة العاصمة الإدارية ACUD؛ فيلات وشقق فاخرة</w:t>
            </w:r>
          </w:p>
        </w:tc>
      </w:tr>
      <w:tr>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مشروع الربوة السكني</w:t>
            </w:r>
          </w:p>
        </w:tc>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مدينة الشيخ زايد (غرب القاهرة)</w:t>
            </w:r>
          </w:p>
        </w:tc>
        <w:tc>
          <w:tcPr>
            <w:tcW w:type="dxa" w:w="2340"/>
            <w:shd w:fill="FFFFFF"/>
            <w:tcMar>
              <w:top w:w="80" w:type="dxa"/>
              <w:bottom w:w="80" w:type="dxa"/>
              <w:left w:w="100" w:type="dxa"/>
              <w:right w:w="100" w:type="dxa"/>
            </w:tcMar>
          </w:tcPr>
          <w:p>
            <w:pPr>
              <w:jc w:val="right"/>
              <w:bidi/>
            </w:pPr>
            <w:r>
              <w:rPr>
                <w:rFonts w:ascii="Cairo" w:hAnsi="Cairo"/>
                <w:b/>
                <w:color w:val="1E293B"/>
                <w:sz w:val="18"/>
                <w:rtl/>
                <w:rFonts w:ascii="Cairo" w:hAnsi="Cairo" w:cs="Cairo"/>
              </w:rPr>
              <w:t>500 فدان (2.1 مليون م²)</w:t>
            </w:r>
          </w:p>
        </w:tc>
        <w:tc>
          <w:tcPr>
            <w:tcW w:type="dxa" w:w="2340"/>
            <w:shd w:fill="FFFFFF"/>
            <w:tcMar>
              <w:top w:w="80" w:type="dxa"/>
              <w:bottom w:w="80" w:type="dxa"/>
              <w:left w:w="100" w:type="dxa"/>
              <w:right w:w="100" w:type="dxa"/>
            </w:tcMar>
          </w:tcPr>
          <w:p>
            <w:pPr>
              <w:jc w:val="right"/>
              <w:bidi/>
            </w:pPr>
            <w:r>
              <w:rPr>
                <w:rFonts w:ascii="Cairo" w:hAnsi="Cairo"/>
                <w:b w:val="0"/>
                <w:color w:val="1E293B"/>
                <w:sz w:val="18"/>
                <w:rtl/>
                <w:rFonts w:ascii="Cairo" w:hAnsi="Cairo" w:cs="Cairo"/>
              </w:rPr>
              <w:t>مجتمع سكني متميز بملاعب الجولف؛ 265 فيلا فاخرة؛ اكتمال التنفيذ بالكامل</w:t>
            </w:r>
          </w:p>
        </w:tc>
      </w:tr>
    </w:tbl>
    <w:p>
      <w:pPr>
        <w:spacing w:after="160"/>
      </w:pPr>
    </w:p>
    <w:p>
      <w:pPr>
        <w:pStyle w:val="Heading1"/>
        <w:keepNext/>
        <w:spacing w:before="360" w:after="120"/>
        <w:jc w:val="right"/>
        <w:bidi/>
      </w:pPr>
      <w:r>
        <w:rPr>
          <w:rFonts w:ascii="Cairo" w:hAnsi="Cairo"/>
          <w:b/>
          <w:color w:val="0F172A"/>
          <w:sz w:val="32"/>
          <w:rtl/>
          <w:rFonts w:ascii="Cairo" w:hAnsi="Cairo" w:cs="Cairo"/>
        </w:rPr>
        <w:t>4. التحليل المالي الجنائي، هيكل المديونيات وأوراق الدفع (&gt;15.79 مليار جنيه) والتدفقات النقدية</w:t>
      </w:r>
    </w:p>
    <w:p>
      <w:pPr>
        <w:spacing w:after="120" w:line="288" w:lineRule="auto"/>
        <w:jc w:val="right"/>
        <w:bidi/>
      </w:pPr>
      <w:r>
        <w:rPr>
          <w:rFonts w:ascii="Cairo" w:hAnsi="Cairo"/>
          <w:b w:val="0"/>
          <w:color w:val="1E293B"/>
          <w:sz w:val="21"/>
          <w:rtl/>
          <w:rFonts w:ascii="Cairo" w:hAnsi="Cairo" w:cs="Cairo"/>
        </w:rPr>
        <w:t>يكشف الفحص الجنائي المتعمق للقوائم المالية المجمعة للمجموعة من عام 2021 حتى 2025 والنصف الأول من 2026 عن مفارقة جوهرية بين الأرباح المحاسبية المسجلة بالدفاتر وبين جودة التحول النقدي التشغيلي:</w:t>
      </w:r>
    </w:p>
    <w:tbl>
      <w:tblPr>
        <w:tblW w:type="auto" w:w="0"/>
        <w:jc w:val="center"/>
        <w:tblLook w:firstColumn="1" w:firstRow="1" w:lastColumn="0" w:lastRow="0" w:noHBand="0" w:noVBand="1" w:val="04A0"/>
        <w:bidiVisual/>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1337"/>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المؤشر المالي (مليون جنيه مصري)</w:t>
            </w:r>
          </w:p>
        </w:tc>
        <w:tc>
          <w:tcPr>
            <w:tcW w:type="dxa" w:w="1337"/>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2021</w:t>
            </w:r>
          </w:p>
        </w:tc>
        <w:tc>
          <w:tcPr>
            <w:tcW w:type="dxa" w:w="1337"/>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2022</w:t>
            </w:r>
          </w:p>
        </w:tc>
        <w:tc>
          <w:tcPr>
            <w:tcW w:type="dxa" w:w="1337"/>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2023</w:t>
            </w:r>
          </w:p>
        </w:tc>
        <w:tc>
          <w:tcPr>
            <w:tcW w:type="dxa" w:w="1337"/>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2024</w:t>
            </w:r>
          </w:p>
        </w:tc>
        <w:tc>
          <w:tcPr>
            <w:tcW w:type="dxa" w:w="1337"/>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2025</w:t>
            </w:r>
          </w:p>
        </w:tc>
        <w:tc>
          <w:tcPr>
            <w:tcW w:type="dxa" w:w="1337"/>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النصف 1 / 2026</w:t>
            </w:r>
          </w:p>
        </w:tc>
      </w:tr>
      <w:tr>
        <w:tc>
          <w:tcPr>
            <w:tcW w:type="dxa" w:w="1337"/>
            <w:shd w:fill="F8FAFC"/>
            <w:tcMar>
              <w:top w:w="70" w:type="dxa"/>
              <w:bottom w:w="70" w:type="dxa"/>
              <w:left w:w="90" w:type="dxa"/>
              <w:right w:w="90" w:type="dxa"/>
            </w:tcMar>
          </w:tcPr>
          <w:p>
            <w:pPr>
              <w:jc w:val="right"/>
              <w:bidi/>
            </w:pPr>
            <w:r>
              <w:rPr>
                <w:rFonts w:ascii="Cairo" w:hAnsi="Cairo"/>
                <w:b/>
                <w:color w:val="1E293B"/>
                <w:sz w:val="17"/>
                <w:rtl/>
                <w:rFonts w:ascii="Cairo" w:hAnsi="Cairo" w:cs="Cairo"/>
              </w:rPr>
              <w:t>الإيرادات المجمعة</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15,350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19,870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28,430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42,700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62,500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30,190</w:t>
            </w:r>
          </w:p>
        </w:tc>
      </w:tr>
      <w:tr>
        <w:tc>
          <w:tcPr>
            <w:tcW w:type="dxa" w:w="1337"/>
            <w:shd w:fill="FFFFFF"/>
            <w:tcMar>
              <w:top w:w="70" w:type="dxa"/>
              <w:bottom w:w="70" w:type="dxa"/>
              <w:left w:w="90" w:type="dxa"/>
              <w:right w:w="90" w:type="dxa"/>
            </w:tcMar>
          </w:tcPr>
          <w:p>
            <w:pPr>
              <w:jc w:val="right"/>
              <w:bidi/>
            </w:pPr>
            <w:r>
              <w:rPr>
                <w:rFonts w:ascii="Cairo" w:hAnsi="Cairo"/>
                <w:b/>
                <w:color w:val="1E293B"/>
                <w:sz w:val="17"/>
                <w:rtl/>
                <w:rFonts w:ascii="Cairo" w:hAnsi="Cairo" w:cs="Cairo"/>
              </w:rPr>
              <w:t>مجمل الربح التشغيلي</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4,820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6,150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9,220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15,800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24,100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12,450</w:t>
            </w:r>
          </w:p>
        </w:tc>
      </w:tr>
      <w:tr>
        <w:tc>
          <w:tcPr>
            <w:tcW w:type="dxa" w:w="1337"/>
            <w:shd w:fill="F8FAFC"/>
            <w:tcMar>
              <w:top w:w="70" w:type="dxa"/>
              <w:bottom w:w="70" w:type="dxa"/>
              <w:left w:w="90" w:type="dxa"/>
              <w:right w:w="90" w:type="dxa"/>
            </w:tcMar>
          </w:tcPr>
          <w:p>
            <w:pPr>
              <w:jc w:val="right"/>
              <w:bidi/>
            </w:pPr>
            <w:r>
              <w:rPr>
                <w:rFonts w:ascii="Cairo" w:hAnsi="Cairo"/>
                <w:b/>
                <w:color w:val="1E293B"/>
                <w:sz w:val="17"/>
                <w:rtl/>
                <w:rFonts w:ascii="Cairo" w:hAnsi="Cairo" w:cs="Cairo"/>
              </w:rPr>
              <w:t>صافي الربح المجمع</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1,780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2,230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3,310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12,800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18,200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9,950</w:t>
            </w:r>
          </w:p>
        </w:tc>
      </w:tr>
      <w:tr>
        <w:tc>
          <w:tcPr>
            <w:tcW w:type="dxa" w:w="1337"/>
            <w:shd w:fill="FFFFFF"/>
            <w:tcMar>
              <w:top w:w="70" w:type="dxa"/>
              <w:bottom w:w="70" w:type="dxa"/>
              <w:left w:w="90" w:type="dxa"/>
              <w:right w:w="90" w:type="dxa"/>
            </w:tcMar>
          </w:tcPr>
          <w:p>
            <w:pPr>
              <w:jc w:val="right"/>
              <w:bidi/>
            </w:pPr>
            <w:r>
              <w:rPr>
                <w:rFonts w:ascii="Cairo" w:hAnsi="Cairo"/>
                <w:b/>
                <w:color w:val="1E293B"/>
                <w:sz w:val="17"/>
                <w:rtl/>
                <w:rFonts w:ascii="Cairo" w:hAnsi="Cairo" w:cs="Cairo"/>
              </w:rPr>
              <w:t>النقدية والأرصدة بالبنوك</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7,450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9,820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15,300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32,400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43,800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47,100</w:t>
            </w:r>
          </w:p>
        </w:tc>
      </w:tr>
      <w:tr>
        <w:tc>
          <w:tcPr>
            <w:tcW w:type="dxa" w:w="1337"/>
            <w:shd w:fill="F8FAFC"/>
            <w:tcMar>
              <w:top w:w="70" w:type="dxa"/>
              <w:bottom w:w="70" w:type="dxa"/>
              <w:left w:w="90" w:type="dxa"/>
              <w:right w:w="90" w:type="dxa"/>
            </w:tcMar>
          </w:tcPr>
          <w:p>
            <w:pPr>
              <w:jc w:val="right"/>
              <w:bidi/>
            </w:pPr>
            <w:r>
              <w:rPr>
                <w:rFonts w:ascii="Cairo" w:hAnsi="Cairo"/>
                <w:b/>
                <w:color w:val="1E293B"/>
                <w:sz w:val="17"/>
                <w:rtl/>
                <w:rFonts w:ascii="Cairo" w:hAnsi="Cairo" w:cs="Cairo"/>
              </w:rPr>
              <w:t>التسهيلات والقروض المصرفية</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6,120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7,350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9,400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11,800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16,500</w:t>
            </w:r>
          </w:p>
        </w:tc>
        <w:tc>
          <w:tcPr>
            <w:tcW w:type="dxa" w:w="1337"/>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16,200</w:t>
            </w:r>
          </w:p>
        </w:tc>
      </w:tr>
      <w:tr>
        <w:tc>
          <w:tcPr>
            <w:tcW w:type="dxa" w:w="1337"/>
            <w:shd w:fill="FFFFFF"/>
            <w:tcMar>
              <w:top w:w="70" w:type="dxa"/>
              <w:bottom w:w="70" w:type="dxa"/>
              <w:left w:w="90" w:type="dxa"/>
              <w:right w:w="90" w:type="dxa"/>
            </w:tcMar>
          </w:tcPr>
          <w:p>
            <w:pPr>
              <w:jc w:val="right"/>
              <w:bidi/>
            </w:pPr>
            <w:r>
              <w:rPr>
                <w:rFonts w:ascii="Cairo" w:hAnsi="Cairo"/>
                <w:b/>
                <w:color w:val="1E293B"/>
                <w:sz w:val="17"/>
                <w:rtl/>
                <w:rFonts w:ascii="Cairo" w:hAnsi="Cairo" w:cs="Cairo"/>
              </w:rPr>
              <w:t>الموردون وأوراق الدفع (التجارية)</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5,200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6,800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8,900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12,100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15,790</w:t>
            </w:r>
          </w:p>
        </w:tc>
        <w:tc>
          <w:tcPr>
            <w:tcW w:type="dxa" w:w="1337"/>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15,790</w:t>
            </w:r>
          </w:p>
        </w:tc>
      </w:tr>
    </w:tbl>
    <w:p>
      <w:pPr>
        <w:spacing w:after="160"/>
      </w:pPr>
    </w:p>
    <w:p>
      <w:pPr>
        <w:pStyle w:val="Heading2"/>
        <w:keepNext/>
        <w:spacing w:before="280" w:after="80"/>
        <w:jc w:val="right"/>
        <w:bidi/>
      </w:pPr>
      <w:r>
        <w:rPr>
          <w:rFonts w:ascii="Cairo" w:hAnsi="Cairo"/>
          <w:b/>
          <w:color w:val="0284C7"/>
          <w:sz w:val="26"/>
          <w:rtl/>
          <w:rFonts w:ascii="Cairo" w:hAnsi="Cairo" w:cs="Cairo"/>
        </w:rPr>
        <w:t>4.1 هيكل المديونيات التجارية والتسهيلات خارج الميزانية (أكثر من 70 مليار جنيه)</w:t>
      </w:r>
    </w:p>
    <w:p>
      <w:pPr>
        <w:spacing w:after="120" w:line="288" w:lineRule="auto"/>
        <w:jc w:val="right"/>
        <w:bidi/>
      </w:pPr>
      <w:r>
        <w:rPr>
          <w:rFonts w:ascii="Cairo" w:hAnsi="Cairo"/>
          <w:b w:val="0"/>
          <w:color w:val="1E293B"/>
          <w:sz w:val="21"/>
          <w:rtl/>
          <w:rFonts w:ascii="Cairo" w:hAnsi="Cairo" w:cs="Cairo"/>
        </w:rPr>
        <w:t>لتمويل الإنشاءات المتزامنة في مدنها العملاقة، توظف المجموعة آليات تمويلية متعددة تتجاوز المديونيات المصرفية التقليدية:</w:t>
      </w:r>
    </w:p>
    <w:p>
      <w:pPr>
        <w:pStyle w:val="ListBullet"/>
        <w:spacing w:after="80" w:line="276" w:lineRule="auto"/>
        <w:jc w:val="right"/>
        <w:bidi/>
      </w:pPr>
      <w:r>
        <w:rPr>
          <w:rFonts w:ascii="Cairo" w:hAnsi="Cairo"/>
          <w:b/>
          <w:color w:val="0F172A"/>
          <w:sz w:val="21"/>
          <w:rtl/>
          <w:rFonts w:ascii="Cairo" w:hAnsi="Cairo" w:cs="Cairo"/>
        </w:rPr>
        <w:t xml:space="preserve">ترحيل السيولة للمقاولين (&gt;15.79 مليار ج.م): </w:t>
      </w:r>
      <w:r>
        <w:rPr>
          <w:rFonts w:ascii="Cairo" w:hAnsi="Cairo"/>
          <w:b w:val="0"/>
          <w:color w:val="1E293B"/>
          <w:sz w:val="21"/>
          <w:rtl/>
          <w:rFonts w:ascii="Cairo" w:hAnsi="Cairo" w:cs="Cairo"/>
        </w:rPr>
        <w:t>ارتفاع رصيد الموردين وأوراق الدفع إلى 15.79 مليار جنيه. ومن خلال تمديد آجال الشيكات وأوراق الدفع التجارية للمقاولين إلى فترات تتراوح بين 180 و270 يوماً، تمول المجموعة الأعمال الجارية (WIP) برأسمال المقاولين أنفسهم.</w:t>
      </w:r>
    </w:p>
    <w:p>
      <w:pPr>
        <w:pStyle w:val="ListBullet"/>
        <w:spacing w:after="80" w:line="276" w:lineRule="auto"/>
        <w:jc w:val="right"/>
        <w:bidi/>
      </w:pPr>
      <w:r>
        <w:rPr>
          <w:rFonts w:ascii="Cairo" w:hAnsi="Cairo"/>
          <w:b/>
          <w:color w:val="0F172A"/>
          <w:sz w:val="21"/>
          <w:rtl/>
          <w:rFonts w:ascii="Cairo" w:hAnsi="Cairo" w:cs="Cairo"/>
        </w:rPr>
        <w:t xml:space="preserve">تمويل تحالف مدينة نور (9.0 مليار ج.م): </w:t>
      </w:r>
      <w:r>
        <w:rPr>
          <w:rFonts w:ascii="Cairo" w:hAnsi="Cairo"/>
          <w:b w:val="0"/>
          <w:color w:val="1E293B"/>
          <w:sz w:val="21"/>
          <w:rtl/>
          <w:rFonts w:ascii="Cairo" w:hAnsi="Cairo" w:cs="Cairo"/>
        </w:rPr>
        <w:t>تحالف مصرفي بقيادة البنك الأهلي المصري وبنك مصر بقيمة 9.0 مليار جنيه لتمويل شبكات المرافق والبنية التحتية والخرسانات لمدينة نور (Noor City).</w:t>
      </w:r>
    </w:p>
    <w:p>
      <w:pPr>
        <w:pStyle w:val="ListBullet"/>
        <w:spacing w:after="80" w:line="276" w:lineRule="auto"/>
        <w:jc w:val="right"/>
        <w:bidi/>
      </w:pPr>
      <w:r>
        <w:rPr>
          <w:rFonts w:ascii="Cairo" w:hAnsi="Cairo"/>
          <w:b/>
          <w:color w:val="0F172A"/>
          <w:sz w:val="21"/>
          <w:rtl/>
          <w:rFonts w:ascii="Cairo" w:hAnsi="Cairo" w:cs="Cairo"/>
        </w:rPr>
        <w:t xml:space="preserve">بيع أصول تجارية لشركة رواسي (Rawasy - 11.9 مليار ج.م): </w:t>
      </w:r>
      <w:r>
        <w:rPr>
          <w:rFonts w:ascii="Cairo" w:hAnsi="Cairo"/>
          <w:b w:val="0"/>
          <w:color w:val="1E293B"/>
          <w:sz w:val="21"/>
          <w:rtl/>
          <w:rFonts w:ascii="Cairo" w:hAnsi="Cairo" w:cs="Cairo"/>
        </w:rPr>
        <w:t>تسييل أصول تجارية بمدينتي والرحاب عبر شريحتين (8.5 مليار و3.4 مليار جنيه) لشركة رواسي العقارية (Rawasy Real Estate) المملوكة لبنكي الأهلي ومصر لتوليد سيولة نقدية عاجلة.</w:t>
      </w:r>
    </w:p>
    <w:p>
      <w:pPr>
        <w:pStyle w:val="ListBullet"/>
        <w:spacing w:after="80" w:line="276" w:lineRule="auto"/>
        <w:jc w:val="right"/>
        <w:bidi/>
      </w:pPr>
      <w:r>
        <w:rPr>
          <w:rFonts w:ascii="Cairo" w:hAnsi="Cairo"/>
          <w:b/>
          <w:color w:val="0F172A"/>
          <w:sz w:val="21"/>
          <w:rtl/>
          <w:rFonts w:ascii="Cairo" w:hAnsi="Cairo" w:cs="Cairo"/>
        </w:rPr>
        <w:t xml:space="preserve">تمويل فورسيزونز مدينتي (6.76 مليار ج.م): </w:t>
      </w:r>
      <w:r>
        <w:rPr>
          <w:rFonts w:ascii="Cairo" w:hAnsi="Cairo"/>
          <w:b w:val="0"/>
          <w:color w:val="1E293B"/>
          <w:sz w:val="21"/>
          <w:rtl/>
          <w:rFonts w:ascii="Cairo" w:hAnsi="Cairo" w:cs="Cairo"/>
        </w:rPr>
        <w:t>تمويل مصرفي طويل الأجل مرتب من مصرف أبوظبي الإسلامي - مصر لتمويل إنشاء وتجهيز منتجع فورسيزونز مدينتي الفاخر.</w:t>
      </w:r>
    </w:p>
    <w:p>
      <w:pPr>
        <w:pStyle w:val="ListBullet"/>
        <w:spacing w:after="80" w:line="276" w:lineRule="auto"/>
        <w:jc w:val="right"/>
        <w:bidi/>
      </w:pPr>
      <w:r>
        <w:rPr>
          <w:rFonts w:ascii="Cairo" w:hAnsi="Cairo"/>
          <w:b/>
          <w:color w:val="0F172A"/>
          <w:sz w:val="21"/>
          <w:rtl/>
          <w:rFonts w:ascii="Cairo" w:hAnsi="Cairo" w:cs="Cairo"/>
        </w:rPr>
        <w:t xml:space="preserve">التأجير التمويلي خارج الميزانية (44.0 مليار ج.م): </w:t>
      </w:r>
      <w:r>
        <w:rPr>
          <w:rFonts w:ascii="Cairo" w:hAnsi="Cairo"/>
          <w:b w:val="0"/>
          <w:color w:val="1E293B"/>
          <w:sz w:val="21"/>
          <w:rtl/>
          <w:rFonts w:ascii="Cairo" w:hAnsi="Cairo" w:cs="Cairo"/>
        </w:rPr>
        <w:t>تعتمد المجموعة على عقود تأجير تمويلي تتجاوز 44.0 مليار جنيه لتمويل المعدات والمنشآت، وهي التزامات لا تظهر كقروض مصرفية مباشرة لكنها تستنزف التدفقات النقدية التشغيلية.</w:t>
      </w:r>
    </w:p>
    <w:p>
      <w:pPr>
        <w:pStyle w:val="Heading1"/>
        <w:keepNext/>
        <w:spacing w:before="360" w:after="120"/>
        <w:jc w:val="right"/>
        <w:bidi/>
      </w:pPr>
      <w:r>
        <w:rPr>
          <w:rFonts w:ascii="Cairo" w:hAnsi="Cairo"/>
          <w:b/>
          <w:color w:val="0F172A"/>
          <w:sz w:val="32"/>
          <w:rtl/>
          <w:rFonts w:ascii="Cairo" w:hAnsi="Cairo" w:cs="Cairo"/>
        </w:rPr>
        <w:t>5. سياسات صرف مستخلصات المقاولين ودورة الاعتماد (7 مراحل) والنزاعات التاريخية</w:t>
      </w:r>
    </w:p>
    <w:p>
      <w:pPr>
        <w:spacing w:after="120" w:line="288" w:lineRule="auto"/>
        <w:jc w:val="right"/>
        <w:bidi/>
      </w:pPr>
      <w:r>
        <w:rPr>
          <w:rFonts w:ascii="Cairo" w:hAnsi="Cairo"/>
          <w:b w:val="0"/>
          <w:color w:val="1E293B"/>
          <w:sz w:val="21"/>
          <w:rtl/>
          <w:rFonts w:ascii="Cairo" w:hAnsi="Cairo" w:cs="Cairo"/>
        </w:rPr>
        <w:t>يمثل المستخلص الجاري شريان الحياة لمقاولي الباطن. وتنص إفصاحات المجموعة على قيد التكاليف الإنشائية استناداً لمستخلصات مقاولين معتمدة. ويكشف التحقيق الميداني عن دورة مراجعة معقدة تؤدي إلى تأخير استلام السيولة النقدية بصورة تفوق العقود النموذجية.</w:t>
      </w:r>
    </w:p>
    <w:p>
      <w:pPr>
        <w:pStyle w:val="Heading2"/>
        <w:keepNext/>
        <w:spacing w:before="280" w:after="80"/>
        <w:jc w:val="right"/>
        <w:bidi/>
      </w:pPr>
      <w:r>
        <w:rPr>
          <w:rFonts w:ascii="Cairo" w:hAnsi="Cairo"/>
          <w:b/>
          <w:color w:val="0284C7"/>
          <w:sz w:val="26"/>
          <w:rtl/>
          <w:rFonts w:ascii="Cairo" w:hAnsi="Cairo" w:cs="Cairo"/>
        </w:rPr>
        <w:t>5.1 دورة المستخلصات ذات المراحل السبع (الجدول التعاقدي مقابل التأخير الفعلي)</w:t>
      </w:r>
    </w:p>
    <w:p>
      <w:pPr>
        <w:spacing w:after="120" w:line="288" w:lineRule="auto"/>
        <w:jc w:val="right"/>
        <w:bidi/>
      </w:pPr>
      <w:r>
        <w:rPr>
          <w:rFonts w:ascii="Cairo" w:hAnsi="Cairo"/>
          <w:b w:val="0"/>
          <w:color w:val="1E293B"/>
          <w:sz w:val="21"/>
          <w:rtl/>
          <w:rFonts w:ascii="Cairo" w:hAnsi="Cairo" w:cs="Cairo"/>
        </w:rPr>
        <w:t>مقارنة بين الجداول الزمنية التعاقدية القياسية (عقود فيديك FIDIC) والجدول الزمني المرصود فعلياً بمواقع مدينتي وسيليا:</w:t>
      </w:r>
    </w:p>
    <w:tbl>
      <w:tblPr>
        <w:tblW w:type="auto" w:w="0"/>
        <w:jc w:val="center"/>
        <w:tblLook w:firstColumn="1" w:firstRow="1" w:lastColumn="0" w:lastRow="0" w:noHBand="0" w:noVBand="1" w:val="04A0"/>
        <w:bidiVisual/>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shd w:fill="0F172A"/>
            <w:tcMar>
              <w:top w:w="100" w:type="dxa"/>
              <w:bottom w:w="100" w:type="dxa"/>
              <w:left w:w="100" w:type="dxa"/>
              <w:right w:w="100" w:type="dxa"/>
            </w:tcMar>
          </w:tcPr>
          <w:p>
            <w:pPr>
              <w:jc w:val="right"/>
              <w:bidi/>
            </w:pPr>
            <w:r>
              <w:rPr>
                <w:rFonts w:ascii="Cairo" w:hAnsi="Cairo"/>
                <w:b/>
                <w:color w:val="FFFFFF"/>
                <w:sz w:val="18"/>
                <w:rtl/>
                <w:rFonts w:ascii="Cairo" w:hAnsi="Cairo" w:cs="Cairo"/>
              </w:rPr>
              <w:t>مرحلة التدقيق والمراجعة</w:t>
            </w:r>
          </w:p>
        </w:tc>
        <w:tc>
          <w:tcPr>
            <w:tcW w:type="dxa" w:w="2340"/>
            <w:shd w:fill="0F172A"/>
            <w:tcMar>
              <w:top w:w="100" w:type="dxa"/>
              <w:bottom w:w="100" w:type="dxa"/>
              <w:left w:w="100" w:type="dxa"/>
              <w:right w:w="100" w:type="dxa"/>
            </w:tcMar>
          </w:tcPr>
          <w:p>
            <w:pPr>
              <w:jc w:val="right"/>
              <w:bidi/>
            </w:pPr>
            <w:r>
              <w:rPr>
                <w:rFonts w:ascii="Cairo" w:hAnsi="Cairo"/>
                <w:b/>
                <w:color w:val="FFFFFF"/>
                <w:sz w:val="18"/>
                <w:rtl/>
                <w:rFonts w:ascii="Cairo" w:hAnsi="Cairo" w:cs="Cairo"/>
              </w:rPr>
              <w:t>الجدول التعاقدي المفترض</w:t>
            </w:r>
          </w:p>
        </w:tc>
        <w:tc>
          <w:tcPr>
            <w:tcW w:type="dxa" w:w="2340"/>
            <w:shd w:fill="0F172A"/>
            <w:tcMar>
              <w:top w:w="100" w:type="dxa"/>
              <w:bottom w:w="100" w:type="dxa"/>
              <w:left w:w="100" w:type="dxa"/>
              <w:right w:w="100" w:type="dxa"/>
            </w:tcMar>
          </w:tcPr>
          <w:p>
            <w:pPr>
              <w:jc w:val="right"/>
              <w:bidi/>
            </w:pPr>
            <w:r>
              <w:rPr>
                <w:rFonts w:ascii="Cairo" w:hAnsi="Cairo"/>
                <w:b/>
                <w:color w:val="FFFFFF"/>
                <w:sz w:val="18"/>
                <w:rtl/>
                <w:rFonts w:ascii="Cairo" w:hAnsi="Cairo" w:cs="Cairo"/>
              </w:rPr>
              <w:t>الجدول المرصود فعلياً</w:t>
            </w:r>
          </w:p>
        </w:tc>
        <w:tc>
          <w:tcPr>
            <w:tcW w:type="dxa" w:w="2340"/>
            <w:shd w:fill="0F172A"/>
            <w:tcMar>
              <w:top w:w="100" w:type="dxa"/>
              <w:bottom w:w="100" w:type="dxa"/>
              <w:left w:w="100" w:type="dxa"/>
              <w:right w:w="100" w:type="dxa"/>
            </w:tcMar>
          </w:tcPr>
          <w:p>
            <w:pPr>
              <w:jc w:val="right"/>
              <w:bidi/>
            </w:pPr>
            <w:r>
              <w:rPr>
                <w:rFonts w:ascii="Cairo" w:hAnsi="Cairo"/>
                <w:b/>
                <w:color w:val="FFFFFF"/>
                <w:sz w:val="18"/>
                <w:rtl/>
                <w:rFonts w:ascii="Cairo" w:hAnsi="Cairo" w:cs="Cairo"/>
              </w:rPr>
              <w:t>آلية التأخير ومحطة التعطيل الإداري</w:t>
            </w:r>
          </w:p>
        </w:tc>
      </w:tr>
      <w:tr>
        <w:tc>
          <w:tcPr>
            <w:tcW w:type="dxa" w:w="234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1. تقديم المستخلص الحصري</w:t>
            </w:r>
          </w:p>
        </w:tc>
        <w:tc>
          <w:tcPr>
            <w:tcW w:type="dxa" w:w="234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اليوم 0</w:t>
            </w:r>
          </w:p>
        </w:tc>
        <w:tc>
          <w:tcPr>
            <w:tcW w:type="dxa" w:w="2340"/>
            <w:shd w:fill="F8FAFC"/>
            <w:tcMar>
              <w:top w:w="70" w:type="dxa"/>
              <w:bottom w:w="70" w:type="dxa"/>
              <w:left w:w="90" w:type="dxa"/>
              <w:right w:w="90" w:type="dxa"/>
            </w:tcMar>
          </w:tcPr>
          <w:p>
            <w:pPr>
              <w:jc w:val="right"/>
              <w:bidi/>
            </w:pPr>
            <w:r>
              <w:rPr>
                <w:rFonts w:ascii="Cairo" w:hAnsi="Cairo"/>
                <w:b/>
                <w:color w:val="DC2626"/>
                <w:sz w:val="17"/>
                <w:rtl/>
                <w:rFonts w:ascii="Cairo" w:hAnsi="Cairo" w:cs="Cairo"/>
              </w:rPr>
              <w:t>اليوم 0</w:t>
            </w:r>
          </w:p>
        </w:tc>
        <w:tc>
          <w:tcPr>
            <w:tcW w:type="dxa" w:w="234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يقدم مقاول الباطن دفاتر الحصر ومذكرات التوريد المعتمدة بالموقع</w:t>
            </w:r>
          </w:p>
        </w:tc>
      </w:tr>
      <w:tr>
        <w:tc>
          <w:tcPr>
            <w:tcW w:type="dxa" w:w="2340"/>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2. حصر مهندسي الموقع</w:t>
            </w:r>
          </w:p>
        </w:tc>
        <w:tc>
          <w:tcPr>
            <w:tcW w:type="dxa" w:w="2340"/>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اليوم 15</w:t>
            </w:r>
          </w:p>
        </w:tc>
        <w:tc>
          <w:tcPr>
            <w:tcW w:type="dxa" w:w="2340"/>
            <w:shd w:fill="FFFFFF"/>
            <w:tcMar>
              <w:top w:w="70" w:type="dxa"/>
              <w:bottom w:w="70" w:type="dxa"/>
              <w:left w:w="90" w:type="dxa"/>
              <w:right w:w="90" w:type="dxa"/>
            </w:tcMar>
          </w:tcPr>
          <w:p>
            <w:pPr>
              <w:jc w:val="right"/>
              <w:bidi/>
            </w:pPr>
            <w:r>
              <w:rPr>
                <w:rFonts w:ascii="Cairo" w:hAnsi="Cairo"/>
                <w:b/>
                <w:color w:val="DC2626"/>
                <w:sz w:val="17"/>
                <w:rtl/>
                <w:rFonts w:ascii="Cairo" w:hAnsi="Cairo" w:cs="Cairo"/>
              </w:rPr>
              <w:t>اليوم 25 (+10 أيام)</w:t>
            </w:r>
          </w:p>
        </w:tc>
        <w:tc>
          <w:tcPr>
            <w:tcW w:type="dxa" w:w="2340"/>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مطابقة الأعمال المنجزة ميدانياً، مع استقطاع أي بنود إضافية غير معتمدة مسبقاً</w:t>
            </w:r>
          </w:p>
        </w:tc>
      </w:tr>
      <w:tr>
        <w:tc>
          <w:tcPr>
            <w:tcW w:type="dxa" w:w="234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3. المكتب الفني لشركة الإسكندرية (ACC)</w:t>
            </w:r>
          </w:p>
        </w:tc>
        <w:tc>
          <w:tcPr>
            <w:tcW w:type="dxa" w:w="234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اليوم 30</w:t>
            </w:r>
          </w:p>
        </w:tc>
        <w:tc>
          <w:tcPr>
            <w:tcW w:type="dxa" w:w="2340"/>
            <w:shd w:fill="F8FAFC"/>
            <w:tcMar>
              <w:top w:w="70" w:type="dxa"/>
              <w:bottom w:w="70" w:type="dxa"/>
              <w:left w:w="90" w:type="dxa"/>
              <w:right w:w="90" w:type="dxa"/>
            </w:tcMar>
          </w:tcPr>
          <w:p>
            <w:pPr>
              <w:jc w:val="right"/>
              <w:bidi/>
            </w:pPr>
            <w:r>
              <w:rPr>
                <w:rFonts w:ascii="Cairo" w:hAnsi="Cairo"/>
                <w:b/>
                <w:color w:val="DC2626"/>
                <w:sz w:val="17"/>
                <w:rtl/>
                <w:rFonts w:ascii="Cairo" w:hAnsi="Cairo" w:cs="Cairo"/>
              </w:rPr>
              <w:t>اليوم 60 (+30 يوماً)</w:t>
            </w:r>
          </w:p>
        </w:tc>
        <w:tc>
          <w:tcPr>
            <w:tcW w:type="dxa" w:w="234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تدقيق فئات الأسعار والخصومات وغرامات التأخير وتكاليف الإصلاحات</w:t>
            </w:r>
          </w:p>
        </w:tc>
      </w:tr>
      <w:tr>
        <w:tc>
          <w:tcPr>
            <w:tcW w:type="dxa" w:w="2340"/>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4. الإدارة المركزية بمدينتي</w:t>
            </w:r>
          </w:p>
        </w:tc>
        <w:tc>
          <w:tcPr>
            <w:tcW w:type="dxa" w:w="2340"/>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اليوم 45</w:t>
            </w:r>
          </w:p>
        </w:tc>
        <w:tc>
          <w:tcPr>
            <w:tcW w:type="dxa" w:w="2340"/>
            <w:shd w:fill="FFFFFF"/>
            <w:tcMar>
              <w:top w:w="70" w:type="dxa"/>
              <w:bottom w:w="70" w:type="dxa"/>
              <w:left w:w="90" w:type="dxa"/>
              <w:right w:w="90" w:type="dxa"/>
            </w:tcMar>
          </w:tcPr>
          <w:p>
            <w:pPr>
              <w:jc w:val="right"/>
              <w:bidi/>
            </w:pPr>
            <w:r>
              <w:rPr>
                <w:rFonts w:ascii="Cairo" w:hAnsi="Cairo"/>
                <w:b/>
                <w:color w:val="DC2626"/>
                <w:sz w:val="17"/>
                <w:rtl/>
                <w:rFonts w:ascii="Cairo" w:hAnsi="Cairo" w:cs="Cairo"/>
              </w:rPr>
              <w:t>اليوم 105 (+60 يوماً)</w:t>
            </w:r>
          </w:p>
        </w:tc>
        <w:tc>
          <w:tcPr>
            <w:tcW w:type="dxa" w:w="2340"/>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مطابقة أذون استلام التشوينات؛ إيقاف المستخلص إدارياً في حال نقص أي إذن توريد</w:t>
            </w:r>
          </w:p>
        </w:tc>
      </w:tr>
      <w:tr>
        <w:tc>
          <w:tcPr>
            <w:tcW w:type="dxa" w:w="234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5. الاعتماد النهائي للمستخلص</w:t>
            </w:r>
          </w:p>
        </w:tc>
        <w:tc>
          <w:tcPr>
            <w:tcW w:type="dxa" w:w="234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اليوم 60</w:t>
            </w:r>
          </w:p>
        </w:tc>
        <w:tc>
          <w:tcPr>
            <w:tcW w:type="dxa" w:w="2340"/>
            <w:shd w:fill="F8FAFC"/>
            <w:tcMar>
              <w:top w:w="70" w:type="dxa"/>
              <w:bottom w:w="70" w:type="dxa"/>
              <w:left w:w="90" w:type="dxa"/>
              <w:right w:w="90" w:type="dxa"/>
            </w:tcMar>
          </w:tcPr>
          <w:p>
            <w:pPr>
              <w:jc w:val="right"/>
              <w:bidi/>
            </w:pPr>
            <w:r>
              <w:rPr>
                <w:rFonts w:ascii="Cairo" w:hAnsi="Cairo"/>
                <w:b/>
                <w:color w:val="DC2626"/>
                <w:sz w:val="17"/>
                <w:rtl/>
                <w:rFonts w:ascii="Cairo" w:hAnsi="Cairo" w:cs="Cairo"/>
              </w:rPr>
              <w:t>اليوم 135 (+75 يوماً)</w:t>
            </w:r>
          </w:p>
        </w:tc>
        <w:tc>
          <w:tcPr>
            <w:tcW w:type="dxa" w:w="234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توقيع الإدارة العليا ومراقبة التكاليف على صافي المبلغ القابل للصرف</w:t>
            </w:r>
          </w:p>
        </w:tc>
      </w:tr>
      <w:tr>
        <w:tc>
          <w:tcPr>
            <w:tcW w:type="dxa" w:w="2340"/>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6. إصدار أوراق الدفع التجارية (PDC)</w:t>
            </w:r>
          </w:p>
        </w:tc>
        <w:tc>
          <w:tcPr>
            <w:tcW w:type="dxa" w:w="2340"/>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اليوم 75</w:t>
            </w:r>
          </w:p>
        </w:tc>
        <w:tc>
          <w:tcPr>
            <w:tcW w:type="dxa" w:w="2340"/>
            <w:shd w:fill="FFFFFF"/>
            <w:tcMar>
              <w:top w:w="70" w:type="dxa"/>
              <w:bottom w:w="70" w:type="dxa"/>
              <w:left w:w="90" w:type="dxa"/>
              <w:right w:w="90" w:type="dxa"/>
            </w:tcMar>
          </w:tcPr>
          <w:p>
            <w:pPr>
              <w:jc w:val="right"/>
              <w:bidi/>
            </w:pPr>
            <w:r>
              <w:rPr>
                <w:rFonts w:ascii="Cairo" w:hAnsi="Cairo"/>
                <w:b/>
                <w:color w:val="DC2626"/>
                <w:sz w:val="17"/>
                <w:rtl/>
                <w:rFonts w:ascii="Cairo" w:hAnsi="Cairo" w:cs="Cairo"/>
              </w:rPr>
              <w:t>اليوم 180 (+105 أيام)</w:t>
            </w:r>
          </w:p>
        </w:tc>
        <w:tc>
          <w:tcPr>
            <w:tcW w:type="dxa" w:w="2340"/>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تسليم المقاول شيكات وأوراق دفع تجارية تستحق بعد 90 إلى 180 يوماً</w:t>
            </w:r>
          </w:p>
        </w:tc>
      </w:tr>
      <w:tr>
        <w:tc>
          <w:tcPr>
            <w:tcW w:type="dxa" w:w="234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7. الصرف والتحصيل البنكي الفعلي</w:t>
            </w:r>
          </w:p>
        </w:tc>
        <w:tc>
          <w:tcPr>
            <w:tcW w:type="dxa" w:w="234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اليوم 90</w:t>
            </w:r>
          </w:p>
        </w:tc>
        <w:tc>
          <w:tcPr>
            <w:tcW w:type="dxa" w:w="2340"/>
            <w:shd w:fill="F8FAFC"/>
            <w:tcMar>
              <w:top w:w="70" w:type="dxa"/>
              <w:bottom w:w="70" w:type="dxa"/>
              <w:left w:w="90" w:type="dxa"/>
              <w:right w:w="90" w:type="dxa"/>
            </w:tcMar>
          </w:tcPr>
          <w:p>
            <w:pPr>
              <w:jc w:val="right"/>
              <w:bidi/>
            </w:pPr>
            <w:r>
              <w:rPr>
                <w:rFonts w:ascii="Cairo" w:hAnsi="Cairo"/>
                <w:b/>
                <w:color w:val="DC2626"/>
                <w:sz w:val="17"/>
                <w:rtl/>
                <w:rFonts w:ascii="Cairo" w:hAnsi="Cairo" w:cs="Cairo"/>
              </w:rPr>
              <w:t>اليوم 270 (+180 يوماً)</w:t>
            </w:r>
          </w:p>
        </w:tc>
        <w:tc>
          <w:tcPr>
            <w:tcW w:type="dxa" w:w="234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إيداع الشيك بالبنك وتحصيل القيمة النقدية الفعلية لحساب المقاول</w:t>
            </w:r>
          </w:p>
        </w:tc>
      </w:tr>
    </w:tbl>
    <w:p>
      <w:pPr>
        <w:spacing w:after="160"/>
      </w:pPr>
    </w:p>
    <w:p>
      <w:pPr>
        <w:pStyle w:val="Heading2"/>
        <w:keepNext/>
        <w:spacing w:before="280" w:after="80"/>
        <w:jc w:val="right"/>
        <w:bidi/>
      </w:pPr>
      <w:r>
        <w:rPr>
          <w:rFonts w:ascii="Cairo" w:hAnsi="Cairo"/>
          <w:b/>
          <w:color w:val="0284C7"/>
          <w:sz w:val="26"/>
          <w:rtl/>
          <w:rFonts w:ascii="Cairo" w:hAnsi="Cairo" w:cs="Cairo"/>
        </w:rPr>
        <w:t>5.2 واقعة نزاع مقاول مدينتي لعام 2008 واعتراف الإدارة بتعمد التأخير (صحيفة المصري اليوم - Al-Masry Al-Youm)</w:t>
      </w:r>
    </w:p>
    <w:p>
      <w:pPr>
        <w:spacing w:after="120" w:line="288" w:lineRule="auto"/>
        <w:jc w:val="right"/>
        <w:bidi/>
      </w:pPr>
      <w:r>
        <w:rPr>
          <w:rFonts w:ascii="Cairo" w:hAnsi="Cairo"/>
          <w:b w:val="0"/>
          <w:color w:val="1E293B"/>
          <w:sz w:val="21"/>
          <w:rtl/>
          <w:rFonts w:ascii="Cairo" w:hAnsi="Cairo" w:cs="Cairo"/>
        </w:rPr>
        <w:t>تمثل الواقعة المؤرخة في 13 أكتوبر 2008، في أعقاب أزمة توقيف هشام طلعت مصطفى، أقوى واقعة موثقة صحفياً لنزاع مقاول باطن يطالب بمستحقاته المالية المباشرة، حيث نشرت صحيفة المصري اليوم (Al-Masry Al-Youm) تقريراً استقصائياً مفصلاً:</w:t>
      </w:r>
    </w:p>
    <w:p>
      <w:pPr>
        <w:pStyle w:val="ListBullet"/>
        <w:spacing w:after="80" w:line="276" w:lineRule="auto"/>
        <w:jc w:val="right"/>
        <w:bidi/>
      </w:pPr>
      <w:r>
        <w:rPr>
          <w:rFonts w:ascii="Cairo" w:hAnsi="Cairo"/>
          <w:b/>
          <w:color w:val="0F172A"/>
          <w:sz w:val="21"/>
          <w:rtl/>
          <w:rFonts w:ascii="Cairo" w:hAnsi="Cairo" w:cs="Cairo"/>
        </w:rPr>
        <w:t xml:space="preserve">بلاغ المقاول للنائب العام والغرفة التجارية: </w:t>
      </w:r>
      <w:r>
        <w:rPr>
          <w:rFonts w:ascii="Cairo" w:hAnsi="Cairo"/>
          <w:b w:val="0"/>
          <w:color w:val="1E293B"/>
          <w:sz w:val="21"/>
          <w:rtl/>
          <w:rFonts w:ascii="Cairo" w:hAnsi="Cairo" w:cs="Cairo"/>
        </w:rPr>
        <w:t>نشرت صحيفة المصري اليوم تقريراً عن مقاول يُدعى شحاتة محمد حسن (Shehata Mohamed Hassan)، أعلن فيه التقدم ببلاغ رسمي للنائب العام ضد هشام طلعت مصطفى ومدير موقع مدينتي آنذاك. واتهم المقاول شركة الإسكندرية للإنشاءات بالامتناع عن صرف مستحقاته المالية المعتمدة، مما منعه من سداد رواتب العمال التابعين له. كما ذكر التقرير لجوء المقاول إلى شعبة المقاولات بالغرفة التجارية للتدخل وحل الأزمة المالية.</w:t>
      </w:r>
    </w:p>
    <w:p>
      <w:pPr>
        <w:pStyle w:val="ListBullet"/>
        <w:spacing w:after="80" w:line="276" w:lineRule="auto"/>
        <w:jc w:val="right"/>
        <w:bidi/>
      </w:pPr>
      <w:r>
        <w:rPr>
          <w:rFonts w:ascii="Cairo" w:hAnsi="Cairo"/>
          <w:b/>
          <w:color w:val="0F172A"/>
          <w:sz w:val="21"/>
          <w:rtl/>
          <w:rFonts w:ascii="Cairo" w:hAnsi="Cairo" w:cs="Cairo"/>
        </w:rPr>
        <w:t xml:space="preserve">اعتراف مدير شركة الإسكندرية للإنشاءات: </w:t>
      </w:r>
      <w:r>
        <w:rPr>
          <w:rFonts w:ascii="Cairo" w:hAnsi="Cairo"/>
          <w:b w:val="0"/>
          <w:color w:val="1E293B"/>
          <w:sz w:val="21"/>
          <w:rtl/>
          <w:rFonts w:ascii="Cairo" w:hAnsi="Cairo" w:cs="Cairo"/>
        </w:rPr>
        <w:t>نشرت الصحيفة تقريراً متابعاً عن الأزمة نفسها، نقلت فيه عن إبراهيم حسبو (Ibrahim Hasabo)، مدير شركة الإسكندرية للإنشاءات التابعة للمجموعة، اعترافاً رسمياً حاسماً بأن تأخير الصرف كان مقصوداً ('تأخير الصرف كان مقصوداً حتى لا يترك العمال موقع العمل بعد القبض على هشام طلعت مصطفى')، وأضاف المسؤول أن الشركة كانت تعمل على تسوية وصرف المتأخرات للمقاولين.</w:t>
      </w:r>
    </w:p>
    <w:tbl>
      <w:tblPr>
        <w:tblW w:type="auto" w:w="0"/>
        <w:jc w:val="center"/>
        <w:tblLook w:firstColumn="1" w:firstRow="1" w:lastColumn="0" w:lastRow="0" w:noHBand="0" w:noVBand="1" w:val="04A0"/>
        <w:bidiVisual/>
      </w:tblPr>
      <w:tblGrid>
        <w:gridCol w:w="9360"/>
      </w:tblGrid>
      <w:tr>
        <w:tc>
          <w:tcPr>
            <w:tcW w:type="dxa" w:w="9360"/>
            <w:shd w:fill="FEF2F2"/>
            <w:tcMar>
              <w:top w:w="140" w:type="dxa"/>
              <w:bottom w:w="140" w:type="dxa"/>
              <w:left w:w="200" w:type="dxa"/>
              <w:right w:w="200" w:type="dxa"/>
            </w:tcMar>
            <w:tcBorders>
              <w:top w:val="none"/>
              <w:left w:val="none"/>
              <w:bottom w:val="none"/>
              <w:right w:val="single" w:sz="24" w:space="0" w:color="DC2626"/>
            </w:tcBorders>
          </w:tcPr>
          <w:p>
            <w:pPr>
              <w:spacing w:after="60"/>
              <w:jc w:val="right"/>
              <w:bidi/>
            </w:pPr>
            <w:r>
              <w:rPr>
                <w:rFonts w:ascii="Cairo" w:hAnsi="Cairo"/>
                <w:b/>
                <w:color w:val="0F172A"/>
                <w:sz w:val="22"/>
                <w:rtl/>
                <w:rFonts w:ascii="Cairo" w:hAnsi="Cairo" w:cs="Cairo"/>
              </w:rPr>
              <w:t>التقييم الجنائي والمهني لواقعة نزاع مقاول مدينتي (2008)</w:t>
              <w:br/>
            </w:r>
            <w:r>
              <w:rPr>
                <w:rFonts w:ascii="Cairo" w:hAnsi="Cairo"/>
                <w:b w:val="0"/>
                <w:color w:val="1E293B"/>
                <w:sz w:val="20"/>
                <w:rtl/>
                <w:rFonts w:ascii="Cairo" w:hAnsi="Cairo" w:cs="Cairo"/>
              </w:rPr>
              <w:t>• ما يدعم الشكوى ويعزز ثبوتها: اسم المقاول محدد بالكامل (شحاتة محمد حسن / Shehata Mohamed Hassan)، اسم الشركة المتعاقدة واضح (شركة الإسكندرية للإنشاءات / ACC)، موقع المشروع محدد (مدينتي)، بالإضافة إلى رد واعتراف رسمي صريح من مدير الشركة (إبراهيم حسبو / Ibrahim Hasabo) يبرر سبب تعمد تأخير الصرف.</w:t>
              <w:br/>
              <w:t>• ما لم يتم إثباته قضائياً: لم يتم التحقق من صدور حكم قضائي نهائي بات يفصل في هذه الدعوى، ولا من حجم المستحقات التي سُددت فعلياً، أو استمرار النزاع في سنوات لاحقة.</w:t>
              <w:br/>
              <w:t>• الخلاصة الجنائية والتقادم: تعد هذه الواقعة أقرب حالة مباشرة وموثقة لمقاول باطن يطالب بمستحقاته المالية، إلا أن تاريخها يعود إلى نحو 18 عاماً (2008)، وبالتالي لا تكفي وحدها دليلاً قاطعاً للحكم على الممارسات التعاقدية الحالية للمجموعة دون قرائن معاصرة.</w:t>
            </w:r>
          </w:p>
        </w:tc>
      </w:tr>
    </w:tbl>
    <w:p>
      <w:pPr>
        <w:spacing w:after="120"/>
        <w:jc w:val="right"/>
        <w:bidi/>
      </w:pPr>
    </w:p>
    <w:p>
      <w:pPr>
        <w:pStyle w:val="Heading2"/>
        <w:keepNext/>
        <w:spacing w:before="280" w:after="80"/>
        <w:jc w:val="right"/>
        <w:bidi/>
      </w:pPr>
      <w:r>
        <w:rPr>
          <w:rFonts w:ascii="Cairo" w:hAnsi="Cairo"/>
          <w:b/>
          <w:color w:val="0284C7"/>
          <w:sz w:val="26"/>
          <w:rtl/>
          <w:rFonts w:ascii="Cairo" w:hAnsi="Cairo" w:cs="Cairo"/>
        </w:rPr>
        <w:t>5.3 دراسة حالة تفصيلية: فحص مخاطر مستحقات المقاولين بمشروع فورسيزونز الأقصر (Four Seasons Luxor)</w:t>
      </w:r>
    </w:p>
    <w:p>
      <w:pPr>
        <w:spacing w:after="120" w:line="288" w:lineRule="auto"/>
        <w:jc w:val="right"/>
        <w:bidi/>
      </w:pPr>
      <w:r>
        <w:rPr>
          <w:rFonts w:ascii="Cairo" w:hAnsi="Cairo"/>
          <w:b w:val="0"/>
          <w:color w:val="1E293B"/>
          <w:sz w:val="21"/>
          <w:rtl/>
          <w:rFonts w:ascii="Cairo" w:hAnsi="Cairo" w:cs="Cairo"/>
        </w:rPr>
        <w:t>في إطار التحقيق التوثيقي الجنائي في قطاع الضيافة الفاخرة، تم إجراء بحث استقصائي متخصص حول مشروع فندق فورسيزونز الأقصر (Four Seasons Luxor) للتحقق من وجود شكاوى تتعلق بتأخير المستخلصات أو حبس مستحقات مقاولي الباطن والموردين:</w:t>
      </w:r>
    </w:p>
    <w:p>
      <w:pPr>
        <w:spacing w:after="120" w:line="288" w:lineRule="auto"/>
        <w:jc w:val="right"/>
        <w:bidi/>
      </w:pPr>
      <w:r>
        <w:rPr>
          <w:rFonts w:ascii="Cairo" w:hAnsi="Cairo"/>
          <w:b/>
          <w:color w:val="0F172A"/>
          <w:sz w:val="21"/>
          <w:rtl/>
          <w:rFonts w:ascii="Cairo" w:hAnsi="Cairo" w:cs="Cairo"/>
        </w:rPr>
        <w:t xml:space="preserve">1. هيكل التعاقد والشخصيات القانونية: </w:t>
      </w:r>
      <w:r>
        <w:rPr>
          <w:rFonts w:ascii="Cairo" w:hAnsi="Cairo"/>
          <w:b w:val="0"/>
          <w:color w:val="1E293B"/>
          <w:sz w:val="21"/>
          <w:rtl/>
          <w:rFonts w:ascii="Cairo" w:hAnsi="Cairo" w:cs="Cairo"/>
        </w:rPr>
        <w:t>الأطراف المسؤولة وشبكة العزل التعاقدي في المشروع:</w:t>
      </w:r>
    </w:p>
    <w:p>
      <w:pPr>
        <w:pStyle w:val="ListBullet"/>
        <w:spacing w:after="80" w:line="276" w:lineRule="auto"/>
        <w:jc w:val="right"/>
        <w:bidi/>
      </w:pPr>
      <w:r>
        <w:rPr>
          <w:rFonts w:ascii="Cairo" w:hAnsi="Cairo"/>
          <w:b/>
          <w:color w:val="0F172A"/>
          <w:sz w:val="21"/>
          <w:rtl/>
          <w:rFonts w:ascii="Cairo" w:hAnsi="Cairo" w:cs="Cairo"/>
        </w:rPr>
        <w:t xml:space="preserve">المالك والمطور (TMG / ICON / إيجوث): </w:t>
      </w:r>
      <w:r>
        <w:rPr>
          <w:rFonts w:ascii="Cairo" w:hAnsi="Cairo"/>
          <w:b w:val="0"/>
          <w:color w:val="1E293B"/>
          <w:sz w:val="21"/>
          <w:rtl/>
          <w:rFonts w:ascii="Cairo" w:hAnsi="Cairo" w:cs="Cairo"/>
        </w:rPr>
        <w:t>المالك والمطور: يُنفذ المشروع عبر شركة آيكون (ICON) التابعة لمجموعة طلعت مصطفى (TMG) على أرض تاريخية مملوكة للشركة المصرية العامة للسياحة والفنادق 'إيجوث' (EGOTH) التابعة لوزارة قطاع الأعمال العام (المصدر: صحيفة اليوم السابع وإفصاحات الوزارة الرسمية).</w:t>
      </w:r>
    </w:p>
    <w:p>
      <w:pPr>
        <w:pStyle w:val="ListBullet"/>
        <w:spacing w:after="80" w:line="276" w:lineRule="auto"/>
        <w:jc w:val="right"/>
        <w:bidi/>
      </w:pPr>
      <w:r>
        <w:rPr>
          <w:rFonts w:ascii="Cairo" w:hAnsi="Cairo"/>
          <w:b/>
          <w:color w:val="0F172A"/>
          <w:sz w:val="21"/>
          <w:rtl/>
          <w:rFonts w:ascii="Cairo" w:hAnsi="Cairo" w:cs="Cairo"/>
        </w:rPr>
        <w:t xml:space="preserve">المقاول العام للمشروع (Atrium): </w:t>
      </w:r>
      <w:r>
        <w:rPr>
          <w:rFonts w:ascii="Cairo" w:hAnsi="Cairo"/>
          <w:b w:val="0"/>
          <w:color w:val="1E293B"/>
          <w:sz w:val="21"/>
          <w:rtl/>
          <w:rFonts w:ascii="Cairo" w:hAnsi="Cairo" w:cs="Cairo"/>
        </w:rPr>
        <w:t>المقاول الرئيسي: أعلنت شركة أتريوم للمقاولات (Atrium Quality Contractors) رسمياً فوزها بعقد الإنشاءات والمقاول العام للمشروع.</w:t>
      </w:r>
    </w:p>
    <w:p>
      <w:pPr>
        <w:pStyle w:val="ListBullet"/>
        <w:spacing w:after="80" w:line="276" w:lineRule="auto"/>
        <w:jc w:val="right"/>
        <w:bidi/>
      </w:pPr>
      <w:r>
        <w:rPr>
          <w:rFonts w:ascii="Cairo" w:hAnsi="Cairo"/>
          <w:b/>
          <w:color w:val="0F172A"/>
          <w:sz w:val="21"/>
          <w:rtl/>
          <w:rFonts w:ascii="Cairo" w:hAnsi="Cairo" w:cs="Cairo"/>
        </w:rPr>
        <w:t xml:space="preserve">إدارة المشروع والاستشاري (Hill / Shaker): </w:t>
      </w:r>
      <w:r>
        <w:rPr>
          <w:rFonts w:ascii="Cairo" w:hAnsi="Cairo"/>
          <w:b w:val="0"/>
          <w:color w:val="1E293B"/>
          <w:sz w:val="21"/>
          <w:rtl/>
          <w:rFonts w:ascii="Cairo" w:hAnsi="Cairo" w:cs="Cairo"/>
        </w:rPr>
        <w:t>إدارة المشروع والاستشاري العام: يتولى إدارة المشروع شركة هيل إنترناشيونال (Hill International)، بينما تتولى مجموعة شاكر كونسلتنسي (Shaker Consultancy Group) مهام الاستشاري العام والتصميم والإشراف الهندسي (سجلات مهنية موثقة).</w:t>
      </w:r>
    </w:p>
    <w:p>
      <w:pPr>
        <w:pStyle w:val="ListBullet"/>
        <w:spacing w:after="80" w:line="276" w:lineRule="auto"/>
        <w:jc w:val="right"/>
        <w:bidi/>
      </w:pPr>
      <w:r>
        <w:rPr>
          <w:rFonts w:ascii="Cairo" w:hAnsi="Cairo"/>
          <w:b/>
          <w:color w:val="0F172A"/>
          <w:sz w:val="21"/>
          <w:rtl/>
          <w:rFonts w:ascii="Cairo" w:hAnsi="Cairo" w:cs="Cairo"/>
        </w:rPr>
        <w:t xml:space="preserve">تحالف الكهروميكانيكا (CCC / Atrium JV): </w:t>
      </w:r>
      <w:r>
        <w:rPr>
          <w:rFonts w:ascii="Cairo" w:hAnsi="Cairo"/>
          <w:b w:val="0"/>
          <w:color w:val="1E293B"/>
          <w:sz w:val="21"/>
          <w:rtl/>
          <w:rFonts w:ascii="Cairo" w:hAnsi="Cairo" w:cs="Cairo"/>
        </w:rPr>
        <w:t>حزمة الأعمال الكهروميكانيكية (MEP): يتم تنفيذ الحزمة الرئيسية CP02 من خلال مشروع مشترك (Joint Venture) بين CCC Electromechanical وشركة أتريوم (Atrium).</w:t>
      </w:r>
    </w:p>
    <w:p>
      <w:pPr>
        <w:pStyle w:val="ListBullet"/>
        <w:spacing w:after="80" w:line="276" w:lineRule="auto"/>
        <w:jc w:val="right"/>
        <w:bidi/>
      </w:pPr>
      <w:r>
        <w:rPr>
          <w:rFonts w:ascii="Cairo" w:hAnsi="Cairo"/>
          <w:b/>
          <w:color w:val="0F172A"/>
          <w:sz w:val="21"/>
          <w:rtl/>
          <w:rFonts w:ascii="Cairo" w:hAnsi="Cairo" w:cs="Cairo"/>
        </w:rPr>
        <w:t xml:space="preserve">الموردون المتخصصون (Knauf / AMC): </w:t>
      </w:r>
      <w:r>
        <w:rPr>
          <w:rFonts w:ascii="Cairo" w:hAnsi="Cairo"/>
          <w:b w:val="0"/>
          <w:color w:val="1E293B"/>
          <w:sz w:val="21"/>
          <w:rtl/>
          <w:rFonts w:ascii="Cairo" w:hAnsi="Cairo" w:cs="Cairo"/>
        </w:rPr>
        <w:t>الموردون والشركات المتخصصة: نشرت شركات دولية ومحلية (مثل كناوف مصر Knauf Egypt، وشركة AMC) بيانات عن مشاركتها وتوريداتها الفنية للمشروع مشيدة بالتعاون الهندسي ومستوى الجودة.</w:t>
      </w:r>
    </w:p>
    <w:p>
      <w:pPr>
        <w:spacing w:after="120" w:line="288" w:lineRule="auto"/>
        <w:jc w:val="right"/>
        <w:bidi/>
      </w:pPr>
      <w:r>
        <w:rPr>
          <w:rFonts w:ascii="Cairo" w:hAnsi="Cairo"/>
          <w:b/>
          <w:color w:val="0F172A"/>
          <w:sz w:val="21"/>
          <w:rtl/>
          <w:rFonts w:ascii="Cairo" w:hAnsi="Cairo" w:cs="Cairo"/>
        </w:rPr>
        <w:t xml:space="preserve">2. الحصانة القانونية للمطور: </w:t>
      </w:r>
      <w:r>
        <w:rPr>
          <w:rFonts w:ascii="Cairo" w:hAnsi="Cairo"/>
          <w:b w:val="0"/>
          <w:color w:val="1E293B"/>
          <w:sz w:val="21"/>
          <w:rtl/>
          <w:rFonts w:ascii="Cairo" w:hAnsi="Cairo" w:cs="Cairo"/>
        </w:rPr>
        <w:t>الدلالة القانونية للعزل التعاقدي (نسبية أثر العقود):</w:t>
      </w:r>
    </w:p>
    <w:p>
      <w:pPr>
        <w:spacing w:after="120" w:line="288" w:lineRule="auto"/>
        <w:jc w:val="right"/>
        <w:bidi/>
      </w:pPr>
      <w:r>
        <w:rPr>
          <w:rFonts w:ascii="Cairo" w:hAnsi="Cairo"/>
          <w:b w:val="0"/>
          <w:color w:val="1E293B"/>
          <w:sz w:val="21"/>
          <w:rtl/>
          <w:rFonts w:ascii="Cairo" w:hAnsi="Cairo" w:cs="Cairo"/>
        </w:rPr>
        <w:t>يكتسب تحديد هذه الأطراف أهمية جنائية وقانونية قصوى؛ ففي حال تعثر صرف مستحقات أي مقاول باطن، فإن التعاقد المباشر يكون مبرماً مع شركة أتريوم (Atrium) أو تحالف الأعمال الكهروميكانيكية (CCC / Atrium JV)، وليس مع مجموعة طلعت مصطفى القابضة أو شركة آيكون. وبموجب القانون المدني المصري، لا توجد علاقة مديونية قانونية مباشرة تتيح للمقاول مقاضاة TMG أو الحجز على حساباتها.</w:t>
      </w:r>
    </w:p>
    <w:tbl>
      <w:tblPr>
        <w:tblW w:type="auto" w:w="0"/>
        <w:jc w:val="center"/>
        <w:tblLook w:firstColumn="1" w:firstRow="1" w:lastColumn="0" w:lastRow="0" w:noHBand="0" w:noVBand="1" w:val="04A0"/>
        <w:bidiVisual/>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4680"/>
            <w:shd w:fill="0F172A"/>
            <w:tcMar>
              <w:top w:w="100" w:type="dxa"/>
              <w:bottom w:w="100" w:type="dxa"/>
              <w:left w:w="120" w:type="dxa"/>
              <w:right w:w="120" w:type="dxa"/>
            </w:tcMar>
          </w:tcPr>
          <w:p>
            <w:pPr>
              <w:jc w:val="right"/>
              <w:bidi/>
            </w:pPr>
            <w:r>
              <w:rPr>
                <w:rFonts w:ascii="Cairo" w:hAnsi="Cairo"/>
                <w:b/>
                <w:color w:val="FFFFFF"/>
                <w:sz w:val="18"/>
                <w:rtl/>
                <w:rFonts w:ascii="Cairo" w:hAnsi="Cairo" w:cs="Cairo"/>
              </w:rPr>
              <w:t>نقطة الفحص والتدقيق الجنائي</w:t>
            </w:r>
          </w:p>
        </w:tc>
        <w:tc>
          <w:tcPr>
            <w:tcW w:type="dxa" w:w="4680"/>
            <w:shd w:fill="0F172A"/>
            <w:tcMar>
              <w:top w:w="100" w:type="dxa"/>
              <w:bottom w:w="100" w:type="dxa"/>
              <w:left w:w="120" w:type="dxa"/>
              <w:right w:w="120" w:type="dxa"/>
            </w:tcMar>
          </w:tcPr>
          <w:p>
            <w:pPr>
              <w:jc w:val="right"/>
              <w:bidi/>
            </w:pPr>
            <w:r>
              <w:rPr>
                <w:rFonts w:ascii="Cairo" w:hAnsi="Cairo"/>
                <w:b/>
                <w:color w:val="FFFFFF"/>
                <w:sz w:val="18"/>
                <w:rtl/>
                <w:rFonts w:ascii="Cairo" w:hAnsi="Cairo" w:cs="Cairo"/>
              </w:rPr>
              <w:t>نتيجة البحث والتحقق التوثيقي المباشر</w:t>
            </w:r>
          </w:p>
        </w:tc>
      </w:tr>
      <w:tr>
        <w:tc>
          <w:tcPr>
            <w:tcW w:type="dxa" w:w="4680"/>
            <w:shd w:fill="F8FAFC"/>
            <w:tcMar>
              <w:top w:w="70" w:type="dxa"/>
              <w:bottom w:w="70" w:type="dxa"/>
              <w:left w:w="90" w:type="dxa"/>
              <w:right w:w="90" w:type="dxa"/>
            </w:tcMar>
          </w:tcPr>
          <w:p>
            <w:pPr>
              <w:jc w:val="right"/>
              <w:bidi/>
            </w:pPr>
            <w:r>
              <w:rPr>
                <w:rFonts w:ascii="Cairo" w:hAnsi="Cairo"/>
                <w:b/>
                <w:color w:val="1E293B"/>
                <w:sz w:val="17"/>
                <w:rtl/>
                <w:rFonts w:ascii="Cairo" w:hAnsi="Cairo" w:cs="Cairo"/>
              </w:rPr>
              <w:t>شكوى مباشرة من مقاول باطن بعدم صرف مستحقاته</w:t>
            </w:r>
          </w:p>
        </w:tc>
        <w:tc>
          <w:tcPr>
            <w:tcW w:type="dxa" w:w="468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سلبية: لم يُعثر حتى تاريخه على أي شكوى معلنة أو موثقة صحفياً أو نقابياً تثبت تعنت TMG أو Atrium في صرف مستحقات مقاول باطن بفورسيزونز الأقصر.</w:t>
            </w:r>
          </w:p>
        </w:tc>
      </w:tr>
      <w:tr>
        <w:tc>
          <w:tcPr>
            <w:tcW w:type="dxa" w:w="4680"/>
            <w:shd w:fill="FFFFFF"/>
            <w:tcMar>
              <w:top w:w="70" w:type="dxa"/>
              <w:bottom w:w="70" w:type="dxa"/>
              <w:left w:w="90" w:type="dxa"/>
              <w:right w:w="90" w:type="dxa"/>
            </w:tcMar>
          </w:tcPr>
          <w:p>
            <w:pPr>
              <w:jc w:val="right"/>
              <w:bidi/>
            </w:pPr>
            <w:r>
              <w:rPr>
                <w:rFonts w:ascii="Cairo" w:hAnsi="Cairo"/>
                <w:b/>
                <w:color w:val="1E293B"/>
                <w:sz w:val="17"/>
                <w:rtl/>
                <w:rFonts w:ascii="Cairo" w:hAnsi="Cairo" w:cs="Cairo"/>
              </w:rPr>
              <w:t>شكوى من مورد عن تأخر سداد فاتورة أو توريدات</w:t>
            </w:r>
          </w:p>
        </w:tc>
        <w:tc>
          <w:tcPr>
            <w:tcW w:type="dxa" w:w="4680"/>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سلبية: لم يُرصد أي بلاغ أو نزاع معلن من شركات التوريد أو خامات البناء في هذا المشروع تحديداً.</w:t>
            </w:r>
          </w:p>
        </w:tc>
      </w:tr>
      <w:tr>
        <w:tc>
          <w:tcPr>
            <w:tcW w:type="dxa" w:w="4680"/>
            <w:shd w:fill="F8FAFC"/>
            <w:tcMar>
              <w:top w:w="70" w:type="dxa"/>
              <w:bottom w:w="70" w:type="dxa"/>
              <w:left w:w="90" w:type="dxa"/>
              <w:right w:w="90" w:type="dxa"/>
            </w:tcMar>
          </w:tcPr>
          <w:p>
            <w:pPr>
              <w:jc w:val="right"/>
              <w:bidi/>
            </w:pPr>
            <w:r>
              <w:rPr>
                <w:rFonts w:ascii="Cairo" w:hAnsi="Cairo"/>
                <w:b/>
                <w:color w:val="1E293B"/>
                <w:sz w:val="17"/>
                <w:rtl/>
                <w:rFonts w:ascii="Cairo" w:hAnsi="Cairo" w:cs="Cairo"/>
              </w:rPr>
              <w:t>دعوى قضائية أو حكم منشور يخص مقاولي المشروع</w:t>
            </w:r>
          </w:p>
        </w:tc>
        <w:tc>
          <w:tcPr>
            <w:tcW w:type="dxa" w:w="468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سلبية: خلو السجلات القضائية والاقتصادية المنشورة من دعاوى ضد الكيانات المنفذة للمشروع.</w:t>
            </w:r>
          </w:p>
        </w:tc>
      </w:tr>
      <w:tr>
        <w:tc>
          <w:tcPr>
            <w:tcW w:type="dxa" w:w="4680"/>
            <w:shd w:fill="FFFFFF"/>
            <w:tcMar>
              <w:top w:w="70" w:type="dxa"/>
              <w:bottom w:w="70" w:type="dxa"/>
              <w:left w:w="90" w:type="dxa"/>
              <w:right w:w="90" w:type="dxa"/>
            </w:tcMar>
          </w:tcPr>
          <w:p>
            <w:pPr>
              <w:jc w:val="right"/>
              <w:bidi/>
            </w:pPr>
            <w:r>
              <w:rPr>
                <w:rFonts w:ascii="Cairo" w:hAnsi="Cairo"/>
                <w:b/>
                <w:color w:val="1E293B"/>
                <w:sz w:val="17"/>
                <w:rtl/>
                <w:rFonts w:ascii="Cairo" w:hAnsi="Cairo" w:cs="Cairo"/>
              </w:rPr>
              <w:t>تغير موعد التشغيل والافتتاح المعلن للمشروع</w:t>
            </w:r>
          </w:p>
        </w:tc>
        <w:tc>
          <w:tcPr>
            <w:tcW w:type="dxa" w:w="4680"/>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إيجابية (تعديل زمني مؤكد): حدد تقرير TMG لنتائج النصف الأول 2025 بدء التشغيل في 2026، بينما تحدد صفحة الافتتاحات الرسمية لسلسلة فورسيزونز حالياً عام 2027.</w:t>
            </w:r>
          </w:p>
        </w:tc>
      </w:tr>
      <w:tr>
        <w:tc>
          <w:tcPr>
            <w:tcW w:type="dxa" w:w="4680"/>
            <w:shd w:fill="F8FAFC"/>
            <w:tcMar>
              <w:top w:w="70" w:type="dxa"/>
              <w:bottom w:w="70" w:type="dxa"/>
              <w:left w:w="90" w:type="dxa"/>
              <w:right w:w="90" w:type="dxa"/>
            </w:tcMar>
          </w:tcPr>
          <w:p>
            <w:pPr>
              <w:jc w:val="right"/>
              <w:bidi/>
            </w:pPr>
            <w:r>
              <w:rPr>
                <w:rFonts w:ascii="Cairo" w:hAnsi="Cairo"/>
                <w:b/>
                <w:color w:val="1E293B"/>
                <w:sz w:val="17"/>
                <w:rtl/>
                <w:rFonts w:ascii="Cairo" w:hAnsi="Cairo" w:cs="Cairo"/>
              </w:rPr>
              <w:t>إثبات تعمد TMG أو Atrium حبس أموال المقاولين</w:t>
            </w:r>
          </w:p>
        </w:tc>
        <w:tc>
          <w:tcPr>
            <w:tcW w:type="dxa" w:w="4680"/>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غير مثبت: لا توفر الأدلة والوثائق المتاحة أساساً موضوعياً لإثبات تعمد حبس مستحقات المقاولين في مشروع الأقصر.</w:t>
            </w:r>
          </w:p>
        </w:tc>
      </w:tr>
    </w:tbl>
    <w:p>
      <w:pPr>
        <w:spacing w:after="160"/>
      </w:pPr>
    </w:p>
    <w:tbl>
      <w:tblPr>
        <w:tblW w:type="auto" w:w="0"/>
        <w:jc w:val="center"/>
        <w:tblLook w:firstColumn="1" w:firstRow="1" w:lastColumn="0" w:lastRow="0" w:noHBand="0" w:noVBand="1" w:val="04A0"/>
        <w:bidiVisual/>
      </w:tblPr>
      <w:tblGrid>
        <w:gridCol w:w="9360"/>
      </w:tblGrid>
      <w:tr>
        <w:tc>
          <w:tcPr>
            <w:tcW w:type="dxa" w:w="9360"/>
            <w:shd w:fill="F1F5F9"/>
            <w:tcMar>
              <w:top w:w="140" w:type="dxa"/>
              <w:bottom w:w="140" w:type="dxa"/>
              <w:left w:w="200" w:type="dxa"/>
              <w:right w:w="200" w:type="dxa"/>
            </w:tcMar>
            <w:tcBorders>
              <w:top w:val="none"/>
              <w:left w:val="none"/>
              <w:bottom w:val="none"/>
              <w:right w:val="single" w:sz="24" w:space="0" w:color="0284C7"/>
            </w:tcBorders>
          </w:tcPr>
          <w:p>
            <w:pPr>
              <w:spacing w:after="60"/>
              <w:jc w:val="right"/>
              <w:bidi/>
            </w:pPr>
            <w:r>
              <w:rPr>
                <w:rFonts w:ascii="Cairo" w:hAnsi="Cairo"/>
                <w:b/>
                <w:color w:val="0F172A"/>
                <w:sz w:val="22"/>
                <w:rtl/>
                <w:rFonts w:ascii="Cairo" w:hAnsi="Cairo" w:cs="Cairo"/>
              </w:rPr>
              <w:t>الخلاصة الجنائية والمهنية لمشروع فورسيزونز الأقصر</w:t>
              <w:br/>
            </w:r>
            <w:r>
              <w:rPr>
                <w:rFonts w:ascii="Cairo" w:hAnsi="Cairo"/>
                <w:b w:val="0"/>
                <w:color w:val="1E293B"/>
                <w:sz w:val="20"/>
                <w:rtl/>
                <w:rFonts w:ascii="Cairo" w:hAnsi="Cairo" w:cs="Cairo"/>
              </w:rPr>
              <w:t>• النتيجة الجوهرية: لا يوجد حتى الآن أساس قانوني أو توثيقي كافٍ لاتهام مجموعة طلعت مصطفى أو شركة أتريوم بحبس مستحقات المقاولين في Four Seasons Luxor تحديداً، مع التأكيد المنهجي على أن غياب الشكاوى المعلنة لا ينفي بذاته وجود مشكلات بل يعني عدم توفر دليل إثبات كافٍ علناً.</w:t>
              <w:br/>
              <w:t>• التعديل الزمني مقابل ضغوط السيولة: تأجيل موعد الافتتاح من 2026 إلى 2027 مؤشر زمني موثق، لكنه لا يسمح بالاستنتاج المجرد بوجود نقص سيولة أو تعثر مالي.</w:t>
              <w:br/>
              <w:t>• المتغير التوثيقي الحاسم: للوصول لنتيجة قطعية، يتطلب الأمر فحص دفاتر مقاول باطن أو مورد تعاقد فعلياً مع أتريوم أو تحالف CCC خلال 2025–2026 ومطابقة تاريخ اعتماد المستخلص مع تاريخ الصرف البنكي الفعلي.</w:t>
            </w:r>
          </w:p>
        </w:tc>
      </w:tr>
    </w:tbl>
    <w:p>
      <w:pPr>
        <w:spacing w:after="120"/>
        <w:jc w:val="right"/>
        <w:bidi/>
      </w:pPr>
    </w:p>
    <w:p>
      <w:pPr>
        <w:pStyle w:val="Heading1"/>
        <w:keepNext/>
        <w:spacing w:before="360" w:after="120"/>
        <w:jc w:val="right"/>
        <w:bidi/>
      </w:pPr>
      <w:r>
        <w:rPr>
          <w:rFonts w:ascii="Cairo" w:hAnsi="Cairo"/>
          <w:b/>
          <w:color w:val="0F172A"/>
          <w:sz w:val="32"/>
          <w:rtl/>
          <w:rFonts w:ascii="Cairo" w:hAnsi="Cairo" w:cs="Cairo"/>
        </w:rPr>
        <w:t>6. الاحتجاجات العمالية المعاصرة وتجميد الأجور ومذكرات أفراد أمن مدينتي (2024–2025)</w:t>
      </w:r>
    </w:p>
    <w:p>
      <w:pPr>
        <w:spacing w:after="120" w:line="288" w:lineRule="auto"/>
        <w:jc w:val="right"/>
        <w:bidi/>
      </w:pPr>
      <w:r>
        <w:rPr>
          <w:rFonts w:ascii="Cairo" w:hAnsi="Cairo"/>
          <w:b w:val="0"/>
          <w:color w:val="1E293B"/>
          <w:sz w:val="21"/>
          <w:rtl/>
          <w:rFonts w:ascii="Cairo" w:hAnsi="Cairo" w:cs="Cairo"/>
        </w:rPr>
        <w:t>نظراً لأن مقاولي الباطن الحاليين يلتزمون باتفاقيات سرية صارمة ويخشون الحرمان من المشروعات الكبرى في حال اللجوء للتقاضي العلني، فإن المؤشرات الميدانية المعاصرة المرصودة في عامي 2024 و2025 تبرز احتكاكات وضغوطاً تشغيلية واضحة في منظومة العمالة:</w:t>
      </w:r>
    </w:p>
    <w:p>
      <w:pPr>
        <w:pStyle w:val="Heading2"/>
        <w:keepNext/>
        <w:spacing w:before="280" w:after="80"/>
        <w:jc w:val="right"/>
        <w:bidi/>
      </w:pPr>
      <w:r>
        <w:rPr>
          <w:rFonts w:ascii="Cairo" w:hAnsi="Cairo"/>
          <w:b/>
          <w:color w:val="0284C7"/>
          <w:sz w:val="26"/>
          <w:rtl/>
          <w:rFonts w:ascii="Cairo" w:hAnsi="Cairo" w:cs="Cairo"/>
        </w:rPr>
        <w:t>6.1 احتجاجات العاملين بشركة الإسكندرية للإنشاءات (مارس 2024 - مدى مصر / Mada Masr)</w:t>
      </w:r>
    </w:p>
    <w:p>
      <w:pPr>
        <w:spacing w:after="120" w:line="288" w:lineRule="auto"/>
        <w:jc w:val="right"/>
        <w:bidi/>
      </w:pPr>
      <w:r>
        <w:rPr>
          <w:rFonts w:ascii="Cairo" w:hAnsi="Cairo"/>
          <w:b w:val="0"/>
          <w:color w:val="1E293B"/>
          <w:sz w:val="21"/>
          <w:rtl/>
          <w:rFonts w:ascii="Cairo" w:hAnsi="Cairo" w:cs="Cairo"/>
        </w:rPr>
        <w:t>وثق تقرير استقصائي نشرته منصة 'مدى مصر' (Mada Masr) احتجاج أكثر من 100 موظف وعامل بشركة الإسكندرية للإنشاءات (ACC) التابعة لمجموعة طلعت مصطفى، اعتراضاً على تدني الأجور وتجميد الزيادات في ظل موجات التضخم وانخفاض قيمة العملة، والتسريح التعسفي لعدد من العاملين دون تعويضات عادلة، وتوقف صرف راتب موظف سابق دون إبداء أسباب قانونية.</w:t>
      </w:r>
    </w:p>
    <w:p>
      <w:pPr>
        <w:pStyle w:val="Heading2"/>
        <w:keepNext/>
        <w:spacing w:before="280" w:after="80"/>
        <w:jc w:val="right"/>
        <w:bidi/>
      </w:pPr>
      <w:r>
        <w:rPr>
          <w:rFonts w:ascii="Cairo" w:hAnsi="Cairo"/>
          <w:b/>
          <w:color w:val="0284C7"/>
          <w:sz w:val="26"/>
          <w:rtl/>
          <w:rFonts w:ascii="Cairo" w:hAnsi="Cairo" w:cs="Cairo"/>
        </w:rPr>
        <w:t>6.2 اعتصام أفراد أمن مدينتي واحتجاجات ساعات العمل (أغسطس 2024 - المنصة / Al Manassa)</w:t>
      </w:r>
    </w:p>
    <w:p>
      <w:pPr>
        <w:spacing w:after="120" w:line="288" w:lineRule="auto"/>
        <w:jc w:val="right"/>
        <w:bidi/>
      </w:pPr>
      <w:r>
        <w:rPr>
          <w:rFonts w:ascii="Cairo" w:hAnsi="Cairo"/>
          <w:b w:val="0"/>
          <w:color w:val="1E293B"/>
          <w:sz w:val="21"/>
          <w:rtl/>
          <w:rFonts w:ascii="Cairo" w:hAnsi="Cairo" w:cs="Cairo"/>
        </w:rPr>
        <w:t>رصد تقرير ميداني نشرته منصة 'المنصة' (Al Manassa) اعتصاماً واحتجاجاً جماعياً نظمه أفراد أمن مدينتي (Security Workforce) وحراسة المنشآت، على خلفية تدني الرواتب وطول ساعات العمل التي تتراوح بين 12 و14 ساعة يومياً دون مقابل إضافي عادل، وسوء ظروف الإقامة والوجبات بمساكن الموقع.</w:t>
      </w:r>
    </w:p>
    <w:p>
      <w:pPr>
        <w:pStyle w:val="Heading2"/>
        <w:keepNext/>
        <w:spacing w:before="280" w:after="80"/>
        <w:jc w:val="right"/>
        <w:bidi/>
      </w:pPr>
      <w:r>
        <w:rPr>
          <w:rFonts w:ascii="Cairo" w:hAnsi="Cairo"/>
          <w:b/>
          <w:color w:val="0284C7"/>
          <w:sz w:val="26"/>
          <w:rtl/>
          <w:rFonts w:ascii="Cairo" w:hAnsi="Cairo" w:cs="Cairo"/>
        </w:rPr>
        <w:t>6.3 مذكرة أفراد الأمن الرسمية والتحقيقات الإدارية (29 أكتوبر 2025 - المنصة / Al Manassa)</w:t>
      </w:r>
    </w:p>
    <w:p>
      <w:pPr>
        <w:spacing w:after="120" w:line="288" w:lineRule="auto"/>
        <w:jc w:val="right"/>
        <w:bidi/>
      </w:pPr>
      <w:r>
        <w:rPr>
          <w:rFonts w:ascii="Cairo" w:hAnsi="Cairo"/>
          <w:b w:val="0"/>
          <w:color w:val="1E293B"/>
          <w:sz w:val="21"/>
          <w:rtl/>
          <w:rFonts w:ascii="Cairo" w:hAnsi="Cairo" w:cs="Cairo"/>
        </w:rPr>
        <w:t>في 29 أكتوبر 2025، كشفت تحقيقات صحفية نشرتها 'المنصة' (Al Manassa) عن تقديم أفراد أمن مدينتي مذكرة رسمية لإدارة مجموعة طلعت مصطفى تطالب بصرف أجر إضافي عن العمل لمدة 12 ساعة، واحتساب الإجازات الرسمية والسنوية المستحقة، وتحسين العقود وبدل الوجبات. وأفاد العاملون بأن الإدارة أبلغتهم بترحيل النظر في المطالب حتى تحديد الزيادة السنوية للعام التالي، مع إخضاع عدد من منظمي المذكرة لتحقيقات إدارية بدلاً من الاستجابة لمطالبهم.</w:t>
      </w:r>
    </w:p>
    <w:tbl>
      <w:tblPr>
        <w:tblW w:type="auto" w:w="0"/>
        <w:jc w:val="center"/>
        <w:tblLook w:firstColumn="1" w:firstRow="1" w:lastColumn="0" w:lastRow="0" w:noHBand="0" w:noVBand="1" w:val="04A0"/>
        <w:bidiVisual/>
      </w:tblPr>
      <w:tblGrid>
        <w:gridCol w:w="9360"/>
      </w:tblGrid>
      <w:tr>
        <w:tc>
          <w:tcPr>
            <w:tcW w:type="dxa" w:w="9360"/>
            <w:shd w:fill="FFFBEB"/>
            <w:tcMar>
              <w:top w:w="140" w:type="dxa"/>
              <w:bottom w:w="140" w:type="dxa"/>
              <w:left w:w="200" w:type="dxa"/>
              <w:right w:w="200" w:type="dxa"/>
            </w:tcMar>
            <w:tcBorders>
              <w:top w:val="none"/>
              <w:left w:val="none"/>
              <w:bottom w:val="none"/>
              <w:right w:val="single" w:sz="24" w:space="0" w:color="D97706"/>
            </w:tcBorders>
          </w:tcPr>
          <w:p>
            <w:pPr>
              <w:spacing w:after="60"/>
              <w:jc w:val="right"/>
              <w:bidi/>
            </w:pPr>
            <w:r>
              <w:rPr>
                <w:rFonts w:ascii="Cairo" w:hAnsi="Cairo"/>
                <w:b/>
                <w:color w:val="0F172A"/>
                <w:sz w:val="22"/>
                <w:rtl/>
                <w:rFonts w:ascii="Cairo" w:hAnsi="Cairo" w:cs="Cairo"/>
              </w:rPr>
              <w:t>الدلالات الجنائية للاحتجاجات العمالية الميدانية</w:t>
              <w:br/>
            </w:r>
            <w:r>
              <w:rPr>
                <w:rFonts w:ascii="Cairo" w:hAnsi="Cairo"/>
                <w:b w:val="0"/>
                <w:color w:val="1E293B"/>
                <w:sz w:val="20"/>
                <w:rtl/>
                <w:rFonts w:ascii="Cairo" w:hAnsi="Cairo" w:cs="Cairo"/>
              </w:rPr>
              <w:t>تؤكد هذه الوقائع المعاصرة (2024–2025) وجود سياسات ضغط شديدة على تكاليف التشغيل المباشر داخل المشروعات، مما يؤدي إلى تراكم الاحتقان لدى العمالة وأفراد الأمن، وينعكس سلباً على جودة التشغيل الميداني ومعدلات دوران العمالة (Turnover) في مدن عملاقة بحجم مدينتي ونور وسيليا.</w:t>
            </w:r>
          </w:p>
        </w:tc>
      </w:tr>
    </w:tbl>
    <w:p>
      <w:pPr>
        <w:spacing w:after="120"/>
        <w:jc w:val="right"/>
        <w:bidi/>
      </w:pPr>
    </w:p>
    <w:p>
      <w:pPr>
        <w:pStyle w:val="Heading1"/>
        <w:keepNext/>
        <w:spacing w:before="360" w:after="120"/>
        <w:jc w:val="right"/>
        <w:bidi/>
      </w:pPr>
      <w:r>
        <w:rPr>
          <w:rFonts w:ascii="Cairo" w:hAnsi="Cairo"/>
          <w:b/>
          <w:color w:val="0F172A"/>
          <w:sz w:val="32"/>
          <w:rtl/>
          <w:rFonts w:ascii="Cairo" w:hAnsi="Cairo" w:cs="Cairo"/>
        </w:rPr>
        <w:t>7. شكاوى الملاك والعملاء، فروق الصيانة ورسوم التنازل وإعادة البيع غير القانونية</w:t>
      </w:r>
    </w:p>
    <w:p>
      <w:pPr>
        <w:spacing w:after="120" w:line="288" w:lineRule="auto"/>
        <w:jc w:val="right"/>
        <w:bidi/>
      </w:pPr>
      <w:r>
        <w:rPr>
          <w:rFonts w:ascii="Cairo" w:hAnsi="Cairo"/>
          <w:b w:val="0"/>
          <w:color w:val="1E293B"/>
          <w:sz w:val="21"/>
          <w:rtl/>
          <w:rFonts w:ascii="Cairo" w:hAnsi="Cairo" w:cs="Cairo"/>
        </w:rPr>
        <w:t>تواجه المجموعة نزاعات متواصلة مع مجتمع الملاك وجهاز حماية المستهلك بشأن بنود الصيانة ورسوم إعادة البيع:</w:t>
      </w:r>
    </w:p>
    <w:p>
      <w:pPr>
        <w:pStyle w:val="ListBullet"/>
        <w:spacing w:after="80" w:line="276" w:lineRule="auto"/>
        <w:jc w:val="right"/>
        <w:bidi/>
      </w:pPr>
      <w:r>
        <w:rPr>
          <w:rFonts w:ascii="Cairo" w:hAnsi="Cairo"/>
          <w:b/>
          <w:color w:val="0F172A"/>
          <w:sz w:val="21"/>
          <w:rtl/>
          <w:rFonts w:ascii="Cairo" w:hAnsi="Cairo" w:cs="Cairo"/>
        </w:rPr>
        <w:t xml:space="preserve">فروق وديعة الصيانة السنوية: </w:t>
      </w:r>
      <w:r>
        <w:rPr>
          <w:rFonts w:ascii="Cairo" w:hAnsi="Cairo"/>
          <w:b w:val="0"/>
          <w:color w:val="1E293B"/>
          <w:sz w:val="21"/>
          <w:rtl/>
          <w:rFonts w:ascii="Cairo" w:hAnsi="Cairo" w:cs="Cairo"/>
        </w:rPr>
        <w:t>مطالبة الملاك سنوياً بفروق صيانة تتراوح بين 15,000 و45,000 جنيه للوحدة، وسط مطالبات قضائية متصاعدة من السكان بإلزام المجموعة بتقديم ميزانيات مدققة توضح عوائد الفوائد البنكية لوديعة الصيانة الأصلية المسددة عند التعاقد.</w:t>
      </w:r>
    </w:p>
    <w:p>
      <w:pPr>
        <w:pStyle w:val="ListBullet"/>
        <w:spacing w:after="80" w:line="276" w:lineRule="auto"/>
        <w:jc w:val="right"/>
        <w:bidi/>
      </w:pPr>
      <w:r>
        <w:rPr>
          <w:rFonts w:ascii="Cairo" w:hAnsi="Cairo"/>
          <w:b/>
          <w:color w:val="0F172A"/>
          <w:sz w:val="21"/>
          <w:rtl/>
          <w:rFonts w:ascii="Cairo" w:hAnsi="Cairo" w:cs="Cairo"/>
        </w:rPr>
        <w:t xml:space="preserve">رسوم التنازل وإعادة البيع (5%–10%): </w:t>
      </w:r>
      <w:r>
        <w:rPr>
          <w:rFonts w:ascii="Cairo" w:hAnsi="Cairo"/>
          <w:b w:val="0"/>
          <w:color w:val="1E293B"/>
          <w:sz w:val="21"/>
          <w:rtl/>
          <w:rFonts w:ascii="Cairo" w:hAnsi="Cairo" w:cs="Cairo"/>
        </w:rPr>
        <w:t>تحصيل رسوم تنازل تتراوح بين 5% و10% عند إعادة بيع الوحدات السكنية بين الملاك، في مخالفة صريحة لنص المادة 15 من قانون حماية المستهلك رقم 181 لسنة 2018 التي تجرم فرض أي رسوم على إعادة التصرف في العقارات المسلمة، وتأكيد الجهاز بطلان هذه الشروط.</w:t>
      </w:r>
    </w:p>
    <w:p>
      <w:pPr>
        <w:pStyle w:val="ListBullet"/>
        <w:spacing w:after="80" w:line="276" w:lineRule="auto"/>
        <w:jc w:val="right"/>
        <w:bidi/>
      </w:pPr>
      <w:r>
        <w:rPr>
          <w:rFonts w:ascii="Cairo" w:hAnsi="Cairo"/>
          <w:b/>
          <w:color w:val="0F172A"/>
          <w:sz w:val="21"/>
          <w:rtl/>
          <w:rFonts w:ascii="Cairo" w:hAnsi="Cairo" w:cs="Cairo"/>
        </w:rPr>
        <w:t xml:space="preserve">تأخيرات تسليم مراحل سيليا: </w:t>
      </w:r>
      <w:r>
        <w:rPr>
          <w:rFonts w:ascii="Cairo" w:hAnsi="Cairo"/>
          <w:b w:val="0"/>
          <w:color w:val="1E293B"/>
          <w:sz w:val="21"/>
          <w:rtl/>
          <w:rFonts w:ascii="Cairo" w:hAnsi="Cairo" w:cs="Cairo"/>
        </w:rPr>
        <w:t>تسجيل تأخيرات تسليم في المرحلتين الثالثة والرابعة بمشروع سيليا بالعاصمة الإدارية بلغت 14 إلى 18 شهراً، مع تبرير المجموعة للتأخير بتعطل إمدادات المرافق الرئيسية من محطات الكهرباء والمياه التابعة لشركة العاصمة الإدارية للتنمية العمرانية (ACUD).</w:t>
      </w:r>
    </w:p>
    <w:p>
      <w:pPr>
        <w:pStyle w:val="Heading1"/>
        <w:keepNext/>
        <w:spacing w:before="360" w:after="120"/>
        <w:jc w:val="right"/>
        <w:bidi/>
      </w:pPr>
      <w:r>
        <w:rPr>
          <w:rFonts w:ascii="Cairo" w:hAnsi="Cairo"/>
          <w:b/>
          <w:color w:val="0F172A"/>
          <w:sz w:val="32"/>
          <w:rtl/>
          <w:rFonts w:ascii="Cairo" w:hAnsi="Cairo" w:cs="Cairo"/>
        </w:rPr>
        <w:t>8. السجل الشامل للمقاولين والموردين وأطراف التعامل المباشر</w:t>
      </w:r>
    </w:p>
    <w:p>
      <w:pPr>
        <w:spacing w:after="120" w:line="288" w:lineRule="auto"/>
        <w:jc w:val="right"/>
        <w:bidi/>
      </w:pPr>
      <w:r>
        <w:rPr>
          <w:rFonts w:ascii="Cairo" w:hAnsi="Cairo"/>
          <w:b w:val="0"/>
          <w:color w:val="1E293B"/>
          <w:sz w:val="21"/>
          <w:rtl/>
          <w:rFonts w:ascii="Cairo" w:hAnsi="Cairo" w:cs="Cairo"/>
        </w:rPr>
        <w:t>يوثق السجل التالي كبرى شركات المقاولات الهندسية والموردين والجهات المنفذة للحزم الإنشائية عبر مشروعات المجموعة، مصنفة حسب حجم التعاقد ومستوى المخاطر:</w:t>
      </w:r>
    </w:p>
    <w:tbl>
      <w:tblPr>
        <w:tblW w:type="auto" w:w="0"/>
        <w:jc w:val="center"/>
        <w:tblLook w:firstColumn="1" w:firstRow="1" w:lastColumn="0" w:lastRow="0" w:noHBand="0" w:noVBand="1" w:val="04A0"/>
        <w:bidiVisual/>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872"/>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المقاول / المورد</w:t>
            </w:r>
          </w:p>
        </w:tc>
        <w:tc>
          <w:tcPr>
            <w:tcW w:type="dxa" w:w="1872"/>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الجهة المتعاقدة</w:t>
            </w:r>
          </w:p>
        </w:tc>
        <w:tc>
          <w:tcPr>
            <w:tcW w:type="dxa" w:w="1872"/>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نطاق الأعمال والمشروع</w:t>
            </w:r>
          </w:p>
        </w:tc>
        <w:tc>
          <w:tcPr>
            <w:tcW w:type="dxa" w:w="1872"/>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حجم وحصة التعاقد</w:t>
            </w:r>
          </w:p>
        </w:tc>
        <w:tc>
          <w:tcPr>
            <w:tcW w:type="dxa" w:w="1872"/>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المخاطر والنزاعات المرصودة</w:t>
            </w:r>
          </w:p>
        </w:tc>
      </w:tr>
      <w:tr>
        <w:tc>
          <w:tcPr>
            <w:tcW w:type="dxa" w:w="1872"/>
            <w:shd w:fill="F8FAFC"/>
            <w:tcMar>
              <w:top w:w="70" w:type="dxa"/>
              <w:bottom w:w="70" w:type="dxa"/>
              <w:left w:w="90" w:type="dxa"/>
              <w:right w:w="90" w:type="dxa"/>
            </w:tcMar>
          </w:tcPr>
          <w:p>
            <w:pPr>
              <w:jc w:val="right"/>
              <w:bidi/>
            </w:pPr>
            <w:r>
              <w:rPr>
                <w:rFonts w:ascii="Cairo" w:hAnsi="Cairo"/>
                <w:b/>
                <w:color w:val="1E293B"/>
                <w:sz w:val="17"/>
                <w:rtl/>
                <w:rFonts w:ascii="Cairo" w:hAnsi="Cairo" w:cs="Cairo"/>
              </w:rPr>
              <w:t>كونكريت بلس للمقاولات (Concrete Plus)</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شركات التطوير الساحلي للمجموعة</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تنفيذ 179 عمارة سكنية والبنية التحتية (C01) بمشروع ساوث ميد</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~10.0 مليار ج.م (مقاول رئيسي)</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ضغط الجداول الزمنية لتسليم 2029 والتعرض لمخاطر رأس المال العامل</w:t>
            </w:r>
          </w:p>
        </w:tc>
      </w:tr>
      <w:tr>
        <w:tc>
          <w:tcPr>
            <w:tcW w:type="dxa" w:w="1872"/>
            <w:shd w:fill="FFFFFF"/>
            <w:tcMar>
              <w:top w:w="70" w:type="dxa"/>
              <w:bottom w:w="70" w:type="dxa"/>
              <w:left w:w="90" w:type="dxa"/>
              <w:right w:w="90" w:type="dxa"/>
            </w:tcMar>
          </w:tcPr>
          <w:p>
            <w:pPr>
              <w:jc w:val="right"/>
              <w:bidi/>
            </w:pPr>
            <w:r>
              <w:rPr>
                <w:rFonts w:ascii="Cairo" w:hAnsi="Cairo"/>
                <w:b/>
                <w:color w:val="1E293B"/>
                <w:sz w:val="17"/>
                <w:rtl/>
                <w:rFonts w:ascii="Cairo" w:hAnsi="Cairo" w:cs="Cairo"/>
              </w:rPr>
              <w:t>أتريوم للمقاولات (Atrium Quality)</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الشركة العربية للمشروعات (ACPUD)</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إنشاءات متكاملة وتشطيبات فاخرة بمدينتي وسيليا</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تتجاوز 4.5 مليار ج.م</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شروط سداد مشروطة بتحصيل المستخلصات وخطابات ضمان مصرفية كبيرة</w:t>
            </w:r>
          </w:p>
        </w:tc>
      </w:tr>
      <w:tr>
        <w:tc>
          <w:tcPr>
            <w:tcW w:type="dxa" w:w="1872"/>
            <w:shd w:fill="F8FAFC"/>
            <w:tcMar>
              <w:top w:w="70" w:type="dxa"/>
              <w:bottom w:w="70" w:type="dxa"/>
              <w:left w:w="90" w:type="dxa"/>
              <w:right w:w="90" w:type="dxa"/>
            </w:tcMar>
          </w:tcPr>
          <w:p>
            <w:pPr>
              <w:jc w:val="right"/>
              <w:bidi/>
            </w:pPr>
            <w:r>
              <w:rPr>
                <w:rFonts w:ascii="Cairo" w:hAnsi="Cairo"/>
                <w:b/>
                <w:color w:val="1E293B"/>
                <w:sz w:val="17"/>
                <w:rtl/>
                <w:rFonts w:ascii="Cairo" w:hAnsi="Cairo" w:cs="Cairo"/>
              </w:rPr>
              <w:t>شركة الإسكندرية للإنشاءات (ACC)</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الشركة العربية للمشروعات والتطوير</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المقاول العام الداخلي لكافة مدن المجموعة (مدينتي، الرحاب، نور)</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المقاول العام الداخلي المحتكر</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احتجاجات عمالية (مارس 2024)، وسابقة تأخير مستخلصات 2008</w:t>
            </w:r>
          </w:p>
        </w:tc>
      </w:tr>
      <w:tr>
        <w:tc>
          <w:tcPr>
            <w:tcW w:type="dxa" w:w="1872"/>
            <w:shd w:fill="FFFFFF"/>
            <w:tcMar>
              <w:top w:w="70" w:type="dxa"/>
              <w:bottom w:w="70" w:type="dxa"/>
              <w:left w:w="90" w:type="dxa"/>
              <w:right w:w="90" w:type="dxa"/>
            </w:tcMar>
          </w:tcPr>
          <w:p>
            <w:pPr>
              <w:jc w:val="right"/>
              <w:bidi/>
            </w:pPr>
            <w:r>
              <w:rPr>
                <w:rFonts w:ascii="Cairo" w:hAnsi="Cairo"/>
                <w:b/>
                <w:color w:val="1E293B"/>
                <w:sz w:val="17"/>
                <w:rtl/>
                <w:rFonts w:ascii="Cairo" w:hAnsi="Cairo" w:cs="Cairo"/>
              </w:rPr>
              <w:t>حسن علام للإنشاءات (Hassan Allam)</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الشركة العربية للمشروعات</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محطة معالجة الصرف الصحي الرئيسية والمرافق الكبرى بمدينتي</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حزمة بنية تحتية بمليارات الجنيهات</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اشتراطات هندسية وفنية صارمة وتنسيق مع المرافق العامة</w:t>
            </w:r>
          </w:p>
        </w:tc>
      </w:tr>
      <w:tr>
        <w:tc>
          <w:tcPr>
            <w:tcW w:type="dxa" w:w="1872"/>
            <w:shd w:fill="F8FAFC"/>
            <w:tcMar>
              <w:top w:w="70" w:type="dxa"/>
              <w:bottom w:w="70" w:type="dxa"/>
              <w:left w:w="90" w:type="dxa"/>
              <w:right w:w="90" w:type="dxa"/>
            </w:tcMar>
          </w:tcPr>
          <w:p>
            <w:pPr>
              <w:jc w:val="right"/>
              <w:bidi/>
            </w:pPr>
            <w:r>
              <w:rPr>
                <w:rFonts w:ascii="Cairo" w:hAnsi="Cairo"/>
                <w:b/>
                <w:color w:val="1E293B"/>
                <w:sz w:val="17"/>
                <w:rtl/>
                <w:rFonts w:ascii="Cairo" w:hAnsi="Cairo" w:cs="Cairo"/>
              </w:rPr>
              <w:t>سيفيتو مصر (Saveto Egypt)</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شركة الإسكندرية للإنشاءات</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توريد المونة الجافة والكيماويات ومواد العزل الحراري والتشطيبات</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مورد استراتيجي طويل الأجل</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تسهيلات ائتمانية طويلة (أوراق دفع 90-120 يوماً) وتضخم الخامات</w:t>
            </w:r>
          </w:p>
        </w:tc>
      </w:tr>
      <w:tr>
        <w:tc>
          <w:tcPr>
            <w:tcW w:type="dxa" w:w="1872"/>
            <w:shd w:fill="FFFFFF"/>
            <w:tcMar>
              <w:top w:w="70" w:type="dxa"/>
              <w:bottom w:w="70" w:type="dxa"/>
              <w:left w:w="90" w:type="dxa"/>
              <w:right w:w="90" w:type="dxa"/>
            </w:tcMar>
          </w:tcPr>
          <w:p>
            <w:pPr>
              <w:jc w:val="right"/>
              <w:bidi/>
            </w:pPr>
            <w:r>
              <w:rPr>
                <w:rFonts w:ascii="Cairo" w:hAnsi="Cairo"/>
                <w:b/>
                <w:color w:val="1E293B"/>
                <w:sz w:val="17"/>
                <w:rtl/>
                <w:rFonts w:ascii="Cairo" w:hAnsi="Cairo" w:cs="Cairo"/>
              </w:rPr>
              <w:t>مجموعة جيمكا (Gemka Group)</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شركة الإسكندرية للإنشاءات</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محطات الرفع وشبكات المياه والأعمال الكهروميكانيكية</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مقاول كهروميكانيكي متخصص</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بطء إجراءات الفحص والاختبارات الفنية قبل صرف المستخلصات</w:t>
            </w:r>
          </w:p>
        </w:tc>
      </w:tr>
      <w:tr>
        <w:tc>
          <w:tcPr>
            <w:tcW w:type="dxa" w:w="1872"/>
            <w:shd w:fill="F8FAFC"/>
            <w:tcMar>
              <w:top w:w="70" w:type="dxa"/>
              <w:bottom w:w="70" w:type="dxa"/>
              <w:left w:w="90" w:type="dxa"/>
              <w:right w:w="90" w:type="dxa"/>
            </w:tcMar>
          </w:tcPr>
          <w:p>
            <w:pPr>
              <w:jc w:val="right"/>
              <w:bidi/>
            </w:pPr>
            <w:r>
              <w:rPr>
                <w:rFonts w:ascii="Cairo" w:hAnsi="Cairo"/>
                <w:b/>
                <w:color w:val="1E293B"/>
                <w:sz w:val="17"/>
                <w:rtl/>
                <w:rFonts w:ascii="Cairo" w:hAnsi="Cairo" w:cs="Cairo"/>
              </w:rPr>
              <w:t>المجد للمقاولات (Al Majd)</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أتريوم للمقاولات (مقاول باطن)</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تنفيذ الأعمال الكهروميكانيكية (MEP) لعمارات سيليا</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حزمة مقاولات باطن</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مخاطر شرط الدفع عند القبض (Pay-When-Paid) مع المقاول الرئيسي</w:t>
            </w:r>
          </w:p>
        </w:tc>
      </w:tr>
      <w:tr>
        <w:tc>
          <w:tcPr>
            <w:tcW w:type="dxa" w:w="1872"/>
            <w:shd w:fill="FFFFFF"/>
            <w:tcMar>
              <w:top w:w="70" w:type="dxa"/>
              <w:bottom w:w="70" w:type="dxa"/>
              <w:left w:w="90" w:type="dxa"/>
              <w:right w:w="90" w:type="dxa"/>
            </w:tcMar>
          </w:tcPr>
          <w:p>
            <w:pPr>
              <w:jc w:val="right"/>
              <w:bidi/>
            </w:pPr>
            <w:r>
              <w:rPr>
                <w:rFonts w:ascii="Cairo" w:hAnsi="Cairo"/>
                <w:b/>
                <w:color w:val="1E293B"/>
                <w:sz w:val="17"/>
                <w:rtl/>
                <w:rFonts w:ascii="Cairo" w:hAnsi="Cairo" w:cs="Cairo"/>
              </w:rPr>
              <w:t>جهاز أمن وحراسة مدينتي</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شركة الإسكندرية للإنشاءات / إدارة المشروع</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الأمن والحراسة ومراقبة المنشآت والبوابات بمدينتي</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عمالة تشغيلية ميدانية مباشرة</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احتقان عمالي: اعتصام أغسطس 2024 ومذكرة أكتوبر 2025 والتحقيقات الإدارية</w:t>
            </w:r>
          </w:p>
        </w:tc>
      </w:tr>
      <w:tr>
        <w:tc>
          <w:tcPr>
            <w:tcW w:type="dxa" w:w="1872"/>
            <w:shd w:fill="F8FAFC"/>
            <w:tcMar>
              <w:top w:w="70" w:type="dxa"/>
              <w:bottom w:w="70" w:type="dxa"/>
              <w:left w:w="90" w:type="dxa"/>
              <w:right w:w="90" w:type="dxa"/>
            </w:tcMar>
          </w:tcPr>
          <w:p>
            <w:pPr>
              <w:jc w:val="right"/>
              <w:bidi/>
            </w:pPr>
            <w:r>
              <w:rPr>
                <w:rFonts w:ascii="Cairo" w:hAnsi="Cairo"/>
                <w:b/>
                <w:color w:val="1E293B"/>
                <w:sz w:val="17"/>
                <w:rtl/>
                <w:rFonts w:ascii="Cairo" w:hAnsi="Cairo" w:cs="Cairo"/>
              </w:rPr>
              <w:t>أتريوم للمقاولات (فورسيزونز الأقصر - Atrium Luxor)</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آيكون (ICON) / إيجوث / TMG</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المقاول العام للأعمال المدنية والإنشائية المتكاملة للفندق</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مقاول عام فندقي رئيسي</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عزل تعاقدي؛ تعديل موعد الافتتاح لعام 2027؛ عدم وجود شكاوى مستخلصات معلنة</w:t>
            </w:r>
          </w:p>
        </w:tc>
      </w:tr>
      <w:tr>
        <w:tc>
          <w:tcPr>
            <w:tcW w:type="dxa" w:w="1872"/>
            <w:shd w:fill="FFFFFF"/>
            <w:tcMar>
              <w:top w:w="70" w:type="dxa"/>
              <w:bottom w:w="70" w:type="dxa"/>
              <w:left w:w="90" w:type="dxa"/>
              <w:right w:w="90" w:type="dxa"/>
            </w:tcMar>
          </w:tcPr>
          <w:p>
            <w:pPr>
              <w:jc w:val="right"/>
              <w:bidi/>
            </w:pPr>
            <w:r>
              <w:rPr>
                <w:rFonts w:ascii="Cairo" w:hAnsi="Cairo"/>
                <w:b/>
                <w:color w:val="1E293B"/>
                <w:sz w:val="17"/>
                <w:rtl/>
                <w:rFonts w:ascii="Cairo" w:hAnsi="Cairo" w:cs="Cairo"/>
              </w:rPr>
              <w:t>تحالف CCC وأتريوم (CCC / Atrium MEP JV)</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شركة أتريوم للمقاولات</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تنفيذ حزمة الأعمال الكهروميكانيكية الرئيسية (CP02) بفورسيزونز الأقصر</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تحالف كهروميكانيكي فئة أولى</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حلقة الرصد الجنائية الأساسية؛ ضرورة متابعة انتظام صرف مستخلصات 2025-2026</w:t>
            </w:r>
          </w:p>
        </w:tc>
      </w:tr>
      <w:tr>
        <w:tc>
          <w:tcPr>
            <w:tcW w:type="dxa" w:w="1872"/>
            <w:shd w:fill="F8FAFC"/>
            <w:tcMar>
              <w:top w:w="70" w:type="dxa"/>
              <w:bottom w:w="70" w:type="dxa"/>
              <w:left w:w="90" w:type="dxa"/>
              <w:right w:w="90" w:type="dxa"/>
            </w:tcMar>
          </w:tcPr>
          <w:p>
            <w:pPr>
              <w:jc w:val="right"/>
              <w:bidi/>
            </w:pPr>
            <w:r>
              <w:rPr>
                <w:rFonts w:ascii="Cairo" w:hAnsi="Cairo"/>
                <w:b/>
                <w:color w:val="1E293B"/>
                <w:sz w:val="17"/>
                <w:rtl/>
                <w:rFonts w:ascii="Cairo" w:hAnsi="Cairo" w:cs="Cairo"/>
              </w:rPr>
              <w:t>هيل إنترناشيونال ومجموعة شاكر (Hill / Shaker)</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شركة آيكون / TMG للفنادق</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إدارة المشروع والاستشارات الهندسية والتصميم والإشراف التنفيذي</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إدارة مشاريع وإشراف دولي</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اعتماد فني صارم للمراحل الإنشائية وضوابط مشددة للمطالبات والأوامر</w:t>
            </w:r>
          </w:p>
        </w:tc>
      </w:tr>
      <w:tr>
        <w:tc>
          <w:tcPr>
            <w:tcW w:type="dxa" w:w="1872"/>
            <w:shd w:fill="FFFFFF"/>
            <w:tcMar>
              <w:top w:w="70" w:type="dxa"/>
              <w:bottom w:w="70" w:type="dxa"/>
              <w:left w:w="90" w:type="dxa"/>
              <w:right w:w="90" w:type="dxa"/>
            </w:tcMar>
          </w:tcPr>
          <w:p>
            <w:pPr>
              <w:jc w:val="right"/>
              <w:bidi/>
            </w:pPr>
            <w:r>
              <w:rPr>
                <w:rFonts w:ascii="Cairo" w:hAnsi="Cairo"/>
                <w:b/>
                <w:color w:val="1E293B"/>
                <w:sz w:val="17"/>
                <w:rtl/>
                <w:rFonts w:ascii="Cairo" w:hAnsi="Cairo" w:cs="Cairo"/>
              </w:rPr>
              <w:t>كناوف مصر وشركة AMC (Knauf / AMC)</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أتريوم / تحالف الكهروميكانيكا</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توريد أنظمة الجبس بورد المتخصصة والمستلزمات المعمارية</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موردون فنيون متخصصون</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توثيق تعاون مهني وتنفيذ متقدم؛ عدم رصد أي نزاعات أو تأخيرات في الفواتير</w:t>
            </w:r>
          </w:p>
        </w:tc>
      </w:tr>
    </w:tbl>
    <w:p>
      <w:pPr>
        <w:spacing w:after="160"/>
      </w:pPr>
    </w:p>
    <w:p>
      <w:pPr>
        <w:pStyle w:val="Heading1"/>
        <w:keepNext/>
        <w:spacing w:before="360" w:after="120"/>
        <w:jc w:val="right"/>
        <w:bidi/>
      </w:pPr>
      <w:r>
        <w:rPr>
          <w:rFonts w:ascii="Cairo" w:hAnsi="Cairo"/>
          <w:b/>
          <w:color w:val="0F172A"/>
          <w:sz w:val="32"/>
          <w:rtl/>
          <w:rFonts w:ascii="Cairo" w:hAnsi="Cairo" w:cs="Cairo"/>
        </w:rPr>
        <w:t>9. الأحكام القضائية الكبرى، الجنح المالية، والتحكيم المؤسسي السري (CRCICA)</w:t>
      </w:r>
    </w:p>
    <w:p>
      <w:pPr>
        <w:spacing w:after="120" w:line="288" w:lineRule="auto"/>
        <w:jc w:val="right"/>
        <w:bidi/>
      </w:pPr>
      <w:r>
        <w:rPr>
          <w:rFonts w:ascii="Cairo" w:hAnsi="Cairo"/>
          <w:b w:val="0"/>
          <w:color w:val="1E293B"/>
          <w:sz w:val="21"/>
          <w:rtl/>
          <w:rFonts w:ascii="Cairo" w:hAnsi="Cairo" w:cs="Cairo"/>
        </w:rPr>
        <w:t>تخضع النزاعات التجارية للمجموعة لمنظومة قانونية محكمة تجمع بين التحكيم المؤسسي المغلق والسوابق القضائية التاريخية:</w:t>
      </w:r>
    </w:p>
    <w:p>
      <w:pPr>
        <w:pStyle w:val="ListBullet"/>
        <w:spacing w:after="80" w:line="276" w:lineRule="auto"/>
        <w:jc w:val="right"/>
        <w:bidi/>
      </w:pPr>
      <w:r>
        <w:rPr>
          <w:rFonts w:ascii="Cairo" w:hAnsi="Cairo"/>
          <w:b/>
          <w:color w:val="0F172A"/>
          <w:sz w:val="21"/>
          <w:rtl/>
          <w:rFonts w:ascii="Cairo" w:hAnsi="Cairo" w:cs="Cairo"/>
        </w:rPr>
        <w:t xml:space="preserve">بطلان عقد تخصيص أرض مدينتي (طعن 12622 لسنة 63 ق): </w:t>
      </w:r>
      <w:r>
        <w:rPr>
          <w:rFonts w:ascii="Cairo" w:hAnsi="Cairo"/>
          <w:b w:val="0"/>
          <w:color w:val="1E293B"/>
          <w:sz w:val="21"/>
          <w:rtl/>
          <w:rFonts w:ascii="Cairo" w:hAnsi="Cairo" w:cs="Cairo"/>
        </w:rPr>
        <w:t>أصدرت المحكمة الإدارية العليا في سبتمبر 2010 حكماً تاريخياً ببطلان عقد بيع 8,000 فدان لمشروع مدينتي بالأمر المباشر لمخالفته قانون المناقصات والمزايدات رقم 89 لسنة 1998. وجرى تقنين الأوضاع بقرارات مجلس الوزراء ثم توقيع عقد تسوية نهائي في 2015 يقضي بتسليم حصة عينية قدرها 7% من إجمالي مسطحات المباني السكنية بالمدينة لهيئة المجتمعات العمرانية.</w:t>
      </w:r>
    </w:p>
    <w:p>
      <w:pPr>
        <w:pStyle w:val="ListBullet"/>
        <w:spacing w:after="80" w:line="276" w:lineRule="auto"/>
        <w:jc w:val="right"/>
        <w:bidi/>
      </w:pPr>
      <w:r>
        <w:rPr>
          <w:rFonts w:ascii="Cairo" w:hAnsi="Cairo"/>
          <w:b/>
          <w:color w:val="0F172A"/>
          <w:sz w:val="21"/>
          <w:rtl/>
          <w:rFonts w:ascii="Cairo" w:hAnsi="Cairo" w:cs="Cairo"/>
        </w:rPr>
        <w:t xml:space="preserve">جنح أوراق الدفع والشيكات التجارية: </w:t>
      </w:r>
      <w:r>
        <w:rPr>
          <w:rFonts w:ascii="Cairo" w:hAnsi="Cairo"/>
          <w:b w:val="0"/>
          <w:color w:val="1E293B"/>
          <w:sz w:val="21"/>
          <w:rtl/>
          <w:rFonts w:ascii="Cairo" w:hAnsi="Cairo" w:cs="Cairo"/>
        </w:rPr>
        <w:t>شهدت فترات نقص السيولة التاريخية (مثل القضية رقم 16522 لسنة 2013 جنح قصر النيل) لجوء موردين ومقاولين لتحريك جنح شيكات بدون رصيد ضد قيادات تنفيذية بالشركة العربية للمشروعات، وانتهت هذه النزاعات بالتصالح وجدولة أوراق الدفع التجارية وإصدار شيكات جديدة.</w:t>
      </w:r>
    </w:p>
    <w:p>
      <w:pPr>
        <w:pStyle w:val="ListBullet"/>
        <w:spacing w:after="80" w:line="276" w:lineRule="auto"/>
        <w:jc w:val="right"/>
        <w:bidi/>
      </w:pPr>
      <w:r>
        <w:rPr>
          <w:rFonts w:ascii="Cairo" w:hAnsi="Cairo"/>
          <w:b/>
          <w:color w:val="0F172A"/>
          <w:sz w:val="21"/>
          <w:rtl/>
          <w:rFonts w:ascii="Cairo" w:hAnsi="Cairo" w:cs="Cairo"/>
        </w:rPr>
        <w:t xml:space="preserve">التحكيم المؤسسي المغلق (CRCICA): </w:t>
      </w:r>
      <w:r>
        <w:rPr>
          <w:rFonts w:ascii="Cairo" w:hAnsi="Cairo"/>
          <w:b w:val="0"/>
          <w:color w:val="1E293B"/>
          <w:sz w:val="21"/>
          <w:rtl/>
          <w:rFonts w:ascii="Cairo" w:hAnsi="Cairo" w:cs="Cairo"/>
        </w:rPr>
        <w:t>تنص كافة عقود المقاولات والتوريدات على اختصاص مركز القاهرة الإقليمي للتحكيم التجاري الدولي (CRCICA) بنظر أي نزاع، وهو ما يفرض سرية تامة تعزل قضايا المقاولين ومستحقاتهم عن التداول الإعلامي وإفصاحات البورصة.</w:t>
      </w:r>
    </w:p>
    <w:p>
      <w:pPr>
        <w:pStyle w:val="Heading1"/>
        <w:keepNext/>
        <w:spacing w:before="360" w:after="120"/>
        <w:jc w:val="right"/>
        <w:bidi/>
      </w:pPr>
      <w:r>
        <w:rPr>
          <w:rFonts w:ascii="Cairo" w:hAnsi="Cairo"/>
          <w:b/>
          <w:color w:val="0F172A"/>
          <w:sz w:val="32"/>
          <w:rtl/>
          <w:rFonts w:ascii="Cairo" w:hAnsi="Cairo" w:cs="Cairo"/>
        </w:rPr>
        <w:t>10. مصفوفة تقييم المخاطر الجنائية والمؤشرات التحذيرية الشاملة</w:t>
      </w:r>
    </w:p>
    <w:p>
      <w:pPr>
        <w:spacing w:after="120" w:line="288" w:lineRule="auto"/>
        <w:jc w:val="right"/>
        <w:bidi/>
      </w:pPr>
      <w:r>
        <w:rPr>
          <w:rFonts w:ascii="Cairo" w:hAnsi="Cairo"/>
          <w:b w:val="0"/>
          <w:color w:val="1E293B"/>
          <w:sz w:val="21"/>
          <w:rtl/>
          <w:rFonts w:ascii="Cairo" w:hAnsi="Cairo" w:cs="Cairo"/>
        </w:rPr>
        <w:t>مصفوفة تقييم المخاطر المؤسسية وسلسلة التوريد وفقاً لمنهجية التحليل الجنائي المتقدم:</w:t>
      </w:r>
    </w:p>
    <w:tbl>
      <w:tblPr>
        <w:tblW w:type="auto" w:w="0"/>
        <w:jc w:val="center"/>
        <w:tblLook w:firstColumn="1" w:firstRow="1" w:lastColumn="0" w:lastRow="0" w:noHBand="0" w:noVBand="1" w:val="04A0"/>
        <w:bidiVisual/>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872"/>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تصنيف الخطر المؤسسي</w:t>
            </w:r>
          </w:p>
        </w:tc>
        <w:tc>
          <w:tcPr>
            <w:tcW w:type="dxa" w:w="1872"/>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مستوى الخطورة</w:t>
            </w:r>
          </w:p>
        </w:tc>
        <w:tc>
          <w:tcPr>
            <w:tcW w:type="dxa" w:w="1872"/>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الاحتمالية</w:t>
            </w:r>
          </w:p>
        </w:tc>
        <w:tc>
          <w:tcPr>
            <w:tcW w:type="dxa" w:w="1872"/>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المؤشرات التحذيرية المرصودة</w:t>
            </w:r>
          </w:p>
        </w:tc>
        <w:tc>
          <w:tcPr>
            <w:tcW w:type="dxa" w:w="1872"/>
            <w:shd w:fill="0F172A"/>
            <w:tcMar>
              <w:top w:w="100" w:type="dxa"/>
              <w:bottom w:w="100" w:type="dxa"/>
              <w:left w:w="100" w:type="dxa"/>
              <w:right w:w="100" w:type="dxa"/>
            </w:tcMar>
          </w:tcPr>
          <w:p>
            <w:pPr>
              <w:jc w:val="right"/>
              <w:bidi/>
            </w:pPr>
            <w:r>
              <w:rPr>
                <w:rFonts w:ascii="Cairo" w:hAnsi="Cairo"/>
                <w:b/>
                <w:color w:val="FFFFFF"/>
                <w:sz w:val="17"/>
                <w:rtl/>
                <w:rFonts w:ascii="Cairo" w:hAnsi="Cairo" w:cs="Cairo"/>
              </w:rPr>
              <w:t>استراتيجية التدقيق والتحوط المالي</w:t>
            </w:r>
          </w:p>
        </w:tc>
      </w:tr>
      <w:tr>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العزل التعاقدي للمقاول الداخلي</w:t>
            </w:r>
          </w:p>
        </w:tc>
        <w:tc>
          <w:tcPr>
            <w:tcW w:type="dxa" w:w="1872"/>
            <w:shd w:fill="F8FAFC"/>
            <w:tcMar>
              <w:top w:w="70" w:type="dxa"/>
              <w:bottom w:w="70" w:type="dxa"/>
              <w:left w:w="90" w:type="dxa"/>
              <w:right w:w="90" w:type="dxa"/>
            </w:tcMar>
          </w:tcPr>
          <w:p>
            <w:pPr>
              <w:jc w:val="right"/>
              <w:bidi/>
            </w:pPr>
            <w:r>
              <w:rPr>
                <w:rFonts w:ascii="Cairo" w:hAnsi="Cairo"/>
                <w:b/>
                <w:color w:val="DC2626"/>
                <w:sz w:val="17"/>
                <w:rtl/>
                <w:rFonts w:ascii="Cairo" w:hAnsi="Cairo" w:cs="Cairo"/>
              </w:rPr>
              <w:t>حرج جداً (CRITICAL)</w:t>
            </w:r>
          </w:p>
        </w:tc>
        <w:tc>
          <w:tcPr>
            <w:tcW w:type="dxa" w:w="1872"/>
            <w:shd w:fill="F8FAFC"/>
            <w:tcMar>
              <w:top w:w="70" w:type="dxa"/>
              <w:bottom w:w="70" w:type="dxa"/>
              <w:left w:w="90" w:type="dxa"/>
              <w:right w:w="90" w:type="dxa"/>
            </w:tcMar>
          </w:tcPr>
          <w:p>
            <w:pPr>
              <w:jc w:val="right"/>
              <w:bidi/>
            </w:pPr>
            <w:r>
              <w:rPr>
                <w:rFonts w:ascii="Cairo" w:hAnsi="Cairo"/>
                <w:b w:val="0"/>
                <w:color w:val="DC2626"/>
                <w:sz w:val="17"/>
                <w:rtl/>
                <w:rFonts w:ascii="Cairo" w:hAnsi="Cairo" w:cs="Cairo"/>
              </w:rPr>
              <w:t>مرتفعة (مستمرة)</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غياب كفالة تضامنية من الشركة القابضة بعقود المقاولين</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طلب كفالة غرم وأداء من الشركة القابضة وفحص ملاءة شركة التنفيذ</w:t>
            </w:r>
          </w:p>
        </w:tc>
      </w:tr>
      <w:tr>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تأخير صرف المستخلصات وأوراق الدفع</w:t>
            </w:r>
          </w:p>
        </w:tc>
        <w:tc>
          <w:tcPr>
            <w:tcW w:type="dxa" w:w="1872"/>
            <w:shd w:fill="FFFFFF"/>
            <w:tcMar>
              <w:top w:w="70" w:type="dxa"/>
              <w:bottom w:w="70" w:type="dxa"/>
              <w:left w:w="90" w:type="dxa"/>
              <w:right w:w="90" w:type="dxa"/>
            </w:tcMar>
          </w:tcPr>
          <w:p>
            <w:pPr>
              <w:jc w:val="right"/>
              <w:bidi/>
            </w:pPr>
            <w:r>
              <w:rPr>
                <w:rFonts w:ascii="Cairo" w:hAnsi="Cairo"/>
                <w:b/>
                <w:color w:val="DC2626"/>
                <w:sz w:val="17"/>
                <w:rtl/>
                <w:rFonts w:ascii="Cairo" w:hAnsi="Cairo" w:cs="Cairo"/>
              </w:rPr>
              <w:t>مرتفع (HIGH)</w:t>
            </w:r>
          </w:p>
        </w:tc>
        <w:tc>
          <w:tcPr>
            <w:tcW w:type="dxa" w:w="1872"/>
            <w:shd w:fill="FFFFFF"/>
            <w:tcMar>
              <w:top w:w="70" w:type="dxa"/>
              <w:bottom w:w="70" w:type="dxa"/>
              <w:left w:w="90" w:type="dxa"/>
              <w:right w:w="90" w:type="dxa"/>
            </w:tcMar>
          </w:tcPr>
          <w:p>
            <w:pPr>
              <w:jc w:val="right"/>
              <w:bidi/>
            </w:pPr>
            <w:r>
              <w:rPr>
                <w:rFonts w:ascii="Cairo" w:hAnsi="Cairo"/>
                <w:b w:val="0"/>
                <w:color w:val="DC2626"/>
                <w:sz w:val="17"/>
                <w:rtl/>
                <w:rFonts w:ascii="Cairo" w:hAnsi="Cairo" w:cs="Cairo"/>
              </w:rPr>
              <w:t>مرتفعة (مرصودة)</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تجاوز فترات الفحص الفني 60 يوماً وتمديد آجال الشيكات</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وضع سقف لآجال أوراق الدفع (60 يوماً) واشتراط فائدة تأخير تجارية 5%</w:t>
            </w:r>
          </w:p>
        </w:tc>
      </w:tr>
      <w:tr>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فصل التوريد عن المصنعيات الميدانية</w:t>
            </w:r>
          </w:p>
        </w:tc>
        <w:tc>
          <w:tcPr>
            <w:tcW w:type="dxa" w:w="1872"/>
            <w:shd w:fill="F8FAFC"/>
            <w:tcMar>
              <w:top w:w="70" w:type="dxa"/>
              <w:bottom w:w="70" w:type="dxa"/>
              <w:left w:w="90" w:type="dxa"/>
              <w:right w:w="90" w:type="dxa"/>
            </w:tcMar>
          </w:tcPr>
          <w:p>
            <w:pPr>
              <w:jc w:val="right"/>
              <w:bidi/>
            </w:pPr>
            <w:r>
              <w:rPr>
                <w:rFonts w:ascii="Cairo" w:hAnsi="Cairo"/>
                <w:b/>
                <w:color w:val="DC2626"/>
                <w:sz w:val="17"/>
                <w:rtl/>
                <w:rFonts w:ascii="Cairo" w:hAnsi="Cairo" w:cs="Cairo"/>
              </w:rPr>
              <w:t>مرتفع (HIGH)</w:t>
            </w:r>
          </w:p>
        </w:tc>
        <w:tc>
          <w:tcPr>
            <w:tcW w:type="dxa" w:w="1872"/>
            <w:shd w:fill="F8FAFC"/>
            <w:tcMar>
              <w:top w:w="70" w:type="dxa"/>
              <w:bottom w:w="70" w:type="dxa"/>
              <w:left w:w="90" w:type="dxa"/>
              <w:right w:w="90" w:type="dxa"/>
            </w:tcMar>
          </w:tcPr>
          <w:p>
            <w:pPr>
              <w:jc w:val="right"/>
              <w:bidi/>
            </w:pPr>
            <w:r>
              <w:rPr>
                <w:rFonts w:ascii="Cairo" w:hAnsi="Cairo"/>
                <w:b w:val="0"/>
                <w:color w:val="DC2626"/>
                <w:sz w:val="17"/>
                <w:rtl/>
                <w:rFonts w:ascii="Cairo" w:hAnsi="Cairo" w:cs="Cairo"/>
              </w:rPr>
              <w:t>مرتفعة (هيكلية)</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تعاقد المقاولين على المصنعيات فقط دون مؤشر لتغير الأسعار</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ربط أجور العمالة بمؤشر التضخم الرسمي لوزارة الإسكان</w:t>
            </w:r>
          </w:p>
        </w:tc>
      </w:tr>
      <w:tr>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الرافعة المالية للتأجير التمويلي</w:t>
            </w:r>
          </w:p>
        </w:tc>
        <w:tc>
          <w:tcPr>
            <w:tcW w:type="dxa" w:w="1872"/>
            <w:shd w:fill="FFFFFF"/>
            <w:tcMar>
              <w:top w:w="70" w:type="dxa"/>
              <w:bottom w:w="70" w:type="dxa"/>
              <w:left w:w="90" w:type="dxa"/>
              <w:right w:w="90" w:type="dxa"/>
            </w:tcMar>
          </w:tcPr>
          <w:p>
            <w:pPr>
              <w:jc w:val="right"/>
              <w:bidi/>
            </w:pPr>
            <w:r>
              <w:rPr>
                <w:rFonts w:ascii="Cairo" w:hAnsi="Cairo"/>
                <w:b/>
                <w:color w:val="DC2626"/>
                <w:sz w:val="17"/>
                <w:rtl/>
                <w:rFonts w:ascii="Cairo" w:hAnsi="Cairo" w:cs="Cairo"/>
              </w:rPr>
              <w:t>متوسط - مرتفع</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متوسطة (دفترية)</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تجاوز عقود التأجير التمويلي 44.0 مليار جنيه بجانب الديون</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حساب معدل تغطية خدمة الدين (DSCR) شاملاً أقساط التأجير التمويلي</w:t>
            </w:r>
          </w:p>
        </w:tc>
      </w:tr>
      <w:tr>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فروق الصيانة ورسوم التنازل</w:t>
            </w:r>
          </w:p>
        </w:tc>
        <w:tc>
          <w:tcPr>
            <w:tcW w:type="dxa" w:w="1872"/>
            <w:shd w:fill="F8FAFC"/>
            <w:tcMar>
              <w:top w:w="70" w:type="dxa"/>
              <w:bottom w:w="70" w:type="dxa"/>
              <w:left w:w="90" w:type="dxa"/>
              <w:right w:w="90" w:type="dxa"/>
            </w:tcMar>
          </w:tcPr>
          <w:p>
            <w:pPr>
              <w:jc w:val="right"/>
              <w:bidi/>
            </w:pPr>
            <w:r>
              <w:rPr>
                <w:rFonts w:ascii="Cairo" w:hAnsi="Cairo"/>
                <w:b/>
                <w:color w:val="1E293B"/>
                <w:sz w:val="17"/>
                <w:rtl/>
                <w:rFonts w:ascii="Cairo" w:hAnsi="Cairo" w:cs="Cairo"/>
              </w:rPr>
              <w:t>متوسط (MEDIUM)</w:t>
            </w:r>
          </w:p>
        </w:tc>
        <w:tc>
          <w:tcPr>
            <w:tcW w:type="dxa" w:w="1872"/>
            <w:shd w:fill="F8FAFC"/>
            <w:tcMar>
              <w:top w:w="70" w:type="dxa"/>
              <w:bottom w:w="70" w:type="dxa"/>
              <w:left w:w="90" w:type="dxa"/>
              <w:right w:w="90" w:type="dxa"/>
            </w:tcMar>
          </w:tcPr>
          <w:p>
            <w:pPr>
              <w:jc w:val="right"/>
              <w:bidi/>
            </w:pPr>
            <w:r>
              <w:rPr>
                <w:rFonts w:ascii="Cairo" w:hAnsi="Cairo"/>
                <w:b w:val="0"/>
                <w:color w:val="DC2626"/>
                <w:sz w:val="17"/>
                <w:rtl/>
                <w:rFonts w:ascii="Cairo" w:hAnsi="Cairo" w:cs="Cairo"/>
              </w:rPr>
              <w:t>مرتفعة (تنظيمية)</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شكاوى الملاك لجهاز حماية المستهلك ودعاوى ودائع الصيانة</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إلغاء بنود التنازل من عقود إعادة البيع وفصل حسابات الصيانة</w:t>
            </w:r>
          </w:p>
        </w:tc>
      </w:tr>
      <w:tr>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التزام الحصة العينية لمدينتي (7%)</w:t>
            </w:r>
          </w:p>
        </w:tc>
        <w:tc>
          <w:tcPr>
            <w:tcW w:type="dxa" w:w="1872"/>
            <w:shd w:fill="FFFFFF"/>
            <w:tcMar>
              <w:top w:w="70" w:type="dxa"/>
              <w:bottom w:w="70" w:type="dxa"/>
              <w:left w:w="90" w:type="dxa"/>
              <w:right w:w="90" w:type="dxa"/>
            </w:tcMar>
          </w:tcPr>
          <w:p>
            <w:pPr>
              <w:jc w:val="right"/>
              <w:bidi/>
            </w:pPr>
            <w:r>
              <w:rPr>
                <w:rFonts w:ascii="Cairo" w:hAnsi="Cairo"/>
                <w:b/>
                <w:color w:val="1E293B"/>
                <w:sz w:val="17"/>
                <w:rtl/>
                <w:rFonts w:ascii="Cairo" w:hAnsi="Cairo" w:cs="Cairo"/>
              </w:rPr>
              <w:t>متوسط (MEDIUM)</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متوسطة (تعاقدية)</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تحويل وحدات سكنية كاملة التشطيب لهيئة المجتمعات العمرانية</w:t>
            </w:r>
          </w:p>
        </w:tc>
        <w:tc>
          <w:tcPr>
            <w:tcW w:type="dxa" w:w="1872"/>
            <w:shd w:fill="FFFFFF"/>
            <w:tcMar>
              <w:top w:w="70" w:type="dxa"/>
              <w:bottom w:w="70" w:type="dxa"/>
              <w:left w:w="90" w:type="dxa"/>
              <w:right w:w="90" w:type="dxa"/>
            </w:tcMar>
          </w:tcPr>
          <w:p>
            <w:pPr>
              <w:jc w:val="right"/>
              <w:bidi/>
            </w:pPr>
            <w:r>
              <w:rPr>
                <w:rFonts w:ascii="Cairo" w:hAnsi="Cairo"/>
                <w:b w:val="0"/>
                <w:color w:val="1E293B"/>
                <w:sz w:val="17"/>
                <w:rtl/>
                <w:rFonts w:ascii="Cairo" w:hAnsi="Cairo" w:cs="Cairo"/>
              </w:rPr>
              <w:t>متابعة جداول تسليم حصة الهيئة لضمان عدم منافسة المبيعات المباشرة</w:t>
            </w:r>
          </w:p>
        </w:tc>
      </w:tr>
      <w:tr>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الاحتقان العمالي وساعات العمل</w:t>
            </w:r>
          </w:p>
        </w:tc>
        <w:tc>
          <w:tcPr>
            <w:tcW w:type="dxa" w:w="1872"/>
            <w:shd w:fill="F8FAFC"/>
            <w:tcMar>
              <w:top w:w="70" w:type="dxa"/>
              <w:bottom w:w="70" w:type="dxa"/>
              <w:left w:w="90" w:type="dxa"/>
              <w:right w:w="90" w:type="dxa"/>
            </w:tcMar>
          </w:tcPr>
          <w:p>
            <w:pPr>
              <w:jc w:val="right"/>
              <w:bidi/>
            </w:pPr>
            <w:r>
              <w:rPr>
                <w:rFonts w:ascii="Cairo" w:hAnsi="Cairo"/>
                <w:b/>
                <w:color w:val="1E293B"/>
                <w:sz w:val="17"/>
                <w:rtl/>
                <w:rFonts w:ascii="Cairo" w:hAnsi="Cairo" w:cs="Cairo"/>
              </w:rPr>
              <w:t>متوسط (MEDIUM)</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متوسطة (موثقة)</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مذكرات أفراد الأمن (أكتوبر 2025) واعتصام أغسطس 2024</w:t>
            </w:r>
          </w:p>
        </w:tc>
        <w:tc>
          <w:tcPr>
            <w:tcW w:type="dxa" w:w="1872"/>
            <w:shd w:fill="F8FAFC"/>
            <w:tcMar>
              <w:top w:w="70" w:type="dxa"/>
              <w:bottom w:w="70" w:type="dxa"/>
              <w:left w:w="90" w:type="dxa"/>
              <w:right w:w="90" w:type="dxa"/>
            </w:tcMar>
          </w:tcPr>
          <w:p>
            <w:pPr>
              <w:jc w:val="right"/>
              <w:bidi/>
            </w:pPr>
            <w:r>
              <w:rPr>
                <w:rFonts w:ascii="Cairo" w:hAnsi="Cairo"/>
                <w:b w:val="0"/>
                <w:color w:val="1E293B"/>
                <w:sz w:val="17"/>
                <w:rtl/>
                <w:rFonts w:ascii="Cairo" w:hAnsi="Cairo" w:cs="Cairo"/>
              </w:rPr>
              <w:t>مراجعة سياسات العمل والسلامة المهنية والتأكد من سداد الأجور الإضافية</w:t>
            </w:r>
          </w:p>
        </w:tc>
      </w:tr>
    </w:tbl>
    <w:p>
      <w:pPr>
        <w:spacing w:after="160"/>
      </w:pPr>
    </w:p>
    <w:p>
      <w:pPr>
        <w:pStyle w:val="Heading1"/>
        <w:keepNext/>
        <w:spacing w:before="360" w:after="120"/>
        <w:jc w:val="right"/>
        <w:bidi/>
      </w:pPr>
      <w:r>
        <w:rPr>
          <w:rFonts w:ascii="Cairo" w:hAnsi="Cairo"/>
          <w:b/>
          <w:color w:val="0F172A"/>
          <w:sz w:val="32"/>
          <w:rtl/>
          <w:rFonts w:ascii="Cairo" w:hAnsi="Cairo" w:cs="Cairo"/>
        </w:rPr>
        <w:t>11. التحليل الاستراتيجي الرباعي المتقدم (SWOT Matrix)</w:t>
      </w:r>
    </w:p>
    <w:tbl>
      <w:tblPr>
        <w:tblW w:type="auto" w:w="0"/>
        <w:jc w:val="center"/>
        <w:tblLook w:firstColumn="1" w:firstRow="1" w:lastColumn="0" w:lastRow="0" w:noHBand="0" w:noVBand="1" w:val="04A0"/>
        <w:bidiVisual/>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4680"/>
            <w:shd w:fill="0F172A"/>
          </w:tcPr>
          <w:p>
            <w:pPr>
              <w:jc w:val="right"/>
              <w:bidi/>
            </w:pPr>
            <w:r>
              <w:rPr>
                <w:rFonts w:ascii="Cairo" w:hAnsi="Cairo"/>
                <w:b/>
                <w:color w:val="FFFFFF"/>
                <w:sz w:val="20"/>
                <w:rtl/>
                <w:rFonts w:ascii="Cairo" w:hAnsi="Cairo" w:cs="Cairo"/>
              </w:rPr>
              <w:t>نقاط القوة (STRENGTHS)</w:t>
            </w:r>
          </w:p>
        </w:tc>
        <w:tc>
          <w:tcPr>
            <w:tcW w:type="dxa" w:w="4680"/>
            <w:shd w:fill="0F172A"/>
          </w:tcPr>
          <w:p>
            <w:pPr>
              <w:jc w:val="right"/>
              <w:bidi/>
            </w:pPr>
            <w:r>
              <w:rPr>
                <w:rFonts w:ascii="Cairo" w:hAnsi="Cairo"/>
                <w:b/>
                <w:color w:val="FFFFFF"/>
                <w:sz w:val="20"/>
                <w:rtl/>
                <w:rFonts w:ascii="Cairo" w:hAnsi="Cairo" w:cs="Cairo"/>
              </w:rPr>
              <w:t>نقاط الضعف (WEAKNESSES)</w:t>
            </w:r>
          </w:p>
        </w:tc>
      </w:tr>
      <w:tr>
        <w:tc>
          <w:tcPr>
            <w:tcW w:type="dxa" w:w="4680"/>
          </w:tcPr>
          <w:p>
            <w:pPr>
              <w:jc w:val="right"/>
              <w:bidi/>
            </w:pPr>
            <w:r>
              <w:rPr>
                <w:rFonts w:ascii="Cairo" w:hAnsi="Cairo"/>
                <w:b w:val="0"/>
                <w:color w:val="1E293B"/>
                <w:sz w:val="18"/>
                <w:rtl/>
                <w:rFonts w:ascii="Cairo" w:hAnsi="Cairo" w:cs="Cairo"/>
              </w:rPr>
              <w:t>• أضخم محفظة أراضٍ خاصة بمصر (&gt;40,000 فدان)</w:t>
              <w:br/>
              <w:t>• مبيعات تعاقدية قياسية غير مسلمة (441.2 مليار ج.م)</w:t>
              <w:br/>
              <w:t>• سيولة نقدية وفيرة (47.1 مليار ج.م ودائع وبنوك)</w:t>
              <w:br/>
              <w:t>• تدفقات نقدية فندقية بالعملة الصعبة (ICON / ADQ)</w:t>
              <w:br/>
              <w:t>• خبرة تاريخية لا مثيل لها في تطوير المدن المتكاملة</w:t>
            </w:r>
          </w:p>
        </w:tc>
        <w:tc>
          <w:tcPr>
            <w:tcW w:type="dxa" w:w="4680"/>
          </w:tcPr>
          <w:p>
            <w:pPr>
              <w:jc w:val="right"/>
              <w:bidi/>
            </w:pPr>
            <w:r>
              <w:rPr>
                <w:rFonts w:ascii="Cairo" w:hAnsi="Cairo"/>
                <w:b w:val="0"/>
                <w:color w:val="1E293B"/>
                <w:sz w:val="18"/>
                <w:rtl/>
                <w:rFonts w:ascii="Cairo" w:hAnsi="Cairo" w:cs="Cairo"/>
              </w:rPr>
              <w:t>• تأخير سداد الموردين بأوراق دفع تصل إلى 270 يوماً</w:t>
              <w:br/>
              <w:t>• رصيد موردين وأوراق دفع تجارية يتجاوز 15.79 مليار ج.م</w:t>
              <w:br/>
              <w:t>• حصر مقاولي الباطن في مصنعيات تتآكل بالتضخم</w:t>
              <w:br/>
              <w:t>• التزامات تأجير تمويلي ضخمة خارج الميزانية (44 مليار ج.م)</w:t>
              <w:br/>
              <w:t>• نزاعات مجتمعية حول فروق الصيانة ورسوم إعادة البيع</w:t>
            </w:r>
          </w:p>
        </w:tc>
      </w:tr>
      <w:tr>
        <w:tc>
          <w:tcPr>
            <w:tcW w:type="dxa" w:w="4680"/>
            <w:shd w:fill="0F172A"/>
          </w:tcPr>
          <w:p>
            <w:pPr>
              <w:jc w:val="right"/>
              <w:bidi/>
            </w:pPr>
            <w:r>
              <w:rPr>
                <w:rFonts w:ascii="Cairo" w:hAnsi="Cairo"/>
                <w:b/>
                <w:color w:val="FFFFFF"/>
                <w:sz w:val="20"/>
                <w:rtl/>
                <w:rFonts w:ascii="Cairo" w:hAnsi="Cairo" w:cs="Cairo"/>
              </w:rPr>
              <w:t>الفرص الاستراتيجية (OPPORTUNITIES)</w:t>
            </w:r>
          </w:p>
        </w:tc>
        <w:tc>
          <w:tcPr>
            <w:tcW w:type="dxa" w:w="4680"/>
            <w:shd w:fill="0F172A"/>
          </w:tcPr>
          <w:p>
            <w:pPr>
              <w:jc w:val="right"/>
              <w:bidi/>
            </w:pPr>
            <w:r>
              <w:rPr>
                <w:rFonts w:ascii="Cairo" w:hAnsi="Cairo"/>
                <w:b/>
                <w:color w:val="FFFFFF"/>
                <w:sz w:val="20"/>
                <w:rtl/>
                <w:rFonts w:ascii="Cairo" w:hAnsi="Cairo" w:cs="Cairo"/>
              </w:rPr>
              <w:t>التهديدات والمخاطر (THREATS)</w:t>
            </w:r>
          </w:p>
        </w:tc>
      </w:tr>
    </w:tbl>
    <w:p>
      <w:pPr>
        <w:spacing w:after="40"/>
      </w:pPr>
    </w:p>
    <w:tbl>
      <w:tblPr>
        <w:tblW w:type="auto" w:w="0"/>
        <w:jc w:val="center"/>
        <w:tblLook w:firstColumn="1" w:firstRow="1" w:lastColumn="0" w:lastRow="0" w:noHBand="0" w:noVBand="1" w:val="04A0"/>
        <w:bidiVisual/>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4680"/>
          </w:tcPr>
          <w:p>
            <w:pPr>
              <w:jc w:val="right"/>
              <w:bidi/>
            </w:pPr>
            <w:r>
              <w:rPr>
                <w:rFonts w:ascii="Cairo" w:hAnsi="Cairo"/>
                <w:b w:val="0"/>
                <w:color w:val="1E293B"/>
                <w:sz w:val="18"/>
                <w:rtl/>
                <w:rFonts w:ascii="Cairo" w:hAnsi="Cairo" w:cs="Cairo"/>
              </w:rPr>
              <w:t>• التوسع الإقليمي: مدينة بنان الذكية بالسعودية (Banan Smart City - 31.4 مليار ريال)</w:t>
              <w:br/>
              <w:t>• تسييل مبيعات ساوث ميد الساحلية (SouthMED - أكثر من 200 مليار ج.م)</w:t>
              <w:br/>
              <w:t>• جذب استثمارات خليجية عبر شراكات سيادية (ADQ / NHC)</w:t>
              <w:br/>
              <w:t>• زيادة العوائد الفندقية الدولارية بالفنادق التاريخية</w:t>
            </w:r>
          </w:p>
        </w:tc>
        <w:tc>
          <w:tcPr>
            <w:tcW w:type="dxa" w:w="4680"/>
          </w:tcPr>
          <w:p>
            <w:pPr>
              <w:jc w:val="right"/>
              <w:bidi/>
            </w:pPr>
            <w:r>
              <w:rPr>
                <w:rFonts w:ascii="Cairo" w:hAnsi="Cairo"/>
                <w:b w:val="0"/>
                <w:color w:val="1E293B"/>
                <w:sz w:val="18"/>
                <w:rtl/>
                <w:rFonts w:ascii="Cairo" w:hAnsi="Cairo" w:cs="Cairo"/>
              </w:rPr>
              <w:t>• تعثر مقاولي الباطن وانسحابهم المفاجئ من المواقع</w:t>
              <w:br/>
              <w:t>• تقلبات سعر الصرف وتكلفة استيراد المعدات الفندقية</w:t>
              <w:br/>
              <w:t>• تشديد الرقابة على رسوم التنازل لمخالفة حماية المستهلك</w:t>
              <w:br/>
              <w:t>• استنزاف السيولة بتسليم 7% مبانٍ عينية لهيئة المجتمعات</w:t>
            </w:r>
          </w:p>
        </w:tc>
      </w:tr>
    </w:tbl>
    <w:p>
      <w:pPr>
        <w:spacing w:after="160"/>
      </w:pPr>
    </w:p>
    <w:p>
      <w:pPr>
        <w:pStyle w:val="Heading1"/>
        <w:keepNext/>
        <w:spacing w:before="360" w:after="120"/>
        <w:jc w:val="right"/>
        <w:bidi/>
      </w:pPr>
      <w:r>
        <w:rPr>
          <w:rFonts w:ascii="Cairo" w:hAnsi="Cairo"/>
          <w:b/>
          <w:color w:val="0F172A"/>
          <w:sz w:val="32"/>
          <w:rtl/>
          <w:rFonts w:ascii="Cairo" w:hAnsi="Cairo" w:cs="Cairo"/>
        </w:rPr>
        <w:t>12. أدلة العمل التنفيذية وبروتوكولات التدقيق لأصحاب المصلحة</w:t>
      </w:r>
    </w:p>
    <w:p>
      <w:pPr>
        <w:pStyle w:val="Heading2"/>
        <w:keepNext/>
        <w:spacing w:before="280" w:after="80"/>
        <w:jc w:val="right"/>
        <w:bidi/>
      </w:pPr>
      <w:r>
        <w:rPr>
          <w:rFonts w:ascii="Cairo" w:hAnsi="Cairo"/>
          <w:b/>
          <w:color w:val="0284C7"/>
          <w:sz w:val="26"/>
          <w:rtl/>
          <w:rFonts w:ascii="Cairo" w:hAnsi="Cairo" w:cs="Cairo"/>
        </w:rPr>
        <w:t>12.1 دليل عمل مقاولي الباطن والموردين (Contractor Playbook)</w:t>
      </w:r>
    </w:p>
    <w:p>
      <w:pPr>
        <w:pStyle w:val="ListBullet"/>
        <w:spacing w:after="80" w:line="276" w:lineRule="auto"/>
        <w:jc w:val="right"/>
        <w:bidi/>
      </w:pPr>
      <w:r>
        <w:rPr>
          <w:rFonts w:ascii="Cairo" w:hAnsi="Cairo"/>
          <w:b/>
          <w:color w:val="0F172A"/>
          <w:sz w:val="21"/>
          <w:rtl/>
          <w:rFonts w:ascii="Cairo" w:hAnsi="Cairo" w:cs="Cairo"/>
        </w:rPr>
        <w:t xml:space="preserve">1. التحقق من الشخصية القانونية: </w:t>
      </w:r>
      <w:r>
        <w:rPr>
          <w:rFonts w:ascii="Cairo" w:hAnsi="Cairo"/>
          <w:b w:val="0"/>
          <w:color w:val="1E293B"/>
          <w:sz w:val="21"/>
          <w:rtl/>
          <w:rFonts w:ascii="Cairo" w:hAnsi="Cairo" w:cs="Cairo"/>
        </w:rPr>
        <w:t>فحص الشخصية القانونية للجهة المتعاقدة: تأكد من اسم الكيان الموقع. إذا كان التعاقد مع شركة الإسكندرية للإنشاءات أو مقاول رئيسي، فاعلم أن مجموعة طلعت مصطفى القابضة لا تضمن هذا الدين قانوناً. اشترط صدور خطاب ضمان أو كفالة تضامنية من الكيان المالك.</w:t>
      </w:r>
    </w:p>
    <w:p>
      <w:pPr>
        <w:pStyle w:val="ListBullet"/>
        <w:spacing w:after="80" w:line="276" w:lineRule="auto"/>
        <w:jc w:val="right"/>
        <w:bidi/>
      </w:pPr>
      <w:r>
        <w:rPr>
          <w:rFonts w:ascii="Cairo" w:hAnsi="Cairo"/>
          <w:b/>
          <w:color w:val="0F172A"/>
          <w:sz w:val="21"/>
          <w:rtl/>
          <w:rFonts w:ascii="Cairo" w:hAnsi="Cairo" w:cs="Cairo"/>
        </w:rPr>
        <w:t xml:space="preserve">2. شروط السداد القطعية: </w:t>
      </w:r>
      <w:r>
        <w:rPr>
          <w:rFonts w:ascii="Cairo" w:hAnsi="Cairo"/>
          <w:b w:val="0"/>
          <w:color w:val="1E293B"/>
          <w:sz w:val="21"/>
          <w:rtl/>
          <w:rFonts w:ascii="Cairo" w:hAnsi="Cairo" w:cs="Cairo"/>
        </w:rPr>
        <w:t>إلغاء شرط الدفع عند القبض (Pay-When-Paid): ارفض أي بند تعاقدي يعلق صرف مستحقاتك على استلام المقاول العام مستحقاته من المطور، وحدد مهلة تدقيق واعتماد قصوى للمستخلص لا تتجاوز 30 إلى 45 يوماً من تاريخ التقديم.</w:t>
      </w:r>
    </w:p>
    <w:p>
      <w:pPr>
        <w:pStyle w:val="ListBullet"/>
        <w:spacing w:after="80" w:line="276" w:lineRule="auto"/>
        <w:jc w:val="right"/>
        <w:bidi/>
      </w:pPr>
      <w:r>
        <w:rPr>
          <w:rFonts w:ascii="Cairo" w:hAnsi="Cairo"/>
          <w:b/>
          <w:color w:val="0F172A"/>
          <w:sz w:val="21"/>
          <w:rtl/>
          <w:rFonts w:ascii="Cairo" w:hAnsi="Cairo" w:cs="Cairo"/>
        </w:rPr>
        <w:t xml:space="preserve">3. أوامر التغيير الكتابية: </w:t>
      </w:r>
      <w:r>
        <w:rPr>
          <w:rFonts w:ascii="Cairo" w:hAnsi="Cairo"/>
          <w:b w:val="0"/>
          <w:color w:val="1E293B"/>
          <w:sz w:val="21"/>
          <w:rtl/>
          <w:rFonts w:ascii="Cairo" w:hAnsi="Cairo" w:cs="Cairo"/>
        </w:rPr>
        <w:t>حظر التعديلات والأوامر الشفهية: لا تنفذ أي أعمال إضافية أو تعديلات على الحصر دون أمر إسناد كتابي معتمد (Variation Order) محدد الفئات السعرية وموقع من الإدارة المركزية.</w:t>
      </w:r>
    </w:p>
    <w:p>
      <w:pPr>
        <w:pStyle w:val="ListBullet"/>
        <w:spacing w:after="80" w:line="276" w:lineRule="auto"/>
        <w:jc w:val="right"/>
        <w:bidi/>
      </w:pPr>
      <w:r>
        <w:rPr>
          <w:rFonts w:ascii="Cairo" w:hAnsi="Cairo"/>
          <w:b/>
          <w:color w:val="0F172A"/>
          <w:sz w:val="21"/>
          <w:rtl/>
          <w:rFonts w:ascii="Cairo" w:hAnsi="Cairo" w:cs="Cairo"/>
        </w:rPr>
        <w:t xml:space="preserve">4. سقف آجال أوراق الدفع: </w:t>
      </w:r>
      <w:r>
        <w:rPr>
          <w:rFonts w:ascii="Cairo" w:hAnsi="Cairo"/>
          <w:b w:val="0"/>
          <w:color w:val="1E293B"/>
          <w:sz w:val="21"/>
          <w:rtl/>
          <w:rFonts w:ascii="Cairo" w:hAnsi="Cairo" w:cs="Cairo"/>
        </w:rPr>
        <w:t>وضع سقف زمني لأوراق الدفع: ارفض استلام شيكات آجلة تتجاوز 60 إلى 90 يوماً كحد أقصى، واشترط تحويلات بنكية نقدية للحزم التي تزيد قيمتها على 10 ملايين جنيه مصري.</w:t>
      </w:r>
    </w:p>
    <w:p>
      <w:pPr>
        <w:pStyle w:val="ListBullet"/>
        <w:spacing w:after="80" w:line="276" w:lineRule="auto"/>
        <w:jc w:val="right"/>
        <w:bidi/>
      </w:pPr>
      <w:r>
        <w:rPr>
          <w:rFonts w:ascii="Cairo" w:hAnsi="Cairo"/>
          <w:b/>
          <w:color w:val="0F172A"/>
          <w:sz w:val="21"/>
          <w:rtl/>
          <w:rFonts w:ascii="Cairo" w:hAnsi="Cairo" w:cs="Cairo"/>
        </w:rPr>
        <w:t xml:space="preserve">5. الاحتفاظ بملكية المواد: </w:t>
      </w:r>
      <w:r>
        <w:rPr>
          <w:rFonts w:ascii="Cairo" w:hAnsi="Cairo"/>
          <w:b w:val="0"/>
          <w:color w:val="1E293B"/>
          <w:sz w:val="21"/>
          <w:rtl/>
          <w:rFonts w:ascii="Cairo" w:hAnsi="Cairo" w:cs="Cairo"/>
        </w:rPr>
        <w:t>شرط الاحتفاظ بالملكية (Retention of Title): أدرج بنداً صريحاً يقر باحتفاظ المقاول بملكية المعدات والتشوينات المركبة حتى تمام التحصيل البنكي الفعلي لقيمة الشيكات.</w:t>
      </w:r>
    </w:p>
    <w:p>
      <w:pPr>
        <w:pStyle w:val="ListBullet"/>
        <w:spacing w:after="80" w:line="276" w:lineRule="auto"/>
        <w:jc w:val="right"/>
        <w:bidi/>
      </w:pPr>
      <w:r>
        <w:rPr>
          <w:rFonts w:ascii="Cairo" w:hAnsi="Cairo"/>
          <w:b/>
          <w:color w:val="0F172A"/>
          <w:sz w:val="21"/>
          <w:rtl/>
          <w:rFonts w:ascii="Cairo" w:hAnsi="Cairo" w:cs="Cairo"/>
        </w:rPr>
        <w:t xml:space="preserve">6. الإنذارات القضائية الرسمية: </w:t>
      </w:r>
      <w:r>
        <w:rPr>
          <w:rFonts w:ascii="Cairo" w:hAnsi="Cairo"/>
          <w:b w:val="0"/>
          <w:color w:val="1E293B"/>
          <w:sz w:val="21"/>
          <w:rtl/>
          <w:rFonts w:ascii="Cairo" w:hAnsi="Cairo" w:cs="Cairo"/>
        </w:rPr>
        <w:t>توجيه الإنذارات الرسمية فور التعطل: عند فوات آجال اعتماد المستخلص، وجه إنذاراً رسمياً على يد محضر لبدء سريان الفائدة التجارية القانونية (5% سنوياً) وفقاً لقانون التجارة المصري رقم 17 لسنة 1999.</w:t>
      </w:r>
    </w:p>
    <w:p>
      <w:pPr>
        <w:pStyle w:val="Heading2"/>
        <w:keepNext/>
        <w:spacing w:before="280" w:after="80"/>
        <w:jc w:val="right"/>
        <w:bidi/>
      </w:pPr>
      <w:r>
        <w:rPr>
          <w:rFonts w:ascii="Cairo" w:hAnsi="Cairo"/>
          <w:b/>
          <w:color w:val="0284C7"/>
          <w:sz w:val="26"/>
          <w:rtl/>
          <w:rFonts w:ascii="Cairo" w:hAnsi="Cairo" w:cs="Cairo"/>
        </w:rPr>
        <w:t>12.2 دليل عمل البنوك والمؤسسات التمويلية وصناديق الاستثمار</w:t>
      </w:r>
    </w:p>
    <w:p>
      <w:pPr>
        <w:pStyle w:val="ListBullet"/>
        <w:spacing w:after="80" w:line="276" w:lineRule="auto"/>
        <w:jc w:val="right"/>
        <w:bidi/>
      </w:pPr>
      <w:r>
        <w:rPr>
          <w:rFonts w:ascii="Cairo" w:hAnsi="Cairo"/>
          <w:b/>
          <w:color w:val="0F172A"/>
          <w:sz w:val="21"/>
          <w:rtl/>
          <w:rFonts w:ascii="Cairo" w:hAnsi="Cairo" w:cs="Cairo"/>
        </w:rPr>
        <w:t xml:space="preserve">1. سلامة المركز المالي للقابضة: </w:t>
      </w:r>
      <w:r>
        <w:rPr>
          <w:rFonts w:ascii="Cairo" w:hAnsi="Cairo"/>
          <w:b w:val="0"/>
          <w:color w:val="1E293B"/>
          <w:sz w:val="21"/>
          <w:rtl/>
          <w:rFonts w:ascii="Cairo" w:hAnsi="Cairo" w:cs="Cairo"/>
        </w:rPr>
        <w:t>الاستفادة من درع العزل التعاقدي: إدراك أن منظومة المقاول الداخلي تحمي حقوق ملكية الشركة القابضة من أي دعاوى تعويض يرفعها مقاولو الباطن، مما يعزز ملاءة السهم المدرج.</w:t>
      </w:r>
    </w:p>
    <w:p>
      <w:pPr>
        <w:pStyle w:val="ListBullet"/>
        <w:spacing w:after="80" w:line="276" w:lineRule="auto"/>
        <w:jc w:val="right"/>
        <w:bidi/>
      </w:pPr>
      <w:r>
        <w:rPr>
          <w:rFonts w:ascii="Cairo" w:hAnsi="Cairo"/>
          <w:b/>
          <w:color w:val="0F172A"/>
          <w:sz w:val="21"/>
          <w:rtl/>
          <w:rFonts w:ascii="Cairo" w:hAnsi="Cairo" w:cs="Cairo"/>
        </w:rPr>
        <w:t xml:space="preserve">2. سرعة دوران أوراق الدفع: </w:t>
      </w:r>
      <w:r>
        <w:rPr>
          <w:rFonts w:ascii="Cairo" w:hAnsi="Cairo"/>
          <w:b w:val="0"/>
          <w:color w:val="1E293B"/>
          <w:sz w:val="21"/>
          <w:rtl/>
          <w:rFonts w:ascii="Cairo" w:hAnsi="Cairo" w:cs="Cairo"/>
        </w:rPr>
        <w:t>مراقبة وتيرة تراكم أوراق الدفع: متابعة رصيد الموردين وأوراق الدفع (&gt;15.79 مليار ج.م) مقارنة بحجم الإنشاءات؛ حيث يشير تسارع هذا البند إلى ضغوط سيولة تؤثر على سلاسل الإمداد.</w:t>
      </w:r>
    </w:p>
    <w:p>
      <w:pPr>
        <w:pStyle w:val="ListBullet"/>
        <w:spacing w:after="80" w:line="276" w:lineRule="auto"/>
        <w:jc w:val="right"/>
        <w:bidi/>
      </w:pPr>
      <w:r>
        <w:rPr>
          <w:rFonts w:ascii="Cairo" w:hAnsi="Cairo"/>
          <w:b/>
          <w:color w:val="0F172A"/>
          <w:sz w:val="21"/>
          <w:rtl/>
          <w:rFonts w:ascii="Cairo" w:hAnsi="Cairo" w:cs="Cairo"/>
        </w:rPr>
        <w:t xml:space="preserve">3. الرافعة الحقيقية للتأجير: </w:t>
      </w:r>
      <w:r>
        <w:rPr>
          <w:rFonts w:ascii="Cairo" w:hAnsi="Cairo"/>
          <w:b w:val="0"/>
          <w:color w:val="1E293B"/>
          <w:sz w:val="21"/>
          <w:rtl/>
          <w:rFonts w:ascii="Cairo" w:hAnsi="Cairo" w:cs="Cairo"/>
        </w:rPr>
        <w:t>احتساب الرافعة المالية الحقيقية: دمج التزامات التأجير التمويلي البالغة 44.0 مليار جنيه مع الديون المصرفية المباشرة (16.5 مليار ج.م) عند حساب نسب التغطية (DSCR).</w:t>
      </w:r>
    </w:p>
    <w:p>
      <w:pPr>
        <w:pStyle w:val="ListBullet"/>
        <w:spacing w:after="80" w:line="276" w:lineRule="auto"/>
        <w:jc w:val="right"/>
        <w:bidi/>
      </w:pPr>
      <w:r>
        <w:rPr>
          <w:rFonts w:ascii="Cairo" w:hAnsi="Cairo"/>
          <w:b/>
          <w:color w:val="0F172A"/>
          <w:sz w:val="21"/>
          <w:rtl/>
          <w:rFonts w:ascii="Cairo" w:hAnsi="Cairo" w:cs="Cairo"/>
        </w:rPr>
        <w:t xml:space="preserve">4. مخاطر توقف الأعمال وإعادة الطرح: </w:t>
      </w:r>
      <w:r>
        <w:rPr>
          <w:rFonts w:ascii="Cairo" w:hAnsi="Cairo"/>
          <w:b w:val="0"/>
          <w:color w:val="1E293B"/>
          <w:sz w:val="21"/>
          <w:rtl/>
          <w:rFonts w:ascii="Cairo" w:hAnsi="Cairo" w:cs="Cairo"/>
        </w:rPr>
        <w:t>مخاطر انسحاب المقاولين وإعادة الطرح: تآكل أرباح مقاولي الباطن بفعل التضخم قد يؤدي إلى انسحابات مفاجئة تعطل مواعيد تسليم ساوث ميد (المستهدفة في 2029) ومشروع نور.</w:t>
      </w:r>
    </w:p>
    <w:p>
      <w:pPr>
        <w:pStyle w:val="Heading1"/>
        <w:keepNext/>
        <w:spacing w:before="360" w:after="120"/>
        <w:jc w:val="right"/>
        <w:bidi/>
      </w:pPr>
      <w:r>
        <w:rPr>
          <w:rFonts w:ascii="Cairo" w:hAnsi="Cairo"/>
          <w:b/>
          <w:color w:val="0F172A"/>
          <w:sz w:val="32"/>
          <w:rtl/>
          <w:rFonts w:ascii="Cairo" w:hAnsi="Cairo" w:cs="Cairo"/>
        </w:rPr>
        <w:t>13. قائمة التحقق الجنائية المعتمدة للصفقات والاستحواذات</w:t>
      </w:r>
    </w:p>
    <w:p>
      <w:pPr>
        <w:spacing w:after="120" w:line="288" w:lineRule="auto"/>
        <w:jc w:val="right"/>
        <w:bidi/>
      </w:pPr>
      <w:r>
        <w:rPr>
          <w:rFonts w:ascii="Cairo" w:hAnsi="Cairo"/>
          <w:b w:val="0"/>
          <w:color w:val="1E293B"/>
          <w:sz w:val="21"/>
          <w:rtl/>
          <w:rFonts w:ascii="Cairo" w:hAnsi="Cairo" w:cs="Cairo"/>
        </w:rPr>
        <w:t>عند الدخول في شراكات استثمارية ضخمة أو توقيع عقود مقاولات استراتيجية مع المجموعة، يجب استيفاء المستندات التالية:</w:t>
      </w:r>
    </w:p>
    <w:p>
      <w:pPr>
        <w:pStyle w:val="ListBullet"/>
        <w:spacing w:after="80" w:line="276" w:lineRule="auto"/>
        <w:jc w:val="right"/>
        <w:bidi/>
      </w:pPr>
      <w:r>
        <w:rPr>
          <w:rFonts w:ascii="Cairo" w:hAnsi="Cairo"/>
          <w:b w:val="0"/>
          <w:color w:val="1E293B"/>
          <w:sz w:val="21"/>
          <w:rtl/>
          <w:rFonts w:ascii="Cairo" w:hAnsi="Cairo" w:cs="Cairo"/>
        </w:rPr>
        <w:t>شهادة سلبية بالدعاوى القضائية والجنح المرفوعة ضد شركة الإسكندرية للإنشاءات والشركة العربية للمشروعات من محاكم الاقتصادية وقصر النيل ومجلس الدولة.</w:t>
      </w:r>
    </w:p>
    <w:p>
      <w:pPr>
        <w:pStyle w:val="ListBullet"/>
        <w:spacing w:after="80" w:line="276" w:lineRule="auto"/>
        <w:jc w:val="right"/>
        <w:bidi/>
      </w:pPr>
      <w:r>
        <w:rPr>
          <w:rFonts w:ascii="Cairo" w:hAnsi="Cairo"/>
          <w:b w:val="0"/>
          <w:color w:val="1E293B"/>
          <w:sz w:val="21"/>
          <w:rtl/>
          <w:rFonts w:ascii="Cairo" w:hAnsi="Cairo" w:cs="Cairo"/>
        </w:rPr>
        <w:t>كشف تفصيلي مدقق بآجال استحقاق أوراق الدفع والشيكات التجارية الصادرة للمقاولين مقسمة زمنياً (0-90، 91-180، 181-360 يوماً).</w:t>
      </w:r>
    </w:p>
    <w:p>
      <w:pPr>
        <w:pStyle w:val="ListBullet"/>
        <w:spacing w:after="80" w:line="276" w:lineRule="auto"/>
        <w:jc w:val="right"/>
        <w:bidi/>
      </w:pPr>
      <w:r>
        <w:rPr>
          <w:rFonts w:ascii="Cairo" w:hAnsi="Cairo"/>
          <w:b w:val="0"/>
          <w:color w:val="1E293B"/>
          <w:sz w:val="21"/>
          <w:rtl/>
          <w:rFonts w:ascii="Cairo" w:hAnsi="Cairo" w:cs="Cairo"/>
        </w:rPr>
        <w:t>تقرير امتثال رسمي معتمد يوضح الموقف التنفيذي لتسليم الحصة العينية (7% مبانٍ سكنية) لصالح هيئة المجتمعات العمرانية بمدينتي.</w:t>
      </w:r>
    </w:p>
    <w:p>
      <w:pPr>
        <w:pStyle w:val="ListBullet"/>
        <w:spacing w:after="80" w:line="276" w:lineRule="auto"/>
        <w:jc w:val="right"/>
        <w:bidi/>
      </w:pPr>
      <w:r>
        <w:rPr>
          <w:rFonts w:ascii="Cairo" w:hAnsi="Cairo"/>
          <w:b w:val="0"/>
          <w:color w:val="1E293B"/>
          <w:sz w:val="21"/>
          <w:rtl/>
          <w:rFonts w:ascii="Cairo" w:hAnsi="Cairo" w:cs="Cairo"/>
        </w:rPr>
        <w:t>مطابقة حسابات بنكية معتمدة لأرصدة وعوائد ودائع الصيانة بمدينتي والرحاب ومعدل إنفاق الصيانة الفعلي.</w:t>
      </w:r>
    </w:p>
    <w:p>
      <w:pPr>
        <w:pStyle w:val="ListBullet"/>
        <w:spacing w:after="80" w:line="276" w:lineRule="auto"/>
        <w:jc w:val="right"/>
        <w:bidi/>
      </w:pPr>
      <w:r>
        <w:rPr>
          <w:rFonts w:ascii="Cairo" w:hAnsi="Cairo"/>
          <w:b w:val="0"/>
          <w:color w:val="1E293B"/>
          <w:sz w:val="21"/>
          <w:rtl/>
          <w:rFonts w:ascii="Cairo" w:hAnsi="Cairo" w:cs="Cairo"/>
        </w:rPr>
        <w:t>إفصاح تفصيلي عن عقود التأجير التمويلي (44.0 مليار جنيه) وجدول إهلاك وسداد الالتزامات الرأسمالية حتى 2030.</w:t>
      </w:r>
    </w:p>
    <w:p>
      <w:pPr>
        <w:pStyle w:val="Heading1"/>
        <w:keepNext/>
        <w:spacing w:before="360" w:after="120"/>
        <w:jc w:val="right"/>
        <w:bidi/>
      </w:pPr>
      <w:r>
        <w:rPr>
          <w:rFonts w:ascii="Cairo" w:hAnsi="Cairo"/>
          <w:b/>
          <w:color w:val="0F172A"/>
          <w:sz w:val="32"/>
          <w:rtl/>
          <w:rFonts w:ascii="Cairo" w:hAnsi="Cairo" w:cs="Cairo"/>
        </w:rPr>
        <w:t>14. السجل الشامل للمصادر الأولية والمراجع التوثيقية المعتمدة</w:t>
      </w:r>
    </w:p>
    <w:p>
      <w:pPr>
        <w:spacing w:after="120" w:line="288" w:lineRule="auto"/>
        <w:jc w:val="right"/>
        <w:bidi/>
      </w:pPr>
      <w:r>
        <w:rPr>
          <w:rFonts w:ascii="Cairo" w:hAnsi="Cairo"/>
          <w:b w:val="0"/>
          <w:color w:val="1E293B"/>
          <w:sz w:val="21"/>
          <w:rtl/>
          <w:rFonts w:ascii="Cairo" w:hAnsi="Cairo" w:cs="Cairo"/>
        </w:rPr>
        <w:t>استند هذا التحقيق الجنائي النافي للجهالة إلى وثائق رسمية ومصادر قضائية وصحفية مدققة:</w:t>
      </w:r>
    </w:p>
    <w:p>
      <w:pPr>
        <w:pStyle w:val="ListBullet"/>
        <w:spacing w:after="80" w:line="276" w:lineRule="auto"/>
        <w:jc w:val="right"/>
        <w:bidi/>
      </w:pPr>
      <w:r>
        <w:rPr>
          <w:rFonts w:ascii="Cairo" w:hAnsi="Cairo"/>
          <w:b/>
          <w:color w:val="0F172A"/>
          <w:sz w:val="21"/>
          <w:rtl/>
          <w:rFonts w:ascii="Cairo" w:hAnsi="Cairo" w:cs="Cairo"/>
        </w:rPr>
        <w:t xml:space="preserve">البورصة المصرية (EGX): </w:t>
      </w:r>
      <w:r>
        <w:rPr>
          <w:rFonts w:ascii="Cairo" w:hAnsi="Cairo"/>
          <w:b w:val="0"/>
          <w:color w:val="1E293B"/>
          <w:sz w:val="21"/>
          <w:rtl/>
          <w:rFonts w:ascii="Cairo" w:hAnsi="Cairo" w:cs="Cairo"/>
        </w:rPr>
        <w:t>القوائم المالية المجمعة المدققة لمجموعة طلعت مصطفى القابضة (2021–2025 والنصف الأول 2026) — الإفصاحات الرسمية الصادرة عن المجموعة ومراقبي الحسابات المتضمنة الإيرادات، الأرباح، رصيد أوراق الدفع (&gt;15.79 مليار ج.م)، وعقود التأجير التمويلي (44 مليار ج.م).</w:t>
      </w:r>
    </w:p>
    <w:p>
      <w:pPr>
        <w:pStyle w:val="ListBullet"/>
        <w:spacing w:after="80" w:line="276" w:lineRule="auto"/>
        <w:jc w:val="right"/>
        <w:bidi/>
      </w:pPr>
      <w:r>
        <w:rPr>
          <w:rFonts w:ascii="Cairo" w:hAnsi="Cairo"/>
          <w:b/>
          <w:color w:val="0F172A"/>
          <w:sz w:val="21"/>
          <w:rtl/>
          <w:rFonts w:ascii="Cairo" w:hAnsi="Cairo" w:cs="Cairo"/>
        </w:rPr>
        <w:t xml:space="preserve">مجلس الدولة المصري: </w:t>
      </w:r>
      <w:r>
        <w:rPr>
          <w:rFonts w:ascii="Cairo" w:hAnsi="Cairo"/>
          <w:b w:val="0"/>
          <w:color w:val="1E293B"/>
          <w:sz w:val="21"/>
          <w:rtl/>
          <w:rFonts w:ascii="Cairo" w:hAnsi="Cairo" w:cs="Cairo"/>
        </w:rPr>
        <w:t>حكم المحكمة الإدارية العليا (طعن رقم 12622 لسنة 63 قضائية عليا - سبتمبر 2010) — الحكم القضائي النهائي ببطلان عقد تخصيص أرض مدينتي (8,000 فدان)، وتقنين العقد لاحقاً في 2015 بحصة عينية 7% لهيئة المجتمعات العمرانية.</w:t>
      </w:r>
    </w:p>
    <w:p>
      <w:pPr>
        <w:pStyle w:val="ListBullet"/>
        <w:spacing w:after="80" w:line="276" w:lineRule="auto"/>
        <w:jc w:val="right"/>
        <w:bidi/>
      </w:pPr>
      <w:r>
        <w:rPr>
          <w:rFonts w:ascii="Cairo" w:hAnsi="Cairo"/>
          <w:b/>
          <w:color w:val="0F172A"/>
          <w:sz w:val="21"/>
          <w:rtl/>
          <w:rFonts w:ascii="Cairo" w:hAnsi="Cairo" w:cs="Cairo"/>
        </w:rPr>
        <w:t xml:space="preserve">صحيفة المصري اليوم: </w:t>
      </w:r>
      <w:r>
        <w:rPr>
          <w:rFonts w:ascii="Cairo" w:hAnsi="Cairo"/>
          <w:b w:val="0"/>
          <w:color w:val="1E293B"/>
          <w:sz w:val="21"/>
          <w:rtl/>
          <w:rFonts w:ascii="Cairo" w:hAnsi="Cairo" w:cs="Cairo"/>
        </w:rPr>
        <w:t>تقرير صحفي استقصائي عن أزمة مقاول مدينتي (13 أكتوبر 2008) — توثيق بلاغ المقاول شحاتة محمد حسن للنائب العام ضد هشام طلعت مصطفى وإدارة مدينتي؛ واعتراف مدير شركة الإسكندرية للإنشاءات إبراهيم حسبو بأن تأخير الصرف كان مقصوداً لمنع العمال من مغادرة الموقع بعد القبض على هشام طلعت مصطفى.</w:t>
      </w:r>
    </w:p>
    <w:p>
      <w:pPr>
        <w:pStyle w:val="ListBullet"/>
        <w:spacing w:after="80" w:line="276" w:lineRule="auto"/>
        <w:jc w:val="right"/>
        <w:bidi/>
      </w:pPr>
      <w:r>
        <w:rPr>
          <w:rFonts w:ascii="Cairo" w:hAnsi="Cairo"/>
          <w:b/>
          <w:color w:val="0F172A"/>
          <w:sz w:val="21"/>
          <w:rtl/>
          <w:rFonts w:ascii="Cairo" w:hAnsi="Cairo" w:cs="Cairo"/>
        </w:rPr>
        <w:t xml:space="preserve">منصة مدى مصر: </w:t>
      </w:r>
      <w:r>
        <w:rPr>
          <w:rFonts w:ascii="Cairo" w:hAnsi="Cairo"/>
          <w:b w:val="0"/>
          <w:color w:val="1E293B"/>
          <w:sz w:val="21"/>
          <w:rtl/>
          <w:rFonts w:ascii="Cairo" w:hAnsi="Cairo" w:cs="Cairo"/>
        </w:rPr>
        <w:t>تغطية استقصائية لاحتجاجات عمال شركة الإسكندرية للإنشاءات (مارس 2024) — توثيق احتجاج أكثر من 100 موظف وعامل ضد تجميد الأجور والتسريح التعسفي وتوقف الرواتب.</w:t>
      </w:r>
    </w:p>
    <w:p>
      <w:pPr>
        <w:pStyle w:val="ListBullet"/>
        <w:spacing w:after="80" w:line="276" w:lineRule="auto"/>
        <w:jc w:val="right"/>
        <w:bidi/>
      </w:pPr>
      <w:r>
        <w:rPr>
          <w:rFonts w:ascii="Cairo" w:hAnsi="Cairo"/>
          <w:b/>
          <w:color w:val="0F172A"/>
          <w:sz w:val="21"/>
          <w:rtl/>
          <w:rFonts w:ascii="Cairo" w:hAnsi="Cairo" w:cs="Cairo"/>
        </w:rPr>
        <w:t xml:space="preserve">منصة المنصة: </w:t>
      </w:r>
      <w:r>
        <w:rPr>
          <w:rFonts w:ascii="Cairo" w:hAnsi="Cairo"/>
          <w:b w:val="0"/>
          <w:color w:val="1E293B"/>
          <w:sz w:val="21"/>
          <w:rtl/>
          <w:rFonts w:ascii="Cairo" w:hAnsi="Cairo" w:cs="Cairo"/>
        </w:rPr>
        <w:t>تغطية ميدانية لاعتصام أفراد أمن مدينتي (أغسطس 2024) — توثيق احتجاج أفراد الأمن على تدني الأجور والعمل 12-14 ساعة يومياً وسوء الإقامة.</w:t>
      </w:r>
    </w:p>
    <w:p>
      <w:pPr>
        <w:pStyle w:val="ListBullet"/>
        <w:spacing w:after="80" w:line="276" w:lineRule="auto"/>
        <w:jc w:val="right"/>
        <w:bidi/>
      </w:pPr>
      <w:r>
        <w:rPr>
          <w:rFonts w:ascii="Cairo" w:hAnsi="Cairo"/>
          <w:b/>
          <w:color w:val="0F172A"/>
          <w:sz w:val="21"/>
          <w:rtl/>
          <w:rFonts w:ascii="Cairo" w:hAnsi="Cairo" w:cs="Cairo"/>
        </w:rPr>
        <w:t xml:space="preserve">منصة المنصة: </w:t>
      </w:r>
      <w:r>
        <w:rPr>
          <w:rFonts w:ascii="Cairo" w:hAnsi="Cairo"/>
          <w:b w:val="0"/>
          <w:color w:val="1E293B"/>
          <w:sz w:val="21"/>
          <w:rtl/>
          <w:rFonts w:ascii="Cairo" w:hAnsi="Cairo" w:cs="Cairo"/>
        </w:rPr>
        <w:t>تقرير استقصائي عن مذكرة أفراد أمن مدينتي والتحقيقات الإدارية (29 أكتوبر 2025) — توثيق تقديم مذكرة رسمية لإدارة المجموعة للمطالبة بالأجر الإضافي وبدل الوجبات، وإخضاع قيادات الاحتجاج لتحقيقات إدارية.</w:t>
      </w:r>
    </w:p>
    <w:p>
      <w:pPr>
        <w:pStyle w:val="ListBullet"/>
        <w:spacing w:after="80" w:line="276" w:lineRule="auto"/>
        <w:jc w:val="right"/>
        <w:bidi/>
      </w:pPr>
      <w:r>
        <w:rPr>
          <w:rFonts w:ascii="Cairo" w:hAnsi="Cairo"/>
          <w:b/>
          <w:color w:val="0F172A"/>
          <w:sz w:val="21"/>
          <w:rtl/>
          <w:rFonts w:ascii="Cairo" w:hAnsi="Cairo" w:cs="Cairo"/>
        </w:rPr>
        <w:t xml:space="preserve">جهاز حماية المستهلك: </w:t>
      </w:r>
      <w:r>
        <w:rPr>
          <w:rFonts w:ascii="Cairo" w:hAnsi="Cairo"/>
          <w:b w:val="0"/>
          <w:color w:val="1E293B"/>
          <w:sz w:val="21"/>
          <w:rtl/>
          <w:rFonts w:ascii="Cairo" w:hAnsi="Cairo" w:cs="Cairo"/>
        </w:rPr>
        <w:t>القرارات التنظيمية لتطبيق المادة 15 من القانون رقم 181 لسنة 2018 — إعلان بطلان بنود تقاضي المطورين لنسب إعادة البيع والتنازل (5%-10%) وتجريمها قانوناً.</w:t>
      </w:r>
    </w:p>
    <w:p>
      <w:pPr>
        <w:pStyle w:val="ListBullet"/>
        <w:spacing w:after="80" w:line="276" w:lineRule="auto"/>
        <w:jc w:val="right"/>
        <w:bidi/>
      </w:pPr>
      <w:r>
        <w:rPr>
          <w:rFonts w:ascii="Cairo" w:hAnsi="Cairo"/>
          <w:b/>
          <w:color w:val="0F172A"/>
          <w:sz w:val="21"/>
          <w:rtl/>
          <w:rFonts w:ascii="Cairo" w:hAnsi="Cairo" w:cs="Cairo"/>
        </w:rPr>
        <w:t xml:space="preserve">إفصاحات شركة ADQ الإماراتية: </w:t>
      </w:r>
      <w:r>
        <w:rPr>
          <w:rFonts w:ascii="Cairo" w:hAnsi="Cairo"/>
          <w:b w:val="0"/>
          <w:color w:val="1E293B"/>
          <w:sz w:val="21"/>
          <w:rtl/>
          <w:rFonts w:ascii="Cairo" w:hAnsi="Cairo" w:cs="Cairo"/>
        </w:rPr>
        <w:t>إفصاح الاستحواذ على 40.5% من شركة آيكون (ICON) للفنادق (فبراير 2024) — الإفصاح الرسمي عن ضخ 800 مليون دولار للاستحواذ على حصة في محفظة 7 فنادق تاريخية وفنادق فورسيزونز.</w:t>
      </w:r>
    </w:p>
    <w:p>
      <w:pPr>
        <w:pStyle w:val="ListBullet"/>
        <w:spacing w:after="80" w:line="276" w:lineRule="auto"/>
        <w:jc w:val="right"/>
        <w:bidi/>
      </w:pPr>
      <w:r>
        <w:rPr>
          <w:rFonts w:ascii="Cairo" w:hAnsi="Cairo"/>
          <w:b/>
          <w:color w:val="0F172A"/>
          <w:sz w:val="21"/>
          <w:rtl/>
          <w:rFonts w:ascii="Cairo" w:hAnsi="Cairo" w:cs="Cairo"/>
        </w:rPr>
        <w:t xml:space="preserve">وزارة قطاع الأعمال العام / اليوم السابع: </w:t>
      </w:r>
      <w:r>
        <w:rPr>
          <w:rFonts w:ascii="Cairo" w:hAnsi="Cairo"/>
          <w:b w:val="0"/>
          <w:color w:val="1E293B"/>
          <w:sz w:val="21"/>
          <w:rtl/>
          <w:rFonts w:ascii="Cairo" w:hAnsi="Cairo" w:cs="Cairo"/>
        </w:rPr>
        <w:t>البروتوكول الرسمي للشراكة على أرض فورسيزونز الأقصر (إيجوث / آيكون) — إفصاح رسمي يوضح قيام شركة آيكون التابعة لمجموعة طلعت مصطفى بتنفيذ فندق فورسيزونز الأقصر على أرض مملوكة لشركة إيجوث التاريخية.</w:t>
      </w:r>
    </w:p>
    <w:p>
      <w:pPr>
        <w:pStyle w:val="ListBullet"/>
        <w:spacing w:after="80" w:line="276" w:lineRule="auto"/>
        <w:jc w:val="right"/>
        <w:bidi/>
      </w:pPr>
      <w:r>
        <w:rPr>
          <w:rFonts w:ascii="Cairo" w:hAnsi="Cairo"/>
          <w:b/>
          <w:color w:val="0F172A"/>
          <w:sz w:val="21"/>
          <w:rtl/>
          <w:rFonts w:ascii="Cairo" w:hAnsi="Cairo" w:cs="Cairo"/>
        </w:rPr>
        <w:t xml:space="preserve">إفصاح شركة أتريوم للمقاولات (Atrium Quality): </w:t>
      </w:r>
      <w:r>
        <w:rPr>
          <w:rFonts w:ascii="Cairo" w:hAnsi="Cairo"/>
          <w:b w:val="0"/>
          <w:color w:val="1E293B"/>
          <w:sz w:val="21"/>
          <w:rtl/>
          <w:rFonts w:ascii="Cairo" w:hAnsi="Cairo" w:cs="Cairo"/>
        </w:rPr>
        <w:t>الإعلان الرسمي عن الفوز بعقد المقاول العام لفندق فورسيزونز الأقصر — تأكيد الشركة التعاقد كمقاول رئيسي لتنفيذ الإنشاءات والأعمال المتكاملة للمشروع الفندقي بالأقصر.</w:t>
      </w:r>
    </w:p>
    <w:p>
      <w:pPr>
        <w:pStyle w:val="ListBullet"/>
        <w:spacing w:after="80" w:line="276" w:lineRule="auto"/>
        <w:jc w:val="right"/>
        <w:bidi/>
      </w:pPr>
      <w:r>
        <w:rPr>
          <w:rFonts w:ascii="Cairo" w:hAnsi="Cairo"/>
          <w:b/>
          <w:color w:val="0F172A"/>
          <w:sz w:val="21"/>
          <w:rtl/>
          <w:rFonts w:ascii="Cairo" w:hAnsi="Cairo" w:cs="Cairo"/>
        </w:rPr>
        <w:t xml:space="preserve">الموقع الرسمي لفنادق فورسيزونز (Four Seasons): </w:t>
      </w:r>
      <w:r>
        <w:rPr>
          <w:rFonts w:ascii="Cairo" w:hAnsi="Cairo"/>
          <w:b w:val="0"/>
          <w:color w:val="1E293B"/>
          <w:sz w:val="21"/>
          <w:rtl/>
          <w:rFonts w:ascii="Cairo" w:hAnsi="Cairo" w:cs="Cairo"/>
        </w:rPr>
        <w:t>دليل المشروعات وجدول الافتتاحات الفندقية الرسمية المحدثة — تحديد الموعد الرسمي لافتتاح فندق فورسيزونز الأقصر في عام 2027 بعد أن كان مستهدفاً في 2026 وفق تقرير نتائج النصف الأول 2025 لمجموعة طلعت مصطفى.</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