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20"/>
        <w:jc w:val="center"/>
        <w:bidi w:val="1"/>
      </w:pPr>
      <w:r>
        <w:rPr>
          <w:rFonts w:ascii="Arial" w:hAnsi="Arial" w:eastAsia="Arial" w:cs="Arial"/>
          <w:b/>
          <w:i w:val="0"/>
          <w:color w:val="17365D"/>
          <w:sz w:val="54"/>
        </w:rPr>
        <w:t>تقرير مخاطر الشركات والعناية الواجبة</w:t>
      </w:r>
    </w:p>
    <w:p>
      <w:pPr>
        <w:spacing w:after="160"/>
        <w:jc w:val="center"/>
        <w:bidi w:val="1"/>
      </w:pPr>
      <w:r>
        <w:rPr>
          <w:rFonts w:ascii="Arial" w:hAnsi="Arial" w:eastAsia="Arial" w:cs="Arial"/>
          <w:b/>
          <w:i w:val="0"/>
          <w:color w:val="0F6B78"/>
          <w:sz w:val="38"/>
        </w:rPr>
        <w:t>مجموعة طلعت مصطفى القابضة (TMG Holding)</w:t>
      </w:r>
    </w:p>
    <w:p>
      <w:pPr>
        <w:spacing w:after="360"/>
        <w:jc w:val="center"/>
        <w:bidi w:val="1"/>
      </w:pPr>
      <w:r>
        <w:rPr>
          <w:rFonts w:ascii="Arial" w:hAnsi="Arial" w:eastAsia="Arial" w:cs="Arial"/>
          <w:b w:val="0"/>
          <w:i w:val="0"/>
          <w:color w:val="5B6573"/>
          <w:sz w:val="26"/>
        </w:rPr>
        <w:t>تحليل مالي وتشغيلي وقانوني وسمعة السوق العقاري في مصر</w:t>
      </w:r>
    </w:p>
    <w:tbl>
      <w:tblPr>
        <w:tblStyle w:val="TableGrid"/>
        <w:tblW w:type="auto" w:w="0"/>
        <w:jc w:val="center"/>
        <w:tblLayout w:type="fixed"/>
        <w:tblLook w:firstColumn="1" w:firstRow="1" w:lastColumn="0" w:lastRow="0" w:noHBand="0" w:noVBand="1" w:val="04A0"/>
        <w:bidiVisual w:val="1"/>
      </w:tblPr>
      <w:tblGrid>
        <w:gridCol w:w="4917"/>
        <w:gridCol w:w="4917"/>
      </w:tblGrid>
      <w:tr>
        <w:tc>
          <w:tcPr>
            <w:tcW w:type="dxa" w:w="4536"/>
            <w:vAlign w:val="center"/>
            <w:shd w:fill="DCE6F1"/>
          </w:tcPr>
          <w:p>
            <w:pPr>
              <w:spacing w:after="40" w:before="40"/>
              <w:jc w:val="right"/>
              <w:bidi w:val="1"/>
            </w:pPr>
            <w:r/>
            <w:r>
              <w:rPr>
                <w:rFonts w:ascii="Arial" w:hAnsi="Arial" w:eastAsia="Arial" w:cs="Arial"/>
                <w:b/>
                <w:i w:val="0"/>
                <w:color w:val="17365D"/>
                <w:sz w:val="20"/>
              </w:rPr>
              <w:t>تاريخ قطع المعلومات</w:t>
            </w:r>
          </w:p>
        </w:tc>
        <w:tc>
          <w:tcPr>
            <w:tcW w:type="dxa" w:w="4536"/>
            <w:vAlign w:val="center"/>
          </w:tcPr>
          <w:p>
            <w:pPr>
              <w:spacing w:after="40" w:before="40"/>
              <w:jc w:val="right"/>
              <w:bidi w:val="1"/>
            </w:pPr>
            <w:r/>
            <w:r>
              <w:rPr>
                <w:rFonts w:ascii="Arial" w:hAnsi="Arial" w:eastAsia="Arial" w:cs="Arial"/>
                <w:b w:val="0"/>
                <w:i w:val="0"/>
                <w:sz w:val="20"/>
              </w:rPr>
              <w:t>11 أكتوبر 2026</w:t>
            </w:r>
          </w:p>
        </w:tc>
      </w:tr>
      <w:tr>
        <w:tc>
          <w:tcPr>
            <w:tcW w:type="dxa" w:w="4536"/>
            <w:vAlign w:val="center"/>
            <w:shd w:fill="DCE6F1"/>
          </w:tcPr>
          <w:p>
            <w:pPr>
              <w:spacing w:after="40" w:before="40"/>
              <w:jc w:val="right"/>
              <w:bidi w:val="1"/>
            </w:pPr>
            <w:r/>
            <w:r>
              <w:rPr>
                <w:rFonts w:ascii="Arial" w:hAnsi="Arial" w:eastAsia="Arial" w:cs="Arial"/>
                <w:b/>
                <w:i w:val="0"/>
                <w:color w:val="17365D"/>
                <w:sz w:val="20"/>
              </w:rPr>
              <w:t>أحدث فترة مالية رئيسية</w:t>
            </w:r>
          </w:p>
        </w:tc>
        <w:tc>
          <w:tcPr>
            <w:tcW w:type="dxa" w:w="4536"/>
            <w:vAlign w:val="center"/>
          </w:tcPr>
          <w:p>
            <w:pPr>
              <w:spacing w:after="40" w:before="40"/>
              <w:jc w:val="right"/>
              <w:bidi w:val="1"/>
            </w:pPr>
            <w:r/>
            <w:r>
              <w:rPr>
                <w:rFonts w:ascii="Arial" w:hAnsi="Arial" w:eastAsia="Arial" w:cs="Arial"/>
                <w:b w:val="0"/>
                <w:i w:val="0"/>
                <w:sz w:val="20"/>
              </w:rPr>
              <w:t>القوائم المرحلية حتى 30 يونيو 2026</w:t>
            </w:r>
          </w:p>
        </w:tc>
      </w:tr>
      <w:tr>
        <w:tc>
          <w:tcPr>
            <w:tcW w:type="dxa" w:w="4536"/>
            <w:vAlign w:val="center"/>
            <w:shd w:fill="DCE6F1"/>
          </w:tcPr>
          <w:p>
            <w:pPr>
              <w:spacing w:after="40" w:before="40"/>
              <w:jc w:val="right"/>
              <w:bidi w:val="1"/>
            </w:pPr>
            <w:r/>
            <w:r>
              <w:rPr>
                <w:rFonts w:ascii="Arial" w:hAnsi="Arial" w:eastAsia="Arial" w:cs="Arial"/>
                <w:b/>
                <w:i w:val="0"/>
                <w:color w:val="17365D"/>
                <w:sz w:val="20"/>
              </w:rPr>
              <w:t>النطاق</w:t>
            </w:r>
          </w:p>
        </w:tc>
        <w:tc>
          <w:tcPr>
            <w:tcW w:type="dxa" w:w="4536"/>
            <w:vAlign w:val="center"/>
          </w:tcPr>
          <w:p>
            <w:pPr>
              <w:spacing w:after="40" w:before="40"/>
              <w:jc w:val="right"/>
              <w:bidi w:val="1"/>
            </w:pPr>
            <w:r/>
            <w:r>
              <w:rPr>
                <w:rFonts w:ascii="Arial" w:hAnsi="Arial" w:eastAsia="Arial" w:cs="Arial"/>
                <w:b w:val="0"/>
                <w:i w:val="0"/>
                <w:sz w:val="20"/>
              </w:rPr>
              <w:t>الشركة، المشروعات، السيولة، التمويل، السوق، الحوكمة، السمعة</w:t>
            </w:r>
          </w:p>
        </w:tc>
      </w:tr>
      <w:tr>
        <w:tc>
          <w:tcPr>
            <w:tcW w:type="dxa" w:w="4536"/>
            <w:vAlign w:val="center"/>
            <w:shd w:fill="DCE6F1"/>
          </w:tcPr>
          <w:p>
            <w:pPr>
              <w:spacing w:after="40" w:before="40"/>
              <w:jc w:val="right"/>
              <w:bidi w:val="1"/>
            </w:pPr>
            <w:r/>
            <w:r>
              <w:rPr>
                <w:rFonts w:ascii="Arial" w:hAnsi="Arial" w:eastAsia="Arial" w:cs="Arial"/>
                <w:b/>
                <w:i w:val="0"/>
                <w:color w:val="17365D"/>
                <w:sz w:val="20"/>
              </w:rPr>
              <w:t>العملة</w:t>
            </w:r>
          </w:p>
        </w:tc>
        <w:tc>
          <w:tcPr>
            <w:tcW w:type="dxa" w:w="4536"/>
            <w:vAlign w:val="center"/>
          </w:tcPr>
          <w:p>
            <w:pPr>
              <w:spacing w:after="40" w:before="40"/>
              <w:jc w:val="right"/>
              <w:bidi w:val="1"/>
            </w:pPr>
            <w:r/>
            <w:r>
              <w:rPr>
                <w:rFonts w:ascii="Arial" w:hAnsi="Arial" w:eastAsia="Arial" w:cs="Arial"/>
                <w:b w:val="0"/>
                <w:i w:val="0"/>
                <w:sz w:val="20"/>
              </w:rPr>
              <w:t>الجنيه المصري (EGP)</w:t>
            </w:r>
          </w:p>
        </w:tc>
      </w:tr>
    </w:tbl>
    <w:p>
      <w:pPr>
        <w:spacing w:before="640" w:after="200"/>
        <w:jc w:val="center"/>
        <w:bidi w:val="1"/>
      </w:pPr>
      <w:r>
        <w:rPr>
          <w:rFonts w:ascii="Arial" w:hAnsi="Arial" w:eastAsia="Arial" w:cs="Arial"/>
          <w:b w:val="0"/>
          <w:i w:val="0"/>
          <w:color w:val="5B6573"/>
          <w:sz w:val="20"/>
        </w:rPr>
        <w:t>إعداد تحليلي مستقل بالاعتماد على الإفصاحات الرسمية والمصادر الصحفية والتنظيمية المتاحة علناً</w:t>
      </w:r>
    </w:p>
    <w:p>
      <w:pPr>
        <w:spacing w:before="480"/>
        <w:jc w:val="center"/>
        <w:bidi w:val="1"/>
      </w:pPr>
      <w:r>
        <w:rPr>
          <w:rFonts w:ascii="Arial" w:hAnsi="Arial" w:eastAsia="Arial" w:cs="Arial"/>
          <w:b/>
          <w:i w:val="0"/>
          <w:color w:val="A52A2A"/>
          <w:sz w:val="20"/>
        </w:rPr>
        <w:t>مهم: هذا التقرير لا يُعد تدقيقاً مالياً أو رأياً قانونياً أو توصية استثمارية.</w:t>
      </w:r>
    </w:p>
    <w:p>
      <w:r>
        <w:br w:type="page"/>
      </w:r>
    </w:p>
    <w:p>
      <w:pPr>
        <w:spacing w:before="240" w:after="100"/>
        <w:jc w:val="right"/>
        <w:keepNext/>
        <w:bidi w:val="1"/>
        <w:outlineLvl w:val="0"/>
      </w:pPr>
      <w:r>
        <w:rPr>
          <w:rFonts w:ascii="Arial" w:hAnsi="Arial" w:eastAsia="Arial" w:cs="Arial"/>
          <w:b/>
          <w:i w:val="0"/>
          <w:color w:val="17365D"/>
          <w:sz w:val="34"/>
        </w:rPr>
        <w:t>ملاحظة النطاق ومنهجية التقييم</w:t>
      </w:r>
    </w:p>
    <w:p>
      <w:pPr>
        <w:spacing w:after="60" w:before="0" w:line="259" w:lineRule="auto"/>
        <w:jc w:val="right"/>
        <w:keepLines/>
        <w:bidi w:val="1"/>
      </w:pPr>
      <w:r>
        <w:rPr>
          <w:rFonts w:ascii="Arial" w:hAnsi="Arial" w:eastAsia="Arial" w:cs="Arial"/>
          <w:b w:val="0"/>
          <w:i w:val="0"/>
          <w:sz w:val="20"/>
        </w:rPr>
        <w:t>هذا التقرير تقييم قائم على مصادر عامة، وليس تدقيقاً مالياً أو توصية استثمارية أو رأياً قانونياً أو تصنيفاً ائتمانياً أو ضماناً لأي معاملة عقارية. يجري الفصل بين الأرقام التي أعلنتها الشركة، والتغطية المستقلة، والادعاءات المنقولة، والاستنتاجات التحليلية. وينبغي إعادة التحقق من المعلومات قبل اتخاذ قرار شراء أو استثمار جوهري.</w:t>
      </w:r>
    </w:p>
    <w:p>
      <w:pPr>
        <w:spacing w:before="140" w:after="100"/>
        <w:jc w:val="right"/>
        <w:keepNext/>
        <w:bidi w:val="1"/>
        <w:outlineLvl w:val="1"/>
      </w:pPr>
      <w:r>
        <w:rPr>
          <w:rFonts w:ascii="Arial" w:hAnsi="Arial" w:eastAsia="Arial" w:cs="Arial"/>
          <w:b/>
          <w:i w:val="0"/>
          <w:color w:val="17365D"/>
          <w:sz w:val="26"/>
        </w:rPr>
        <w:t>معيار الأدلة المستخدم</w:t>
      </w:r>
    </w:p>
    <w:p>
      <w:pPr>
        <w:spacing w:after="60" w:line="259" w:lineRule="auto"/>
        <w:ind w:left="144" w:right="216" w:hanging="72"/>
        <w:jc w:val="right"/>
        <w:bidi w:val="1"/>
      </w:pPr>
      <w:r>
        <w:rPr>
          <w:rFonts w:ascii="Arial" w:hAnsi="Arial" w:eastAsia="Arial" w:cs="Arial"/>
          <w:b w:val="0"/>
          <w:i w:val="0"/>
          <w:sz w:val="20"/>
        </w:rPr>
        <w:t>•  إفصاحات الشركة: الأرقام والوصف التشغيلي المنشوران من TMG؛ وبيانات 2025 صادرة عن الشركة، بينما بيانات يونيو 2026 قوائم مالية مرحلية موحدة. ولا يغني ذلك عن إعادة فحص الحسابات بصورة مستقلة. [S2، S3]</w:t>
      </w:r>
    </w:p>
    <w:p>
      <w:pPr>
        <w:spacing w:after="60" w:line="259" w:lineRule="auto"/>
        <w:ind w:left="144" w:right="216" w:hanging="72"/>
        <w:jc w:val="right"/>
        <w:bidi w:val="1"/>
      </w:pPr>
      <w:r>
        <w:rPr>
          <w:rFonts w:ascii="Arial" w:hAnsi="Arial" w:eastAsia="Arial" w:cs="Arial"/>
          <w:b w:val="0"/>
          <w:i w:val="0"/>
          <w:sz w:val="20"/>
        </w:rPr>
        <w:t>•  التغطية المستقلة: تُستخدم لفهم السياق والنزاعات وتجارب أصحاب المصلحة. ولا تُعامل التقارير عن الادعاءات باعتبارها أحكاماً قضائية إلا إذا استندت إلى حكم أو قرار رسمي. [S11، S13، S14]</w:t>
      </w:r>
    </w:p>
    <w:p>
      <w:pPr>
        <w:spacing w:after="60" w:line="259" w:lineRule="auto"/>
        <w:ind w:left="144" w:right="216" w:hanging="72"/>
        <w:jc w:val="right"/>
        <w:bidi w:val="1"/>
      </w:pPr>
      <w:r>
        <w:rPr>
          <w:rFonts w:ascii="Arial" w:hAnsi="Arial" w:eastAsia="Arial" w:cs="Arial"/>
          <w:b w:val="0"/>
          <w:i w:val="0"/>
          <w:sz w:val="20"/>
        </w:rPr>
        <w:t>•  الآراء الفردية: قد تقترح مراجعات الإنترنت وبوابات العقارات مسائل تستحق الفحص، لكن عيناتها ذاتية الاختيار ولا تمثل جميع العملاء أو العاملين. [S17، S20]</w:t>
      </w:r>
    </w:p>
    <w:p>
      <w:pPr>
        <w:spacing w:after="60" w:line="259" w:lineRule="auto"/>
        <w:ind w:left="144" w:right="216" w:hanging="72"/>
        <w:jc w:val="right"/>
        <w:bidi w:val="1"/>
      </w:pPr>
      <w:r>
        <w:rPr>
          <w:rFonts w:ascii="Arial" w:hAnsi="Arial" w:eastAsia="Arial" w:cs="Arial"/>
          <w:b w:val="0"/>
          <w:i w:val="0"/>
          <w:sz w:val="20"/>
        </w:rPr>
        <w:t>•  الأحكام التحليلية: تصنيفات المخاطر نوعية وتجمع بين احتمالية الحدوث والأثر المحتمل، وليست احتمالات إحصائية مُعايرة.</w:t>
      </w:r>
    </w:p>
    <w:p>
      <w:pPr>
        <w:spacing w:after="60" w:line="259" w:lineRule="auto"/>
        <w:ind w:left="144" w:right="216" w:hanging="72"/>
        <w:jc w:val="right"/>
        <w:bidi w:val="1"/>
      </w:pPr>
      <w:r>
        <w:rPr>
          <w:rFonts w:ascii="Arial" w:hAnsi="Arial" w:eastAsia="Arial" w:cs="Arial"/>
          <w:b w:val="0"/>
          <w:i w:val="0"/>
          <w:sz w:val="20"/>
        </w:rPr>
        <w:t>•  قيود البحث: لا يتضمن العمل سجلات داخلية سرية، أو بحث تقاضٍ مصدقاً شاملاً، أو تدقيقاً هندسياً لكل مشروع، أو قاعدة كاملة لشكاوى العملاء، أو فحص ملكية خاصاً بعقار محدد. وعدم العثور على واقعة منشورة لا يثبت عدم وجودها.</w:t>
      </w:r>
    </w:p>
    <w:p>
      <w:pPr>
        <w:spacing w:before="140" w:after="100"/>
        <w:jc w:val="right"/>
        <w:keepNext/>
        <w:bidi w:val="1"/>
        <w:outlineLvl w:val="1"/>
      </w:pPr>
      <w:r>
        <w:rPr>
          <w:rFonts w:ascii="Arial" w:hAnsi="Arial" w:eastAsia="Arial" w:cs="Arial"/>
          <w:b/>
          <w:i w:val="0"/>
          <w:color w:val="17365D"/>
          <w:sz w:val="26"/>
        </w:rPr>
        <w:t>المحتويات</w:t>
      </w:r>
    </w:p>
    <w:p>
      <w:pPr>
        <w:spacing w:after="60" w:line="259" w:lineRule="auto"/>
        <w:ind w:left="144" w:right="216" w:hanging="72"/>
        <w:jc w:val="right"/>
        <w:bidi w:val="1"/>
      </w:pPr>
      <w:r>
        <w:rPr>
          <w:rFonts w:ascii="Arial" w:hAnsi="Arial" w:eastAsia="Arial" w:cs="Arial"/>
          <w:b w:val="0"/>
          <w:i w:val="0"/>
          <w:sz w:val="20"/>
        </w:rPr>
        <w:t>•  1. الملخص التنفيذي والتقييم العام</w:t>
      </w:r>
    </w:p>
    <w:p>
      <w:pPr>
        <w:spacing w:after="60" w:line="259" w:lineRule="auto"/>
        <w:ind w:left="144" w:right="216" w:hanging="72"/>
        <w:jc w:val="right"/>
        <w:bidi w:val="1"/>
      </w:pPr>
      <w:r>
        <w:rPr>
          <w:rFonts w:ascii="Arial" w:hAnsi="Arial" w:eastAsia="Arial" w:cs="Arial"/>
          <w:b w:val="0"/>
          <w:i w:val="0"/>
          <w:sz w:val="20"/>
        </w:rPr>
        <w:t>•  2. نبذة عن الشركة والملكية والشركات التابعة والمشروعات</w:t>
      </w:r>
    </w:p>
    <w:p>
      <w:pPr>
        <w:spacing w:after="60" w:line="259" w:lineRule="auto"/>
        <w:ind w:left="144" w:right="216" w:hanging="72"/>
        <w:jc w:val="right"/>
        <w:bidi w:val="1"/>
      </w:pPr>
      <w:r>
        <w:rPr>
          <w:rFonts w:ascii="Arial" w:hAnsi="Arial" w:eastAsia="Arial" w:cs="Arial"/>
          <w:b w:val="0"/>
          <w:i w:val="0"/>
          <w:sz w:val="20"/>
        </w:rPr>
        <w:t>•  3. التحليل المالي والتشغيلي: نتائج 2025 والنصف الأول من 2026 والسيولة والديون والتدفقات النقدية</w:t>
      </w:r>
    </w:p>
    <w:p>
      <w:pPr>
        <w:spacing w:after="60" w:line="259" w:lineRule="auto"/>
        <w:ind w:left="144" w:right="216" w:hanging="72"/>
        <w:jc w:val="right"/>
        <w:bidi w:val="1"/>
      </w:pPr>
      <w:r>
        <w:rPr>
          <w:rFonts w:ascii="Arial" w:hAnsi="Arial" w:eastAsia="Arial" w:cs="Arial"/>
          <w:b w:val="0"/>
          <w:i w:val="0"/>
          <w:sz w:val="20"/>
        </w:rPr>
        <w:t>•  4. الآراء الإيجابية والسلبية وشكاوى العملاء والعاملين</w:t>
      </w:r>
    </w:p>
    <w:p>
      <w:pPr>
        <w:spacing w:after="60" w:line="259" w:lineRule="auto"/>
        <w:ind w:left="144" w:right="216" w:hanging="72"/>
        <w:jc w:val="right"/>
        <w:bidi w:val="1"/>
      </w:pPr>
      <w:r>
        <w:rPr>
          <w:rFonts w:ascii="Arial" w:hAnsi="Arial" w:eastAsia="Arial" w:cs="Arial"/>
          <w:b w:val="0"/>
          <w:i w:val="0"/>
          <w:sz w:val="20"/>
        </w:rPr>
        <w:t>•  5. المراجعة القانونية والتنظيمية والسمعة والحوكمة</w:t>
      </w:r>
    </w:p>
    <w:p>
      <w:pPr>
        <w:spacing w:after="60" w:line="259" w:lineRule="auto"/>
        <w:ind w:left="144" w:right="216" w:hanging="72"/>
        <w:jc w:val="right"/>
        <w:bidi w:val="1"/>
      </w:pPr>
      <w:r>
        <w:rPr>
          <w:rFonts w:ascii="Arial" w:hAnsi="Arial" w:eastAsia="Arial" w:cs="Arial"/>
          <w:b w:val="0"/>
          <w:i w:val="0"/>
          <w:sz w:val="20"/>
        </w:rPr>
        <w:t>•  6. سجل المخاطر ومؤشرات الإنذار والتخفيف</w:t>
      </w:r>
    </w:p>
    <w:p>
      <w:pPr>
        <w:spacing w:after="60" w:line="259" w:lineRule="auto"/>
        <w:ind w:left="144" w:right="216" w:hanging="72"/>
        <w:jc w:val="right"/>
        <w:bidi w:val="1"/>
      </w:pPr>
      <w:r>
        <w:rPr>
          <w:rFonts w:ascii="Arial" w:hAnsi="Arial" w:eastAsia="Arial" w:cs="Arial"/>
          <w:b w:val="0"/>
          <w:i w:val="0"/>
          <w:sz w:val="20"/>
        </w:rPr>
        <w:t>•  7. تحليل SWOT: نقاط القوة والضعف والفرص والتهديدات</w:t>
      </w:r>
    </w:p>
    <w:p>
      <w:pPr>
        <w:spacing w:after="60" w:line="259" w:lineRule="auto"/>
        <w:ind w:left="144" w:right="216" w:hanging="72"/>
        <w:jc w:val="right"/>
        <w:bidi w:val="1"/>
      </w:pPr>
      <w:r>
        <w:rPr>
          <w:rFonts w:ascii="Arial" w:hAnsi="Arial" w:eastAsia="Arial" w:cs="Arial"/>
          <w:b w:val="0"/>
          <w:i w:val="0"/>
          <w:sz w:val="20"/>
        </w:rPr>
        <w:t>•  8. استنتاجات موجهة للمشترين والملاك والمستثمرين</w:t>
      </w:r>
    </w:p>
    <w:p>
      <w:pPr>
        <w:spacing w:after="60" w:line="259" w:lineRule="auto"/>
        <w:ind w:left="144" w:right="216" w:hanging="72"/>
        <w:jc w:val="right"/>
        <w:bidi w:val="1"/>
      </w:pPr>
      <w:r>
        <w:rPr>
          <w:rFonts w:ascii="Arial" w:hAnsi="Arial" w:eastAsia="Arial" w:cs="Arial"/>
          <w:b w:val="0"/>
          <w:i w:val="0"/>
          <w:sz w:val="20"/>
        </w:rPr>
        <w:t>•  9. المسائل المفتوحة والفحوص اللازمة</w:t>
      </w:r>
    </w:p>
    <w:p>
      <w:pPr>
        <w:spacing w:after="60" w:line="259" w:lineRule="auto"/>
        <w:ind w:left="144" w:right="216" w:hanging="72"/>
        <w:jc w:val="right"/>
        <w:bidi w:val="1"/>
      </w:pPr>
      <w:r>
        <w:rPr>
          <w:rFonts w:ascii="Arial" w:hAnsi="Arial" w:eastAsia="Arial" w:cs="Arial"/>
          <w:b w:val="0"/>
          <w:i w:val="0"/>
          <w:sz w:val="20"/>
        </w:rPr>
        <w:t>•  10. سجل المصادر المباشرة</w:t>
      </w:r>
    </w:p>
    <w:p>
      <w:pPr>
        <w:spacing w:before="240" w:after="100"/>
        <w:jc w:val="right"/>
        <w:keepNext/>
        <w:bidi w:val="1"/>
        <w:outlineLvl w:val="0"/>
      </w:pPr>
      <w:r>
        <w:rPr>
          <w:rFonts w:ascii="Arial" w:hAnsi="Arial" w:eastAsia="Arial" w:cs="Arial"/>
          <w:b/>
          <w:i w:val="0"/>
          <w:color w:val="17365D"/>
          <w:sz w:val="34"/>
        </w:rPr>
        <w:t>1. الملخص التنفيذي</w:t>
      </w:r>
    </w:p>
    <w:p>
      <w:pPr>
        <w:spacing w:after="60" w:before="0" w:line="259" w:lineRule="auto"/>
        <w:jc w:val="right"/>
        <w:keepLines/>
        <w:bidi w:val="1"/>
      </w:pPr>
      <w:r>
        <w:rPr>
          <w:rFonts w:ascii="Arial" w:hAnsi="Arial" w:eastAsia="Arial" w:cs="Arial"/>
          <w:b w:val="0"/>
          <w:i w:val="0"/>
          <w:sz w:val="20"/>
        </w:rPr>
        <w:t>تُعد مجموعة طلعت مصطفى القابضة من المجموعات المصرية الكبرى في التطوير العقاري والسياحة، ولديها مجتمعات عمرانية متكاملة وأصول فندقية ومحفظة مشروعات كبيرة. تشير الإفصاحات المالية حتى 30 يونيو 2026 إلى حجم أعمال كبير، وربحية مُعلنة إيجابية، وموارد سائلة معتبرة. ولا تدعم الأدلة المتاحة استنتاج أن المجموعة كانت في ضائقة مالية فورية عند تاريخ قطع البحث. وتتركز المخاطر الأهم في تنفيذ المشروعات، وتحويل الأرباح إلى نقد، وقدرة العملاء على السداد، والتزامات التمويل، وشفافية تخصيص الأراضي، وإدارة السمعة. [S2، S3، S4]</w:t>
      </w:r>
    </w:p>
    <w:p>
      <w:pPr>
        <w:spacing w:after="60" w:before="0" w:line="259" w:lineRule="auto"/>
        <w:jc w:val="right"/>
        <w:keepLines/>
        <w:bidi w:val="1"/>
      </w:pPr>
      <w:r>
        <w:rPr>
          <w:rFonts w:ascii="Arial" w:hAnsi="Arial" w:eastAsia="Arial" w:cs="Arial"/>
          <w:b w:val="0"/>
          <w:i w:val="0"/>
          <w:sz w:val="20"/>
        </w:rPr>
        <w:t>التباين الأهم هو نمو الإيرادات والأرباح المعترف بها مقابل تراجع المبيعات التعاقدية الجديدة. فقد انخفضت المبيعات التعاقدية من 504.0 مليار جنيه في 2024 إلى 382.2 مليار جنيه في 2025، أي بنحو 24%. وتقول الشركة إن عام 2024 استفاد من طلب استثنائي بعد إطلاق مشروع SouthMED؛ لذلك فإن الانخفاض مؤشر يستحق المتابعة، لكنه لا يثبت وحده وجود تراجع هيكلي في الطلب. [S2]</w:t>
      </w:r>
    </w:p>
    <w:p>
      <w:pPr>
        <w:spacing w:before="140" w:after="100"/>
        <w:jc w:val="right"/>
        <w:keepNext/>
        <w:bidi w:val="1"/>
        <w:outlineLvl w:val="1"/>
      </w:pPr>
      <w:r>
        <w:rPr>
          <w:rFonts w:ascii="Arial" w:hAnsi="Arial" w:eastAsia="Arial" w:cs="Arial"/>
          <w:b/>
          <w:i w:val="0"/>
          <w:color w:val="17365D"/>
          <w:sz w:val="26"/>
        </w:rPr>
        <w:t>أهم المؤشرات</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3096"/>
            <w:vAlign w:val="center"/>
            <w:shd w:fill="17365D"/>
          </w:tcPr>
          <w:p>
            <w:pPr>
              <w:spacing w:after="40" w:before="40"/>
              <w:jc w:val="right"/>
              <w:bidi w:val="1"/>
            </w:pPr>
            <w:r/>
            <w:r>
              <w:rPr>
                <w:rFonts w:ascii="Arial" w:hAnsi="Arial" w:eastAsia="Arial" w:cs="Arial"/>
                <w:b/>
                <w:i w:val="0"/>
                <w:color w:val="FFFFFF"/>
                <w:sz w:val="17"/>
              </w:rPr>
              <w:t>المؤشر</w:t>
            </w:r>
          </w:p>
        </w:tc>
        <w:tc>
          <w:tcPr>
            <w:tcW w:type="dxa" w:w="2880"/>
            <w:vAlign w:val="center"/>
            <w:shd w:fill="17365D"/>
          </w:tcPr>
          <w:p>
            <w:pPr>
              <w:spacing w:after="40" w:before="40"/>
              <w:jc w:val="right"/>
              <w:bidi w:val="1"/>
            </w:pPr>
            <w:r/>
            <w:r>
              <w:rPr>
                <w:rFonts w:ascii="Arial" w:hAnsi="Arial" w:eastAsia="Arial" w:cs="Arial"/>
                <w:b/>
                <w:i w:val="0"/>
                <w:color w:val="FFFFFF"/>
                <w:sz w:val="17"/>
              </w:rPr>
              <w:t>القيمة المعلنة</w:t>
            </w:r>
          </w:p>
        </w:tc>
        <w:tc>
          <w:tcPr>
            <w:tcW w:type="dxa" w:w="4464"/>
            <w:vAlign w:val="center"/>
            <w:shd w:fill="17365D"/>
          </w:tcPr>
          <w:p>
            <w:pPr>
              <w:spacing w:after="40" w:before="40"/>
              <w:jc w:val="right"/>
              <w:bidi w:val="1"/>
            </w:pPr>
            <w:r/>
            <w:r>
              <w:rPr>
                <w:rFonts w:ascii="Arial" w:hAnsi="Arial" w:eastAsia="Arial" w:cs="Arial"/>
                <w:b/>
                <w:i w:val="0"/>
                <w:color w:val="FFFFFF"/>
                <w:sz w:val="17"/>
              </w:rPr>
              <w:t>الدلالة المختصرة</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إيرادات 2025</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62.5 مليار جنيه؛ نمو 46%</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نمو سنوي قوي بحسب إفصاح الشركة.</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صافي ربح 2025</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18.2 مليار جنيه؛ نمو 43%</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ربحية قوية مع ضرورة فحص مكونات الأرباح.</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النقد وما يعادله في 30 يونيو 2026</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47.1 مليار جنيه</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مخزون نقدي كبير، لكنه ليس وحده مقياس صافي الدين.</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النقد والأصول المالية الجارية المحددة</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نحو 66.4 مليار جنيه</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يشمل النقد والودائع الزمنية الجارية وأصولاً مالية ذات صلة؛ التوافر الفعلي يخضع للشروط.</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تسهيلات وقروض بنكية</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16.5 مليار جنيه</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ارتفعت من 11.8 مليار جنيه في نهاية 2025.</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أوراق التزامات الإيجار التمويلي</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44.0 مليار جنيه تقريباً</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مرتبطة بمعاملات البيع وإعادة الاستئجار.</w:t>
            </w:r>
          </w:p>
        </w:tc>
      </w:tr>
      <w:tr>
        <w:trPr>
          <w:cantSplit/>
        </w:trPr>
        <w:tc>
          <w:tcPr>
            <w:tcW w:type="dxa" w:w="309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التدفق النقدي التشغيلي — النصف الأول 2026</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3.11 مليار جنيه</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أقل من الربح الموحد البالغ 9.95 مليار جنيه.</w:t>
            </w:r>
          </w:p>
        </w:tc>
      </w:tr>
      <w:tr>
        <w:trPr>
          <w:cantSplit/>
        </w:trPr>
        <w:tc>
          <w:tcPr>
            <w:tcW w:type="dxa" w:w="309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رصيد المبيعات العقارية المتعاقد عليها وغير المعترف بها بعد (Backlog)</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441.2 مليار جنيه في نهاية 2025</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يعزز وضوح الإيراد المستقبلي المحتمل، لكنه ليس نقداً محصلاً ولا ضماناً للتسليم.</w:t>
            </w:r>
          </w:p>
        </w:tc>
      </w:tr>
    </w:tbl>
    <w:p>
      <w:pPr>
        <w:spacing w:after="20"/>
      </w:pPr>
    </w:p>
    <w:p>
      <w:pPr>
        <w:spacing w:before="140" w:after="100"/>
        <w:jc w:val="right"/>
        <w:keepNext/>
        <w:bidi w:val="1"/>
        <w:outlineLvl w:val="1"/>
      </w:pPr>
      <w:r>
        <w:rPr>
          <w:rFonts w:ascii="Arial" w:hAnsi="Arial" w:eastAsia="Arial" w:cs="Arial"/>
          <w:b/>
          <w:i w:val="0"/>
          <w:color w:val="17365D"/>
          <w:sz w:val="26"/>
        </w:rPr>
        <w:t>التقييم العام</w:t>
      </w:r>
    </w:p>
    <w:p>
      <w:pPr>
        <w:spacing w:after="60" w:before="0" w:line="259" w:lineRule="auto"/>
        <w:jc w:val="right"/>
        <w:keepLines/>
        <w:bidi w:val="1"/>
      </w:pPr>
      <w:r>
        <w:rPr>
          <w:rFonts w:ascii="Arial" w:hAnsi="Arial" w:eastAsia="Arial" w:cs="Arial"/>
          <w:b w:val="0"/>
          <w:i w:val="0"/>
          <w:sz w:val="20"/>
        </w:rPr>
        <w:t>التقييم الإجمالي: مركز مالي كبير وزخم مالي مُعلن إيجابي، مع تعرض مرتفع نسبياً لمخاطر تنفيذ البناء وتكاليف التمويل وتحويل المبيعات إلى نقد والرقابة على الحوكمة. لم تُصنّف أي مخاطر بأنها «حرجة» في هذا التقرير لأن الأدلة المتاحة لا تثبت إعساراً وشيكاً أو حظراً حالياً للنشاط أو بطلان حقوق المشروعات الرئيسية الحالية. ولا يعني ذلك ضمان غياب المخاطر، بل يصف حدود ما تدعمه الأدلة التي تمت مراجعتها.</w:t>
      </w:r>
    </w:p>
    <w:p>
      <w:pPr>
        <w:spacing w:before="240" w:after="100"/>
        <w:jc w:val="right"/>
        <w:keepNext/>
        <w:bidi w:val="1"/>
        <w:outlineLvl w:val="0"/>
      </w:pPr>
      <w:r>
        <w:rPr>
          <w:rFonts w:ascii="Arial" w:hAnsi="Arial" w:eastAsia="Arial" w:cs="Arial"/>
          <w:b/>
          <w:i w:val="0"/>
          <w:color w:val="17365D"/>
          <w:sz w:val="34"/>
        </w:rPr>
        <w:t>2. نبذة عن الشركة</w:t>
      </w:r>
    </w:p>
    <w:p>
      <w:pPr>
        <w:spacing w:before="140" w:after="100"/>
        <w:jc w:val="right"/>
        <w:keepNext/>
        <w:bidi w:val="1"/>
        <w:outlineLvl w:val="1"/>
      </w:pPr>
      <w:r>
        <w:rPr>
          <w:rFonts w:ascii="Arial" w:hAnsi="Arial" w:eastAsia="Arial" w:cs="Arial"/>
          <w:b/>
          <w:i w:val="0"/>
          <w:color w:val="17365D"/>
          <w:sz w:val="26"/>
        </w:rPr>
        <w:t>2.1 التاريخ والملكية والقيادة</w:t>
      </w:r>
    </w:p>
    <w:p>
      <w:pPr>
        <w:spacing w:after="60" w:before="0" w:line="259" w:lineRule="auto"/>
        <w:jc w:val="right"/>
        <w:keepLines/>
        <w:bidi w:val="1"/>
      </w:pPr>
      <w:r>
        <w:rPr>
          <w:rFonts w:ascii="Arial" w:hAnsi="Arial" w:eastAsia="Arial" w:cs="Arial"/>
          <w:b w:val="0"/>
          <w:i w:val="0"/>
          <w:sz w:val="20"/>
        </w:rPr>
        <w:t>TMG Holding مجموعة مصرية مدرجة تعمل في التطوير العقاري والسياحة. وتُظهر إفصاحات علاقات المستثمرين أن تاريخ قيدها في البورصة كان 25 نوفمبر 2007. ولا يقتصر نموذج العمل على بيع الوحدات، بل يشمل تطوير مجتمعات متكاملة والضيافة وأنشطة أخرى ذات دخل متكرر. [S1، S5]</w:t>
      </w:r>
    </w:p>
    <w:p>
      <w:pPr>
        <w:spacing w:after="60" w:before="0" w:line="259" w:lineRule="auto"/>
        <w:jc w:val="right"/>
        <w:keepLines/>
        <w:bidi w:val="1"/>
      </w:pPr>
      <w:r>
        <w:rPr>
          <w:rFonts w:ascii="Arial" w:hAnsi="Arial" w:eastAsia="Arial" w:cs="Arial"/>
          <w:b w:val="0"/>
          <w:i w:val="0"/>
          <w:sz w:val="20"/>
        </w:rPr>
        <w:t>يحدد تقرير الحوكمة للسنة المالية 2025 طارق طلعت مصطفى رئيساً لمجلس الإدارة، وهشام طلعت مصطفى رئيساً تنفيذياً وعضواً منتدباً. وفي 31 ديسمبر 2025، كانت شركة TMG للاستثمار العقاري والسياحي أكبر مساهم بحصة 43.217%. كما أورد التقرير شركة الإسكندرية للإنشاءات بحصة 8.045%، وRIMCO EGT Investment بحصة 7.493%، وصندوق التأمين الاجتماعي للعاملين بالقطاع الحكومي ضمن المساهمين الرئيسيين. [S4]</w:t>
      </w:r>
    </w:p>
    <w:p>
      <w:pPr>
        <w:spacing w:after="60" w:before="0" w:line="259" w:lineRule="auto"/>
        <w:jc w:val="right"/>
        <w:keepLines/>
        <w:bidi w:val="1"/>
      </w:pPr>
      <w:r>
        <w:rPr>
          <w:rFonts w:ascii="Arial" w:hAnsi="Arial" w:eastAsia="Arial" w:cs="Arial"/>
          <w:b w:val="0"/>
          <w:i w:val="0"/>
          <w:sz w:val="20"/>
        </w:rPr>
        <w:t>الدلالة التحليلية: قد يساعد تركز الملكية على ثبات الاستراتيجية طويلة الأجل، لكنه يجعل استقلالية مجلس الإدارة وخطط التعاقب الإداري وضوابط الأطراف ذات العلاقة وحماية مساهمي الأقلية موضوعات مهمة للفحص.</w:t>
      </w:r>
    </w:p>
    <w:p>
      <w:pPr>
        <w:spacing w:before="140" w:after="100"/>
        <w:jc w:val="right"/>
        <w:keepNext/>
        <w:bidi w:val="1"/>
        <w:outlineLvl w:val="1"/>
      </w:pPr>
      <w:r>
        <w:rPr>
          <w:rFonts w:ascii="Arial" w:hAnsi="Arial" w:eastAsia="Arial" w:cs="Arial"/>
          <w:b/>
          <w:i w:val="0"/>
          <w:color w:val="17365D"/>
          <w:sz w:val="26"/>
        </w:rPr>
        <w:t>2.2 الشركات التابعة الرئيسية</w:t>
      </w:r>
    </w:p>
    <w:tbl>
      <w:tblPr>
        <w:tblStyle w:val="TableGrid"/>
        <w:tblW w:type="auto" w:w="0"/>
        <w:jc w:val="center"/>
        <w:tblLayout w:type="fixed"/>
        <w:tblLook w:firstColumn="1" w:firstRow="1" w:lastColumn="0" w:lastRow="0" w:noHBand="0" w:noVBand="1" w:val="04A0"/>
        <w:bidiVisual w:val="1"/>
      </w:tblPr>
      <w:tblGrid>
        <w:gridCol w:w="4917"/>
        <w:gridCol w:w="4917"/>
      </w:tblGrid>
      <w:tr>
        <w:trPr>
          <w:tblHeader w:val="true"/>
        </w:trPr>
        <w:tc>
          <w:tcPr>
            <w:tcW w:type="dxa" w:w="6912"/>
            <w:vAlign w:val="center"/>
            <w:shd w:fill="17365D"/>
          </w:tcPr>
          <w:p>
            <w:pPr>
              <w:spacing w:after="40" w:before="40"/>
              <w:jc w:val="right"/>
              <w:bidi w:val="1"/>
            </w:pPr>
            <w:r/>
            <w:r>
              <w:rPr>
                <w:rFonts w:ascii="Arial" w:hAnsi="Arial" w:eastAsia="Arial" w:cs="Arial"/>
                <w:b/>
                <w:i w:val="0"/>
                <w:color w:val="FFFFFF"/>
                <w:sz w:val="18"/>
              </w:rPr>
              <w:t>الشركة التابعة كما وردت في إفصاح TMG</w:t>
            </w:r>
          </w:p>
        </w:tc>
        <w:tc>
          <w:tcPr>
            <w:tcW w:type="dxa" w:w="2880"/>
            <w:vAlign w:val="center"/>
            <w:shd w:fill="17365D"/>
          </w:tcPr>
          <w:p>
            <w:pPr>
              <w:spacing w:after="40" w:before="40"/>
              <w:jc w:val="right"/>
              <w:bidi w:val="1"/>
            </w:pPr>
            <w:r/>
            <w:r>
              <w:rPr>
                <w:rFonts w:ascii="Arial" w:hAnsi="Arial" w:eastAsia="Arial" w:cs="Arial"/>
                <w:b/>
                <w:i w:val="0"/>
                <w:color w:val="FFFFFF"/>
                <w:sz w:val="18"/>
              </w:rPr>
              <w:t>حصة الملكية المعلنة</w:t>
            </w:r>
          </w:p>
        </w:tc>
      </w:tr>
      <w:tr>
        <w:trPr>
          <w:cantSplit/>
        </w:trPr>
        <w:tc>
          <w:tcPr>
            <w:tcW w:type="dxa" w:w="69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Arab Company for Projects and Urban Development</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99.99%</w:t>
            </w:r>
          </w:p>
        </w:tc>
      </w:tr>
      <w:tr>
        <w:trPr>
          <w:cantSplit/>
        </w:trPr>
        <w:tc>
          <w:tcPr>
            <w:tcW w:type="dxa" w:w="691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Alexandria Real Estate Investment Company</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99.61%</w:t>
            </w:r>
          </w:p>
        </w:tc>
      </w:tr>
      <w:tr>
        <w:trPr>
          <w:cantSplit/>
        </w:trPr>
        <w:tc>
          <w:tcPr>
            <w:tcW w:type="dxa" w:w="69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San Stefano Real Estate Investment Company</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100%</w:t>
            </w:r>
          </w:p>
        </w:tc>
      </w:tr>
      <w:tr>
        <w:trPr>
          <w:cantSplit/>
        </w:trPr>
        <w:tc>
          <w:tcPr>
            <w:tcW w:type="dxa" w:w="691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Alexandria Construction Projects Company</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100%</w:t>
            </w:r>
          </w:p>
        </w:tc>
      </w:tr>
    </w:tbl>
    <w:p>
      <w:pPr>
        <w:spacing w:after="20"/>
      </w:pPr>
    </w:p>
    <w:p>
      <w:pPr>
        <w:spacing w:after="60" w:before="0" w:line="259" w:lineRule="auto"/>
        <w:jc w:val="right"/>
        <w:keepLines/>
        <w:bidi w:val="1"/>
      </w:pPr>
      <w:r>
        <w:rPr>
          <w:rFonts w:ascii="Arial" w:hAnsi="Arial" w:eastAsia="Arial" w:cs="Arial"/>
          <w:b w:val="0"/>
          <w:i w:val="0"/>
          <w:sz w:val="20"/>
        </w:rPr>
        <w:t>تمثل هذه الشركات التابعة الرئيسية المدرجة في صفحة علاقات المستثمرين، وليست قائمة كاملة بجميع الشركات والمشروعات المشتركة والكيانات التشغيلية. وتشمل أنشطة المجموعة الأوسع التطوير والإدارة المرتبطين بالمجتمعات السكنية والفنادق والنوادي والعقارات التجارية. [S1، S4]</w:t>
      </w:r>
    </w:p>
    <w:p>
      <w:pPr>
        <w:spacing w:before="140" w:after="100"/>
        <w:jc w:val="right"/>
        <w:keepNext/>
        <w:bidi w:val="1"/>
        <w:outlineLvl w:val="1"/>
      </w:pPr>
      <w:r>
        <w:rPr>
          <w:rFonts w:ascii="Arial" w:hAnsi="Arial" w:eastAsia="Arial" w:cs="Arial"/>
          <w:b/>
          <w:i w:val="0"/>
          <w:color w:val="17365D"/>
          <w:sz w:val="26"/>
        </w:rPr>
        <w:t>2.3 المشروعات الرئيسية والتعرض الجغرافي</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2088"/>
            <w:vAlign w:val="center"/>
            <w:shd w:fill="17365D"/>
          </w:tcPr>
          <w:p>
            <w:pPr>
              <w:spacing w:after="40" w:before="40"/>
              <w:jc w:val="right"/>
              <w:bidi w:val="1"/>
            </w:pPr>
            <w:r/>
            <w:r>
              <w:rPr>
                <w:rFonts w:ascii="Arial" w:hAnsi="Arial" w:eastAsia="Arial" w:cs="Arial"/>
                <w:b/>
                <w:i w:val="0"/>
                <w:color w:val="FFFFFF"/>
                <w:sz w:val="16"/>
              </w:rPr>
              <w:t>المشروع / المنطقة</w:t>
            </w:r>
          </w:p>
        </w:tc>
        <w:tc>
          <w:tcPr>
            <w:tcW w:type="dxa" w:w="3816"/>
            <w:vAlign w:val="center"/>
            <w:shd w:fill="17365D"/>
          </w:tcPr>
          <w:p>
            <w:pPr>
              <w:spacing w:after="40" w:before="40"/>
              <w:jc w:val="right"/>
              <w:bidi w:val="1"/>
            </w:pPr>
            <w:r/>
            <w:r>
              <w:rPr>
                <w:rFonts w:ascii="Arial" w:hAnsi="Arial" w:eastAsia="Arial" w:cs="Arial"/>
                <w:b/>
                <w:i w:val="0"/>
                <w:color w:val="FFFFFF"/>
                <w:sz w:val="16"/>
              </w:rPr>
              <w:t>الدور والنشاط</w:t>
            </w:r>
          </w:p>
        </w:tc>
        <w:tc>
          <w:tcPr>
            <w:tcW w:type="dxa" w:w="3960"/>
            <w:vAlign w:val="center"/>
            <w:shd w:fill="17365D"/>
          </w:tcPr>
          <w:p>
            <w:pPr>
              <w:spacing w:after="40" w:before="40"/>
              <w:jc w:val="right"/>
              <w:bidi w:val="1"/>
            </w:pPr>
            <w:r/>
            <w:r>
              <w:rPr>
                <w:rFonts w:ascii="Arial" w:hAnsi="Arial" w:eastAsia="Arial" w:cs="Arial"/>
                <w:b/>
                <w:i w:val="0"/>
                <w:color w:val="FFFFFF"/>
                <w:sz w:val="16"/>
              </w:rPr>
              <w:t>الفرص والمخاطر</w:t>
            </w:r>
          </w:p>
        </w:tc>
      </w:tr>
      <w:tr>
        <w:trPr>
          <w:cantSplit/>
        </w:trPr>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مدينتي والرحاب — القاهرة الكبرى</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مجتمعات سكنية متكاملة قائمة، وخدمات وبنية تحتية مساندة.</w:t>
            </w:r>
          </w:p>
        </w:tc>
        <w:tc>
          <w:tcPr>
            <w:tcW w:type="dxa" w:w="396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قاعدة تشغيلية معروفة وحجم مجتمعي كبير؛ مع ضرورة فحص جودة الصيانة والخدمات ووضع الأراضي والشفافية التاريخية.</w:t>
            </w:r>
          </w:p>
        </w:tc>
      </w:tr>
      <w:tr>
        <w:trPr>
          <w:cantSplit/>
        </w:trPr>
        <w:tc>
          <w:tcPr>
            <w:tcW w:type="dxa" w:w="208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SouthMED — الساحل الشمالي</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مشروع ساحلي ضخم؛ أعلنت TMG مبيعات تعاقدية بقيمة 128.9 مليار جنيه للمشروع في 2025.</w:t>
            </w:r>
          </w:p>
        </w:tc>
        <w:tc>
          <w:tcPr>
            <w:tcW w:type="dxa" w:w="396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فرصة نمو وسياحة؛ لكن إجمالي مبيعات المشروع ليس إيراداً معترفاً به لـTMG أو نقداً محصلاً بالكامل. توضح الشركة أن نموذجها قائم على أصول أقل كثافة برسوم تطوير تقارب 8%.</w:t>
            </w:r>
          </w:p>
        </w:tc>
      </w:tr>
      <w:tr>
        <w:trPr>
          <w:cantSplit/>
        </w:trPr>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نور سيتي وسيليا</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مشروعات لتطوير مجتمعات عمرانية في مناطق جديدة.</w:t>
            </w:r>
          </w:p>
        </w:tc>
        <w:tc>
          <w:tcPr>
            <w:tcW w:type="dxa" w:w="396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فرصة للاستفادة من التوسع العمراني؛ مع اعتماد النجاح على جاهزية المرافق وتكلفة البناء والقدرة الشرائية.</w:t>
            </w:r>
          </w:p>
        </w:tc>
      </w:tr>
      <w:tr>
        <w:trPr>
          <w:cantSplit/>
        </w:trPr>
        <w:tc>
          <w:tcPr>
            <w:tcW w:type="dxa" w:w="208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أصول الضيافة والفنادق</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تشمل المحفظة التي أعلنتها الشركة فنادق Four Seasons Nile Plaza وFour Seasons Sharm El Sheikh وFour Seasons San Stefano وKempinski Nile Hotel، إلى جانب مشروعات فندقية أخرى.</w:t>
            </w:r>
          </w:p>
        </w:tc>
        <w:tc>
          <w:tcPr>
            <w:tcW w:type="dxa" w:w="396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تنوع مصادر الدخل وإمكانية الاستفادة من السياحة والعملات الأجنبية؛ مقابل الموسمية وتقلب الإشغال وتكاليف التشغيل.</w:t>
            </w:r>
          </w:p>
        </w:tc>
      </w:tr>
      <w:tr>
        <w:trPr>
          <w:cantSplit/>
        </w:trPr>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التوسع الإقليمي</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أنشطة أو مشروعات في السعودية وعُمان، منها Banan وJood وYamal بحسب إفصاحات الشركة؛ كما أُشير إلى مذكرة تفاهم لمشروع بالعراق.</w:t>
            </w:r>
          </w:p>
        </w:tc>
        <w:tc>
          <w:tcPr>
            <w:tcW w:type="dxa" w:w="396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تنويع جغرافي وفرص نمو؛ مع مخاطر الشريك المحلي والتنظيمات والتنفيذ والعملة. مذكرة التفاهم لا تعادل عقد تطوير نهائياً ملزماً.</w:t>
            </w:r>
          </w:p>
        </w:tc>
      </w:tr>
    </w:tbl>
    <w:p>
      <w:pPr>
        <w:spacing w:after="20"/>
      </w:pPr>
    </w:p>
    <w:p>
      <w:pPr>
        <w:spacing w:before="140" w:after="100"/>
        <w:jc w:val="right"/>
        <w:keepNext/>
        <w:bidi w:val="1"/>
        <w:outlineLvl w:val="1"/>
      </w:pPr>
      <w:r>
        <w:rPr>
          <w:rFonts w:ascii="Arial" w:hAnsi="Arial" w:eastAsia="Arial" w:cs="Arial"/>
          <w:b/>
          <w:i w:val="0"/>
          <w:color w:val="17365D"/>
          <w:sz w:val="26"/>
        </w:rPr>
        <w:t>2.4 نموذج الإيرادات</w:t>
      </w:r>
    </w:p>
    <w:tbl>
      <w:tblPr>
        <w:tblStyle w:val="TableGrid"/>
        <w:tblW w:type="auto" w:w="0"/>
        <w:jc w:val="center"/>
        <w:tblLayout w:type="fixed"/>
        <w:tblLook w:firstColumn="1" w:firstRow="1" w:lastColumn="0" w:lastRow="0" w:noHBand="0" w:noVBand="1" w:val="04A0"/>
        <w:bidiVisual w:val="1"/>
      </w:tblPr>
      <w:tblGrid>
        <w:gridCol w:w="2459"/>
        <w:gridCol w:w="2459"/>
        <w:gridCol w:w="2459"/>
        <w:gridCol w:w="2459"/>
      </w:tblGrid>
      <w:tr>
        <w:trPr>
          <w:tblHeader w:val="true"/>
        </w:trPr>
        <w:tc>
          <w:tcPr>
            <w:tcW w:type="dxa" w:w="2880"/>
            <w:vAlign w:val="center"/>
            <w:shd w:fill="17365D"/>
          </w:tcPr>
          <w:p>
            <w:pPr>
              <w:spacing w:after="40" w:before="40"/>
              <w:jc w:val="right"/>
              <w:bidi w:val="1"/>
            </w:pPr>
            <w:r/>
            <w:r>
              <w:rPr>
                <w:rFonts w:ascii="Arial" w:hAnsi="Arial" w:eastAsia="Arial" w:cs="Arial"/>
                <w:b/>
                <w:i w:val="0"/>
                <w:color w:val="FFFFFF"/>
                <w:sz w:val="17"/>
              </w:rPr>
              <w:t>قطاع الإيراد في 2025</w:t>
            </w:r>
          </w:p>
        </w:tc>
        <w:tc>
          <w:tcPr>
            <w:tcW w:type="dxa" w:w="2088"/>
            <w:vAlign w:val="center"/>
            <w:shd w:fill="17365D"/>
          </w:tcPr>
          <w:p>
            <w:pPr>
              <w:spacing w:after="40" w:before="40"/>
              <w:jc w:val="right"/>
              <w:bidi w:val="1"/>
            </w:pPr>
            <w:r/>
            <w:r>
              <w:rPr>
                <w:rFonts w:ascii="Arial" w:hAnsi="Arial" w:eastAsia="Arial" w:cs="Arial"/>
                <w:b/>
                <w:i w:val="0"/>
                <w:color w:val="FFFFFF"/>
                <w:sz w:val="17"/>
              </w:rPr>
              <w:t>الإيراد المعلن</w:t>
            </w:r>
          </w:p>
        </w:tc>
        <w:tc>
          <w:tcPr>
            <w:tcW w:type="dxa" w:w="1584"/>
            <w:vAlign w:val="center"/>
            <w:shd w:fill="17365D"/>
          </w:tcPr>
          <w:p>
            <w:pPr>
              <w:spacing w:after="40" w:before="40"/>
              <w:jc w:val="right"/>
              <w:bidi w:val="1"/>
            </w:pPr>
            <w:r/>
            <w:r>
              <w:rPr>
                <w:rFonts w:ascii="Arial" w:hAnsi="Arial" w:eastAsia="Arial" w:cs="Arial"/>
                <w:b/>
                <w:i w:val="0"/>
                <w:color w:val="FFFFFF"/>
                <w:sz w:val="17"/>
              </w:rPr>
              <w:t>الحصة التقريبية</w:t>
            </w:r>
          </w:p>
        </w:tc>
        <w:tc>
          <w:tcPr>
            <w:tcW w:type="dxa" w:w="3312"/>
            <w:vAlign w:val="center"/>
            <w:shd w:fill="17365D"/>
          </w:tcPr>
          <w:p>
            <w:pPr>
              <w:spacing w:after="40" w:before="40"/>
              <w:jc w:val="right"/>
              <w:bidi w:val="1"/>
            </w:pPr>
            <w:r/>
            <w:r>
              <w:rPr>
                <w:rFonts w:ascii="Arial" w:hAnsi="Arial" w:eastAsia="Arial" w:cs="Arial"/>
                <w:b/>
                <w:i w:val="0"/>
                <w:color w:val="FFFFFF"/>
                <w:sz w:val="17"/>
              </w:rPr>
              <w:t>قراءة الأعمال</w:t>
            </w:r>
          </w:p>
        </w:tc>
      </w:tr>
      <w:tr>
        <w:trPr>
          <w:cantSplit/>
        </w:trPr>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العقارات</w:t>
            </w:r>
          </w:p>
        </w:tc>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36.7 مليار جنيه</w:t>
            </w:r>
          </w:p>
        </w:tc>
        <w:tc>
          <w:tcPr>
            <w:tcW w:type="dxa" w:w="158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58.7%</w:t>
            </w:r>
          </w:p>
        </w:tc>
        <w:tc>
          <w:tcPr>
            <w:tcW w:type="dxa" w:w="33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أكبر مصدر للإيراد؛ يعتمد على المبيعات وتقدم الإنشاء والاعتراف المحاسبي بالإيراد.</w:t>
            </w:r>
          </w:p>
        </w:tc>
      </w:tr>
      <w:tr>
        <w:trPr>
          <w:cantSplit/>
        </w:trPr>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الضيافة والفنادق</w:t>
            </w:r>
          </w:p>
        </w:tc>
        <w:tc>
          <w:tcPr>
            <w:tcW w:type="dxa" w:w="208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14.9 مليار جنيه</w:t>
            </w:r>
          </w:p>
        </w:tc>
        <w:tc>
          <w:tcPr>
            <w:tcW w:type="dxa" w:w="158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23.8%</w:t>
            </w:r>
          </w:p>
        </w:tc>
        <w:tc>
          <w:tcPr>
            <w:tcW w:type="dxa" w:w="331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يوسع الدخل التشغيلي خارج مبيعات الوحدات، لكنه حساس للسياحة والتكاليف.</w:t>
            </w:r>
          </w:p>
        </w:tc>
      </w:tr>
      <w:tr>
        <w:trPr>
          <w:cantSplit/>
        </w:trPr>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أنشطة أخرى ذات دخل متكرر</w:t>
            </w:r>
          </w:p>
        </w:tc>
        <w:tc>
          <w:tcPr>
            <w:tcW w:type="dxa" w:w="208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10.9 مليار جنيه</w:t>
            </w:r>
          </w:p>
        </w:tc>
        <w:tc>
          <w:tcPr>
            <w:tcW w:type="dxa" w:w="158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17.4%</w:t>
            </w:r>
          </w:p>
        </w:tc>
        <w:tc>
          <w:tcPr>
            <w:tcW w:type="dxa" w:w="331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تنويع إضافي، وفق طبيعة ومتانة مصادر الإيرادات المكونة لهذا القطاع.</w:t>
            </w:r>
          </w:p>
        </w:tc>
      </w:tr>
    </w:tbl>
    <w:p>
      <w:pPr>
        <w:spacing w:after="20"/>
      </w:pPr>
    </w:p>
    <w:p>
      <w:pPr>
        <w:spacing w:after="40"/>
        <w:jc w:val="center"/>
        <w:bidi w:val="1"/>
      </w:pPr>
      <w:r>
        <w:drawing>
          <wp:inline xmlns:a="http://schemas.openxmlformats.org/drawingml/2006/main" xmlns:pic="http://schemas.openxmlformats.org/drawingml/2006/picture">
            <wp:extent cx="5303520" cy="228068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303520" cy="2280680"/>
                    </a:xfrm>
                    <a:prstGeom prst="rect"/>
                  </pic:spPr>
                </pic:pic>
              </a:graphicData>
            </a:graphic>
          </wp:inline>
        </w:drawing>
      </w:r>
    </w:p>
    <w:p>
      <w:pPr>
        <w:spacing w:after="120" w:before="0" w:line="259" w:lineRule="auto"/>
        <w:jc w:val="center"/>
        <w:keepLines/>
        <w:bidi w:val="1"/>
      </w:pPr>
      <w:r>
        <w:rPr>
          <w:rFonts w:ascii="Arial" w:hAnsi="Arial" w:eastAsia="Arial" w:cs="Arial"/>
          <w:b w:val="0"/>
          <w:i w:val="0"/>
          <w:color w:val="5B6573"/>
          <w:sz w:val="16"/>
        </w:rPr>
        <w:t>الشكل 1: الإيرادات كما وردت في بيان نتائج FY2025 الصادر عن الشركة؛ القيم مقربة. [S2]</w:t>
      </w:r>
    </w:p>
    <w:p>
      <w:pPr>
        <w:spacing w:after="60" w:before="0" w:line="259" w:lineRule="auto"/>
        <w:jc w:val="right"/>
        <w:keepLines/>
        <w:bidi w:val="1"/>
      </w:pPr>
      <w:r>
        <w:rPr>
          <w:rFonts w:ascii="Arial" w:hAnsi="Arial" w:eastAsia="Arial" w:cs="Arial"/>
          <w:b w:val="0"/>
          <w:i w:val="0"/>
          <w:sz w:val="20"/>
        </w:rPr>
        <w:t>أعلنت TMG نمو إيرادات الضيافة 30% ونمو الإيرادات الأخرى المتكررة 64% في 2025. وهو ما يدعم تنويع الدخل بعيداً عن بيع الوحدات السكنية، لكن القطاعات تختلف في الهوامش والاحتياجات الرأسمالية وسرعة تحويل الأرباح إلى نقد. [S2]</w:t>
      </w:r>
    </w:p>
    <w:p>
      <w:pPr>
        <w:spacing w:before="240" w:after="100"/>
        <w:jc w:val="right"/>
        <w:keepNext/>
        <w:bidi w:val="1"/>
        <w:outlineLvl w:val="0"/>
      </w:pPr>
      <w:r>
        <w:rPr>
          <w:rFonts w:ascii="Arial" w:hAnsi="Arial" w:eastAsia="Arial" w:cs="Arial"/>
          <w:b/>
          <w:i w:val="0"/>
          <w:color w:val="17365D"/>
          <w:sz w:val="34"/>
        </w:rPr>
        <w:t>3. التحليل المالي ومخاطر الأعمال</w:t>
      </w:r>
    </w:p>
    <w:p>
      <w:pPr>
        <w:spacing w:before="140" w:after="100"/>
        <w:jc w:val="right"/>
        <w:keepNext/>
        <w:bidi w:val="1"/>
        <w:outlineLvl w:val="1"/>
      </w:pPr>
      <w:r>
        <w:rPr>
          <w:rFonts w:ascii="Arial" w:hAnsi="Arial" w:eastAsia="Arial" w:cs="Arial"/>
          <w:b/>
          <w:i w:val="0"/>
          <w:color w:val="17365D"/>
          <w:sz w:val="26"/>
        </w:rPr>
        <w:t>3.1 نتائج السنة المالية 2025</w:t>
      </w:r>
    </w:p>
    <w:tbl>
      <w:tblPr>
        <w:tblStyle w:val="TableGrid"/>
        <w:tblW w:type="auto" w:w="0"/>
        <w:jc w:val="center"/>
        <w:tblLayout w:type="fixed"/>
        <w:tblLook w:firstColumn="1" w:firstRow="1" w:lastColumn="0" w:lastRow="0" w:noHBand="0" w:noVBand="1" w:val="04A0"/>
        <w:bidiVisual w:val="1"/>
      </w:tblPr>
      <w:tblGrid>
        <w:gridCol w:w="2459"/>
        <w:gridCol w:w="2459"/>
        <w:gridCol w:w="2459"/>
        <w:gridCol w:w="2459"/>
      </w:tblGrid>
      <w:tr>
        <w:trPr>
          <w:tblHeader w:val="true"/>
        </w:trPr>
        <w:tc>
          <w:tcPr>
            <w:tcW w:type="dxa" w:w="3168"/>
            <w:vAlign w:val="center"/>
            <w:shd w:fill="17365D"/>
          </w:tcPr>
          <w:p>
            <w:pPr>
              <w:spacing w:after="40" w:before="40"/>
              <w:jc w:val="right"/>
              <w:bidi w:val="1"/>
            </w:pPr>
            <w:r/>
            <w:r>
              <w:rPr>
                <w:rFonts w:ascii="Arial" w:hAnsi="Arial" w:eastAsia="Arial" w:cs="Arial"/>
                <w:b/>
                <w:i w:val="0"/>
                <w:color w:val="FFFFFF"/>
                <w:sz w:val="17"/>
              </w:rPr>
              <w:t>المؤشر</w:t>
            </w:r>
          </w:p>
        </w:tc>
        <w:tc>
          <w:tcPr>
            <w:tcW w:type="dxa" w:w="1944"/>
            <w:vAlign w:val="center"/>
            <w:shd w:fill="17365D"/>
          </w:tcPr>
          <w:p>
            <w:pPr>
              <w:spacing w:after="40" w:before="40"/>
              <w:jc w:val="right"/>
              <w:bidi w:val="1"/>
            </w:pPr>
            <w:r/>
            <w:r>
              <w:rPr>
                <w:rFonts w:ascii="Arial" w:hAnsi="Arial" w:eastAsia="Arial" w:cs="Arial"/>
                <w:b/>
                <w:i w:val="0"/>
                <w:color w:val="FFFFFF"/>
                <w:sz w:val="17"/>
              </w:rPr>
              <w:t>2025</w:t>
            </w:r>
          </w:p>
        </w:tc>
        <w:tc>
          <w:tcPr>
            <w:tcW w:type="dxa" w:w="1944"/>
            <w:vAlign w:val="center"/>
            <w:shd w:fill="17365D"/>
          </w:tcPr>
          <w:p>
            <w:pPr>
              <w:spacing w:after="40" w:before="40"/>
              <w:jc w:val="right"/>
              <w:bidi w:val="1"/>
            </w:pPr>
            <w:r/>
            <w:r>
              <w:rPr>
                <w:rFonts w:ascii="Arial" w:hAnsi="Arial" w:eastAsia="Arial" w:cs="Arial"/>
                <w:b/>
                <w:i w:val="0"/>
                <w:color w:val="FFFFFF"/>
                <w:sz w:val="17"/>
              </w:rPr>
              <w:t>2024</w:t>
            </w:r>
          </w:p>
        </w:tc>
        <w:tc>
          <w:tcPr>
            <w:tcW w:type="dxa" w:w="2880"/>
            <w:vAlign w:val="center"/>
            <w:shd w:fill="17365D"/>
          </w:tcPr>
          <w:p>
            <w:pPr>
              <w:spacing w:after="40" w:before="40"/>
              <w:jc w:val="right"/>
              <w:bidi w:val="1"/>
            </w:pPr>
            <w:r/>
            <w:r>
              <w:rPr>
                <w:rFonts w:ascii="Arial" w:hAnsi="Arial" w:eastAsia="Arial" w:cs="Arial"/>
                <w:b/>
                <w:i w:val="0"/>
                <w:color w:val="FFFFFF"/>
                <w:sz w:val="17"/>
              </w:rPr>
              <w:t>التغير / التفسير</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الإيرادات</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62.5 مليار جنيه</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42.7 مليار جنيه</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46%</w:t>
            </w:r>
          </w:p>
        </w:tc>
      </w:tr>
      <w:tr>
        <w:trPr>
          <w:cantSplit/>
        </w:trPr>
        <w:tc>
          <w:tcPr>
            <w:tcW w:type="dxa" w:w="316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مجمل الربح</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20.9 مليار جنيه</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نحو 14.0 مليار جنيه</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49% تقريباً؛ رقم 2024 محسوب تقريبياً من هامش وإيراد مقربين.</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الربح التشغيلي وفق تعريف الشركة</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23.7 مليار جنيه</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17.0 مليار جنيه</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40%؛ يُرجى مراعاة تعريف الشركة للمؤشر.</w:t>
            </w:r>
          </w:p>
        </w:tc>
      </w:tr>
      <w:tr>
        <w:trPr>
          <w:cantSplit/>
        </w:trPr>
        <w:tc>
          <w:tcPr>
            <w:tcW w:type="dxa" w:w="316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صافي الربح</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18.2 مليار جنيه</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12.8 مليار جنيه</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43%</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هامش مجمل الربح</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33.4%</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32.8%</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زيادة 0.6 نقطة مئوية</w:t>
            </w:r>
          </w:p>
        </w:tc>
      </w:tr>
      <w:tr>
        <w:trPr>
          <w:cantSplit/>
        </w:trPr>
        <w:tc>
          <w:tcPr>
            <w:tcW w:type="dxa" w:w="316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هامش الربح التشغيلي المعلن</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38.0%</w:t>
            </w:r>
          </w:p>
        </w:tc>
        <w:tc>
          <w:tcPr>
            <w:tcW w:type="dxa" w:w="194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39.8%</w:t>
            </w:r>
          </w:p>
        </w:tc>
        <w:tc>
          <w:tcPr>
            <w:tcW w:type="dxa" w:w="28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7"/>
              </w:rPr>
              <w:t>انخفاض 1.8 نقطة مئوية</w:t>
            </w:r>
          </w:p>
        </w:tc>
      </w:tr>
      <w:tr>
        <w:trPr>
          <w:cantSplit/>
        </w:trPr>
        <w:tc>
          <w:tcPr>
            <w:tcW w:type="dxa" w:w="316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هامش صافي الربح</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29.1%</w:t>
            </w:r>
          </w:p>
        </w:tc>
        <w:tc>
          <w:tcPr>
            <w:tcW w:type="dxa" w:w="194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29.9%</w:t>
            </w:r>
          </w:p>
        </w:tc>
        <w:tc>
          <w:tcPr>
            <w:tcW w:type="dxa" w:w="28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7"/>
              </w:rPr>
              <w:t>انخفاض 0.8 نقطة مئوية</w:t>
            </w:r>
          </w:p>
        </w:tc>
      </w:tr>
    </w:tbl>
    <w:p>
      <w:pPr>
        <w:spacing w:after="20"/>
      </w:pPr>
    </w:p>
    <w:p>
      <w:pPr>
        <w:spacing w:after="60" w:before="0" w:line="259" w:lineRule="auto"/>
        <w:jc w:val="right"/>
        <w:keepLines/>
        <w:bidi w:val="1"/>
      </w:pPr>
      <w:r>
        <w:rPr>
          <w:rFonts w:ascii="Arial" w:hAnsi="Arial" w:eastAsia="Arial" w:cs="Arial"/>
          <w:b w:val="0"/>
          <w:i w:val="0"/>
          <w:sz w:val="20"/>
        </w:rPr>
        <w:t>اتجاهات الإيرادات ومجمل الربح وصافي الربح إيجابية. لكن يجب تقييم نمو الأرباح مع تركيب الدخل. وقد ربطت الشركة نمو إيرادات العقارات جزئياً بالتسليمات وتقدم الإنشاءات، كما شمل بيانها دخلاً آخر ودخل استثمارات وعمولات تطوير مرتبطة بـSouthMED. وهي مكونات مشروعة للإيرادات المعلنة، لكن استدامتها ليست بالضرورة مماثلة لاستدامة دخل إدارة العقارات المتكرر. [S2]</w:t>
      </w:r>
    </w:p>
    <w:p>
      <w:pPr>
        <w:spacing w:after="60" w:before="0" w:line="259" w:lineRule="auto"/>
        <w:jc w:val="right"/>
        <w:keepLines/>
        <w:bidi w:val="1"/>
      </w:pPr>
      <w:r>
        <w:rPr>
          <w:rFonts w:ascii="Arial" w:hAnsi="Arial" w:eastAsia="Arial" w:cs="Arial"/>
          <w:b w:val="0"/>
          <w:i w:val="0"/>
          <w:sz w:val="20"/>
        </w:rPr>
        <w:t>أفادت الشركة بانخفاض هامش الربح التشغيلي من 39.8% إلى 38.0%، وعزت ذلك أساساً إلى انخفاض مكاسب إعادة تقييم العقارات الاستثمارية مقارنة بالعام السابق. لا يثبت انخفاض مكاسب التقييم وحده تدهوراً تشغيلياً، لكنه يوضح أهمية فحص جودة الأرباح وتركيبها إلى جانب معدل النمو الإجمالي. [S2]</w:t>
      </w:r>
    </w:p>
    <w:p>
      <w:pPr>
        <w:jc w:val="center"/>
        <w:bidi w:val="1"/>
      </w:pPr>
      <w:r>
        <w:drawing>
          <wp:inline xmlns:a="http://schemas.openxmlformats.org/drawingml/2006/main" xmlns:pic="http://schemas.openxmlformats.org/drawingml/2006/picture">
            <wp:extent cx="5303520" cy="228068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03520" cy="2280680"/>
                    </a:xfrm>
                    <a:prstGeom prst="rect"/>
                  </pic:spPr>
                </pic:pic>
              </a:graphicData>
            </a:graphic>
          </wp:inline>
        </w:drawing>
      </w:r>
    </w:p>
    <w:p>
      <w:pPr>
        <w:spacing w:after="120" w:before="0" w:line="259" w:lineRule="auto"/>
        <w:jc w:val="center"/>
        <w:keepLines/>
        <w:bidi w:val="1"/>
      </w:pPr>
      <w:r>
        <w:rPr>
          <w:rFonts w:ascii="Arial" w:hAnsi="Arial" w:eastAsia="Arial" w:cs="Arial"/>
          <w:b w:val="0"/>
          <w:i w:val="0"/>
          <w:color w:val="5B6573"/>
          <w:sz w:val="16"/>
        </w:rPr>
        <w:t>الشكل 2: انخفاض المبيعات التعاقدية الجديدة بنحو 24% في 2025. وأشارت TMG إلى أن المقارنة مع 2024 تتضمن طلباً استثنائياً بعد إطلاق SouthMED. [S2]</w:t>
      </w:r>
    </w:p>
    <w:p>
      <w:pPr>
        <w:spacing w:before="140" w:after="100"/>
        <w:jc w:val="right"/>
        <w:keepNext/>
        <w:bidi w:val="1"/>
        <w:outlineLvl w:val="1"/>
      </w:pPr>
      <w:r>
        <w:rPr>
          <w:rFonts w:ascii="Arial" w:hAnsi="Arial" w:eastAsia="Arial" w:cs="Arial"/>
          <w:b/>
          <w:i w:val="0"/>
          <w:color w:val="17365D"/>
          <w:sz w:val="26"/>
        </w:rPr>
        <w:t>3.2 الأداء المالي للنصف الأول من 2026</w:t>
      </w:r>
    </w:p>
    <w:tbl>
      <w:tblPr>
        <w:tblStyle w:val="TableGrid"/>
        <w:tblW w:type="auto" w:w="0"/>
        <w:jc w:val="center"/>
        <w:tblLayout w:type="fixed"/>
        <w:tblLook w:firstColumn="1" w:firstRow="1" w:lastColumn="0" w:lastRow="0" w:noHBand="0" w:noVBand="1" w:val="04A0"/>
        <w:bidiVisual w:val="1"/>
      </w:tblPr>
      <w:tblGrid>
        <w:gridCol w:w="2459"/>
        <w:gridCol w:w="2459"/>
        <w:gridCol w:w="2459"/>
        <w:gridCol w:w="2459"/>
      </w:tblGrid>
      <w:tr>
        <w:trPr>
          <w:tblHeader w:val="true"/>
        </w:trPr>
        <w:tc>
          <w:tcPr>
            <w:tcW w:type="dxa" w:w="3672"/>
            <w:vAlign w:val="center"/>
            <w:shd w:fill="17365D"/>
          </w:tcPr>
          <w:p>
            <w:pPr>
              <w:spacing w:after="40" w:before="40"/>
              <w:jc w:val="right"/>
              <w:bidi w:val="1"/>
            </w:pPr>
            <w:r/>
            <w:r>
              <w:rPr>
                <w:rFonts w:ascii="Arial" w:hAnsi="Arial" w:eastAsia="Arial" w:cs="Arial"/>
                <w:b/>
                <w:i w:val="0"/>
                <w:color w:val="FFFFFF"/>
                <w:sz w:val="16"/>
              </w:rPr>
              <w:t>المؤشر</w:t>
            </w:r>
          </w:p>
        </w:tc>
        <w:tc>
          <w:tcPr>
            <w:tcW w:type="dxa" w:w="2232"/>
            <w:vAlign w:val="center"/>
            <w:shd w:fill="17365D"/>
          </w:tcPr>
          <w:p>
            <w:pPr>
              <w:spacing w:after="40" w:before="40"/>
              <w:jc w:val="right"/>
              <w:bidi w:val="1"/>
            </w:pPr>
            <w:r/>
            <w:r>
              <w:rPr>
                <w:rFonts w:ascii="Arial" w:hAnsi="Arial" w:eastAsia="Arial" w:cs="Arial"/>
                <w:b/>
                <w:i w:val="0"/>
                <w:color w:val="FFFFFF"/>
                <w:sz w:val="16"/>
              </w:rPr>
              <w:t>النصف الأول 2026</w:t>
            </w:r>
          </w:p>
        </w:tc>
        <w:tc>
          <w:tcPr>
            <w:tcW w:type="dxa" w:w="2232"/>
            <w:vAlign w:val="center"/>
            <w:shd w:fill="17365D"/>
          </w:tcPr>
          <w:p>
            <w:pPr>
              <w:spacing w:after="40" w:before="40"/>
              <w:jc w:val="right"/>
              <w:bidi w:val="1"/>
            </w:pPr>
            <w:r/>
            <w:r>
              <w:rPr>
                <w:rFonts w:ascii="Arial" w:hAnsi="Arial" w:eastAsia="Arial" w:cs="Arial"/>
                <w:b/>
                <w:i w:val="0"/>
                <w:color w:val="FFFFFF"/>
                <w:sz w:val="16"/>
              </w:rPr>
              <w:t>النصف الأول 2025</w:t>
            </w:r>
          </w:p>
        </w:tc>
        <w:tc>
          <w:tcPr>
            <w:tcW w:type="dxa" w:w="1728"/>
            <w:vAlign w:val="center"/>
            <w:shd w:fill="17365D"/>
          </w:tcPr>
          <w:p>
            <w:pPr>
              <w:spacing w:after="40" w:before="40"/>
              <w:jc w:val="right"/>
              <w:bidi w:val="1"/>
            </w:pPr>
            <w:r/>
            <w:r>
              <w:rPr>
                <w:rFonts w:ascii="Arial" w:hAnsi="Arial" w:eastAsia="Arial" w:cs="Arial"/>
                <w:b/>
                <w:i w:val="0"/>
                <w:color w:val="FFFFFF"/>
                <w:sz w:val="16"/>
              </w:rPr>
              <w:t>التغير السنوي</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الإيرادات</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30.19 مليار جنيه</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24.39 مليار جنيه</w:t>
            </w:r>
          </w:p>
        </w:tc>
        <w:tc>
          <w:tcPr>
            <w:tcW w:type="dxa" w:w="172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23.8%</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ربح الفترة الموحد</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9.95 مليار جنيه</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8.11 مليار جنيه</w:t>
            </w:r>
          </w:p>
        </w:tc>
        <w:tc>
          <w:tcPr>
            <w:tcW w:type="dxa" w:w="172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22.6%</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الربح العائد لمساهمي الشركة الأم (أساس EPS)</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7.48 مليار جنيه</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6.41 مليار جنيه</w:t>
            </w:r>
          </w:p>
        </w:tc>
        <w:tc>
          <w:tcPr>
            <w:tcW w:type="dxa" w:w="172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16.7%</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ربحية السهم</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3.63 جنيه</w:t>
            </w:r>
          </w:p>
        </w:tc>
        <w:tc>
          <w:tcPr>
            <w:tcW w:type="dxa" w:w="223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3.11 جنيه</w:t>
            </w:r>
          </w:p>
        </w:tc>
        <w:tc>
          <w:tcPr>
            <w:tcW w:type="dxa" w:w="172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16.7%</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صافي التدفق النقدي من الأنشطة التشغيلية</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3.11 مليار جنيه</w:t>
            </w:r>
          </w:p>
        </w:tc>
        <w:tc>
          <w:tcPr>
            <w:tcW w:type="dxa" w:w="223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1.75 مليار جنيه</w:t>
            </w:r>
          </w:p>
        </w:tc>
        <w:tc>
          <w:tcPr>
            <w:tcW w:type="dxa" w:w="172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زيادة 77.8%</w:t>
            </w:r>
          </w:p>
        </w:tc>
      </w:tr>
    </w:tbl>
    <w:p>
      <w:pPr>
        <w:spacing w:after="20"/>
      </w:pPr>
    </w:p>
    <w:p>
      <w:pPr>
        <w:spacing w:after="60" w:before="0" w:line="259" w:lineRule="auto"/>
        <w:jc w:val="right"/>
        <w:keepLines/>
        <w:bidi w:val="1"/>
      </w:pPr>
      <w:r>
        <w:rPr>
          <w:rFonts w:ascii="Arial" w:hAnsi="Arial" w:eastAsia="Arial" w:cs="Arial"/>
          <w:b w:val="0"/>
          <w:i w:val="0"/>
          <w:sz w:val="20"/>
        </w:rPr>
        <w:t>يشمل الربح الموحد نتائج منسوبة إلى حصص غير مسيطرة في الشركات التابعة. أما الربح العائد لمساهمي الشركة الأم فهو الأنسب عند تقييم الأرباح المتاحة لمساهمي TMG الأم. وتدعم نتائج النصف الأول من 2026 قراءة إيجابية للزخم المالي المعلن، لكنها لا تثبت استمرار نمو المبيعات أو التسليمات أو التحويل النقدي بالمعدل نفسه. [S3]</w:t>
      </w:r>
    </w:p>
    <w:p>
      <w:pPr>
        <w:spacing w:before="140" w:after="100"/>
        <w:jc w:val="right"/>
        <w:keepNext/>
        <w:bidi w:val="1"/>
        <w:outlineLvl w:val="1"/>
      </w:pPr>
      <w:r>
        <w:rPr>
          <w:rFonts w:ascii="Arial" w:hAnsi="Arial" w:eastAsia="Arial" w:cs="Arial"/>
          <w:b/>
          <w:i w:val="0"/>
          <w:color w:val="17365D"/>
          <w:sz w:val="26"/>
        </w:rPr>
        <w:t>3.3 السيولة والديون والتزامات الإيجار</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3672"/>
            <w:vAlign w:val="center"/>
            <w:shd w:fill="17365D"/>
          </w:tcPr>
          <w:p>
            <w:pPr>
              <w:spacing w:after="40" w:before="40"/>
              <w:jc w:val="right"/>
              <w:bidi w:val="1"/>
            </w:pPr>
            <w:r/>
            <w:r>
              <w:rPr>
                <w:rFonts w:ascii="Arial" w:hAnsi="Arial" w:eastAsia="Arial" w:cs="Arial"/>
                <w:b/>
                <w:i w:val="0"/>
                <w:color w:val="FFFFFF"/>
                <w:sz w:val="16"/>
              </w:rPr>
              <w:t>بند الميزانية في 30 يونيو 2026</w:t>
            </w:r>
          </w:p>
        </w:tc>
        <w:tc>
          <w:tcPr>
            <w:tcW w:type="dxa" w:w="2376"/>
            <w:vAlign w:val="center"/>
            <w:shd w:fill="17365D"/>
          </w:tcPr>
          <w:p>
            <w:pPr>
              <w:spacing w:after="40" w:before="40"/>
              <w:jc w:val="right"/>
              <w:bidi w:val="1"/>
            </w:pPr>
            <w:r/>
            <w:r>
              <w:rPr>
                <w:rFonts w:ascii="Arial" w:hAnsi="Arial" w:eastAsia="Arial" w:cs="Arial"/>
                <w:b/>
                <w:i w:val="0"/>
                <w:color w:val="FFFFFF"/>
                <w:sz w:val="16"/>
              </w:rPr>
              <w:t>القيمة</w:t>
            </w:r>
          </w:p>
        </w:tc>
        <w:tc>
          <w:tcPr>
            <w:tcW w:type="dxa" w:w="3816"/>
            <w:vAlign w:val="center"/>
            <w:shd w:fill="17365D"/>
          </w:tcPr>
          <w:p>
            <w:pPr>
              <w:spacing w:after="40" w:before="40"/>
              <w:jc w:val="right"/>
              <w:bidi w:val="1"/>
            </w:pPr>
            <w:r/>
            <w:r>
              <w:rPr>
                <w:rFonts w:ascii="Arial" w:hAnsi="Arial" w:eastAsia="Arial" w:cs="Arial"/>
                <w:b/>
                <w:i w:val="0"/>
                <w:color w:val="FFFFFF"/>
                <w:sz w:val="16"/>
              </w:rPr>
              <w:t>الإشارة / المقارنة</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إجمالي الأصول</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477.90 مليار جنيه</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الميزانية الموحدة.</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إجمالي حقوق الملكية</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167.32 مليار جنيه</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الميزانية الموحدة.</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النقد وما يعادله</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47.11 مليار جنيه</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الرصيد النقدي.</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الودائع الزمنية الجارية والأصول المالية الجارية ذات الصلة</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نحو 19.3 مليار جنيه</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مدرجة بصورة منفصلة؛ التوافر يخضع للشروط.</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القروض والتسهيلات</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16.5 مليار جنيه</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مقابل 11.8 مليار جنيه في 31 ديسمبر 2025.</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أوراق التزامات الإيجار التمويلي</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43.99 مليار جنيه</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متداولة وغير متداولة؛ مقابل 34.40 مليار جنيه في ديسمبر 2025.</w:t>
            </w:r>
          </w:p>
        </w:tc>
      </w:tr>
      <w:tr>
        <w:trPr>
          <w:cantSplit/>
        </w:trPr>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متوسط سعر الفائدة الفعلي على القروض بالجنيه</w:t>
            </w:r>
          </w:p>
        </w:tc>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28.6%</w:t>
            </w:r>
          </w:p>
        </w:tc>
        <w:tc>
          <w:tcPr>
            <w:tcW w:type="dxa" w:w="381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وفق إفصاح الشركة في 30 يونيو 2026.</w:t>
            </w:r>
          </w:p>
        </w:tc>
      </w:tr>
      <w:tr>
        <w:trPr>
          <w:cantSplit/>
        </w:trPr>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حساسية سعر صرف الدولار</w:t>
            </w:r>
          </w:p>
        </w:tc>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أثر قبل الضريبة يقارب 1.12 مليار جنيه لتغير 10%</w:t>
            </w:r>
          </w:p>
        </w:tc>
        <w:tc>
          <w:tcPr>
            <w:tcW w:type="dxa" w:w="381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تحليل حساسية الشركة؛ الاتجاه يتوقف على حركة سعر الصرف وصافي التعرض.</w:t>
            </w:r>
          </w:p>
        </w:tc>
      </w:tr>
    </w:tbl>
    <w:p>
      <w:pPr>
        <w:spacing w:after="20"/>
      </w:pPr>
    </w:p>
    <w:p>
      <w:pPr>
        <w:spacing w:after="60" w:before="0" w:line="259" w:lineRule="auto"/>
        <w:jc w:val="right"/>
        <w:keepLines/>
        <w:bidi w:val="1"/>
      </w:pPr>
      <w:r>
        <w:rPr>
          <w:rFonts w:ascii="Arial" w:hAnsi="Arial" w:eastAsia="Arial" w:cs="Arial"/>
          <w:b w:val="0"/>
          <w:i w:val="0"/>
          <w:sz w:val="20"/>
        </w:rPr>
        <w:t>السيولة نقطة قوة فعلية: فالنقد مضافاً إليه الودائع الزمنية الجارية والأصول المالية الجارية ذات الصلة يبلغ نحو 66.4 مليار جنيه. ويعطي طرح القروض والتسهيلات البنكية البالغة 16.5 مليار جنيه فرقاً حسابياً موجباً يقارب 49.9 مليار جنيه. لكن هذا ليس حساباً كاملاً لصافي الدين؛ إذ لا يخصم التزامات الإيجار المالي أو الالتزامات الأخرى، ويفترض أن الموارد المالية ذات الصلة متاحة عند الحاجة. [S3]</w:t>
      </w:r>
    </w:p>
    <w:p>
      <w:pPr>
        <w:spacing w:after="60" w:before="0" w:line="259" w:lineRule="auto"/>
        <w:jc w:val="right"/>
        <w:keepLines/>
        <w:bidi w:val="1"/>
      </w:pPr>
      <w:r>
        <w:rPr>
          <w:rFonts w:ascii="Arial" w:hAnsi="Arial" w:eastAsia="Arial" w:cs="Arial"/>
          <w:b w:val="0"/>
          <w:i w:val="0"/>
          <w:sz w:val="20"/>
        </w:rPr>
        <w:t>ارتفعت القروض والتزامات الإيجار، ولا يعني ذلك تلقائياً وجود مشكلة لدى مطور يتوسع، لكن يجب ربط الزيادة بالإنفاق الرأسمالي والتزامات التوسع وآجال الاستحقاق وجداول سداد الإيجارات والتدفق النقدي. وقد تحرر معاملات البيع وإعادة الاستئجار سيولة من الأصول، لكنها تنشئ التزامات مستقبلية تعاقدية. [S3]</w:t>
      </w:r>
    </w:p>
    <w:p>
      <w:pPr>
        <w:spacing w:before="140" w:after="100"/>
        <w:jc w:val="right"/>
        <w:keepNext/>
        <w:bidi w:val="1"/>
        <w:outlineLvl w:val="1"/>
      </w:pPr>
      <w:r>
        <w:rPr>
          <w:rFonts w:ascii="Arial" w:hAnsi="Arial" w:eastAsia="Arial" w:cs="Arial"/>
          <w:b/>
          <w:i w:val="0"/>
          <w:color w:val="17365D"/>
          <w:sz w:val="26"/>
        </w:rPr>
        <w:t>3.4 التدفقات النقدية ورأس المال العامل</w:t>
      </w:r>
    </w:p>
    <w:p>
      <w:pPr>
        <w:spacing w:after="60" w:before="0" w:line="259" w:lineRule="auto"/>
        <w:jc w:val="right"/>
        <w:keepLines/>
        <w:bidi w:val="1"/>
      </w:pPr>
      <w:r>
        <w:rPr>
          <w:rFonts w:ascii="Arial" w:hAnsi="Arial" w:eastAsia="Arial" w:cs="Arial"/>
          <w:b w:val="0"/>
          <w:i w:val="0"/>
          <w:sz w:val="20"/>
        </w:rPr>
        <w:t>بلغ صافي التدفق النقدي التشغيلي في النصف الأول من 2026 نحو 3.11 مليار جنيه، أي قرابة 31% من الربح الموحد البالغ 9.95 مليار جنيه. وتذكر القوائم تدفقاً نقدياً سالباً لرأس المال العامل قدره 18.26 مليار جنيه بسبب العقارات تحت التطوير، وتدفقاً سالباً قدره 16.00 مليار جنيه نتيجة التغير في أصول متداولة أخرى، قابله جزئياً تدفق موجب قدره 16.32 مليار جنيه من التغير في دفعات العملاء المقدمة. تتسق هذه الحركة الكبيرة مع طبيعة المطور العقاري المتوسع، لكن استمرار ضعف التحويل النقدي يستحق التدقيق. [S3]</w:t>
      </w:r>
    </w:p>
    <w:p>
      <w:pPr>
        <w:spacing w:before="140" w:after="100"/>
        <w:jc w:val="right"/>
        <w:keepNext/>
        <w:bidi w:val="1"/>
        <w:outlineLvl w:val="1"/>
      </w:pPr>
      <w:r>
        <w:rPr>
          <w:rFonts w:ascii="Arial" w:hAnsi="Arial" w:eastAsia="Arial" w:cs="Arial"/>
          <w:b/>
          <w:i w:val="0"/>
          <w:color w:val="17365D"/>
          <w:sz w:val="26"/>
        </w:rPr>
        <w:t>3.5 دفعات العملاء المقدمة ورصيد المبيعات</w:t>
      </w:r>
    </w:p>
    <w:p>
      <w:pPr>
        <w:spacing w:after="60" w:before="0" w:line="259" w:lineRule="auto"/>
        <w:jc w:val="right"/>
        <w:keepLines/>
        <w:bidi w:val="1"/>
      </w:pPr>
      <w:r>
        <w:rPr>
          <w:rFonts w:ascii="Arial" w:hAnsi="Arial" w:eastAsia="Arial" w:cs="Arial"/>
          <w:b w:val="0"/>
          <w:i w:val="0"/>
          <w:sz w:val="20"/>
        </w:rPr>
        <w:t>بلغت دفعات العملاء المقدمة 133.99 مليار جنيه في 30 يونيو 2026، مقابل 117.68 مليار جنيه في 31 ديسمبر 2025. وهي ممارسة شائعة في نموذج البيع على المخطط في مصر، وتوفر تمويلاً للبناء قبل التسليم. لكنها تمثل أيضاً التزامات بالتسليم وليست أرباحاً حرة بالكامل. وقد يؤدي تباطؤ المبيعات الجديدة أو التحصيلات إلى تقليص التمويل المستقبلي بينما تستمر مصروفات الإنشاء والمدفوعات التعاقدية. [S3]</w:t>
      </w:r>
    </w:p>
    <w:p>
      <w:pPr>
        <w:spacing w:after="60" w:before="0" w:line="259" w:lineRule="auto"/>
        <w:jc w:val="right"/>
        <w:keepLines/>
        <w:bidi w:val="1"/>
      </w:pPr>
      <w:r>
        <w:rPr>
          <w:rFonts w:ascii="Arial" w:hAnsi="Arial" w:eastAsia="Arial" w:cs="Arial"/>
          <w:b w:val="0"/>
          <w:i w:val="0"/>
          <w:sz w:val="20"/>
        </w:rPr>
        <w:t>بلغ رصيد المبيعات العقارية المتعاقد عليها التي يُتوقع أن تدعم إيرادات مستقبلية 441.2 مليار جنيه في نهاية 2025، بزيادة 50% سنوياً. وتستبعد الشركة إجمالي مبيعات SouthMED من هذا الرصيد لأنها تصف ترتيباً أقل كثافة في الأصول تحصل بموجبه على رسم تطوير يقارب 8%. ويوفر الرصيد مؤشراً على الإيرادات المستقبلية المحتملة، لا نقداً محصلاً بالفعل ولا ضماناً للتسليم. [S2]</w:t>
      </w:r>
    </w:p>
    <w:p>
      <w:pPr>
        <w:spacing w:before="140" w:after="100"/>
        <w:jc w:val="right"/>
        <w:keepNext/>
        <w:bidi w:val="1"/>
        <w:outlineLvl w:val="1"/>
      </w:pPr>
      <w:r>
        <w:rPr>
          <w:rFonts w:ascii="Arial" w:hAnsi="Arial" w:eastAsia="Arial" w:cs="Arial"/>
          <w:b/>
          <w:i w:val="0"/>
          <w:color w:val="17365D"/>
          <w:sz w:val="26"/>
        </w:rPr>
        <w:t>3.6 التضخم والفائدة وسعر الصرف</w:t>
      </w:r>
    </w:p>
    <w:p>
      <w:pPr>
        <w:spacing w:after="60" w:before="0" w:line="259" w:lineRule="auto"/>
        <w:jc w:val="right"/>
        <w:keepLines/>
        <w:bidi w:val="1"/>
      </w:pPr>
      <w:r>
        <w:rPr>
          <w:rFonts w:ascii="Arial" w:hAnsi="Arial" w:eastAsia="Arial" w:cs="Arial"/>
          <w:b w:val="0"/>
          <w:i w:val="0"/>
          <w:sz w:val="20"/>
        </w:rPr>
        <w:t>يتأثر سوق المطورين المصريين بتضخم تكاليف الإنشاء وأسعار الطاقة ومدخلات البناء المستوردة وسعر الصرف والفائدة. وأعلن البنك المركزي المصري في مايو 2026 استمرار معدلات سياسة نقدية مرتفعة، كما توقع تقرير مراجعة صندوق النقد الدولي في يوليو 2026 ارتفاع التضخم إلى 16.7% في النصف الثاني من 2026 وفق توقعاته وقتها. هذه بيانات وتوقعات تاريخية منشورة، وليست تأكيداً لنتيجة فعلية في أكتوبر 2026. [S6، S7]</w:t>
      </w:r>
    </w:p>
    <w:p>
      <w:pPr>
        <w:spacing w:after="60" w:before="0" w:line="259" w:lineRule="auto"/>
        <w:jc w:val="right"/>
        <w:keepLines/>
        <w:bidi w:val="1"/>
      </w:pPr>
      <w:r>
        <w:rPr>
          <w:rFonts w:ascii="Arial" w:hAnsi="Arial" w:eastAsia="Arial" w:cs="Arial"/>
          <w:b w:val="0"/>
          <w:i w:val="0"/>
          <w:sz w:val="20"/>
        </w:rPr>
        <w:t>أشار تقرير Gleeds لسوق التشييد المصري في الربعين الأول والثاني من 2026 إلى ضغوط على التكاليف والتسليم ترتبط بالتضخم والطاقة والمدخلات المستوردة. وتشمل قنوات التأثير المحتملة على TMG ارتفاع تكلفة المقاولين والمواد، وزيادة تكلفة تمويل المشروعات، وتعديل الأسعار أو خطط السداد لدعم الطلب، وتغير قيمة الأصول والالتزامات بالعملة الأجنبية، وتراجع القيمة الحقيقية للأقساط المحصلة على فترات طويلة. [S8]</w:t>
      </w:r>
    </w:p>
    <w:p>
      <w:pPr>
        <w:spacing w:before="140" w:after="100"/>
        <w:jc w:val="right"/>
        <w:keepNext/>
        <w:bidi w:val="1"/>
        <w:outlineLvl w:val="1"/>
      </w:pPr>
      <w:r>
        <w:rPr>
          <w:rFonts w:ascii="Arial" w:hAnsi="Arial" w:eastAsia="Arial" w:cs="Arial"/>
          <w:b/>
          <w:i w:val="0"/>
          <w:color w:val="17365D"/>
          <w:sz w:val="26"/>
        </w:rPr>
        <w:t>3.7 آفاق السوق العقاري</w:t>
      </w:r>
    </w:p>
    <w:p>
      <w:pPr>
        <w:spacing w:after="60" w:before="0" w:line="259" w:lineRule="auto"/>
        <w:jc w:val="right"/>
        <w:keepLines/>
        <w:bidi w:val="1"/>
      </w:pPr>
      <w:r>
        <w:rPr>
          <w:rFonts w:ascii="Arial" w:hAnsi="Arial" w:eastAsia="Arial" w:cs="Arial"/>
          <w:b w:val="0"/>
          <w:i w:val="0"/>
          <w:sz w:val="20"/>
        </w:rPr>
        <w:t>ذكر تقرير EFG Hermes لعام 2026 أن الطلب على المنازل الثانوية في الساحل الشمالي والبحر الأحمر كان قوياً في 2025، بينما كان الطلب في القاهرة الكبرى مستقراً نسبياً، مع ضغوط متزايدة على القدرة الشرائية بسبب ارتفاع الأسعار، واستخدام آجال تقسيط أطول لدعم المبيعات. كما أشارت تغطية Financial Times في أكتوبر 2026 إلى محاولات لجعل الساحل الشمالي وجهة دولية على مدار العام، مع استمرار تحدي تجاوز موسمية الصيف. [S9، S10]</w:t>
      </w:r>
    </w:p>
    <w:p>
      <w:pPr>
        <w:spacing w:after="60" w:before="0" w:line="259" w:lineRule="auto"/>
        <w:jc w:val="right"/>
        <w:keepLines/>
        <w:bidi w:val="1"/>
      </w:pPr>
      <w:r>
        <w:rPr>
          <w:rFonts w:ascii="Arial" w:hAnsi="Arial" w:eastAsia="Arial" w:cs="Arial"/>
          <w:b w:val="0"/>
          <w:i w:val="0"/>
          <w:sz w:val="20"/>
        </w:rPr>
        <w:t>تشمل فرص النمو السياحة والبنية التحتية والاستثمار الأجنبي والمجتمعات القائمة والدخل المتكرر. في المقابل، قد يتجاوز نمو الأسعار قدرة المستخدم النهائي على الشراء، ما يزيد الاعتماد على المستثمرين وخطط التقسيط والتنفيذ طويل الأمد للمشروعات.</w:t>
      </w:r>
    </w:p>
    <w:p>
      <w:pPr>
        <w:spacing w:before="240" w:after="100"/>
        <w:jc w:val="right"/>
        <w:keepNext/>
        <w:bidi w:val="1"/>
        <w:outlineLvl w:val="0"/>
      </w:pPr>
      <w:r>
        <w:rPr>
          <w:rFonts w:ascii="Arial" w:hAnsi="Arial" w:eastAsia="Arial" w:cs="Arial"/>
          <w:b/>
          <w:i w:val="0"/>
          <w:color w:val="17365D"/>
          <w:sz w:val="34"/>
        </w:rPr>
        <w:t>4. الآراء الإيجابية والسلبية</w:t>
      </w:r>
    </w:p>
    <w:p>
      <w:pPr>
        <w:spacing w:before="140" w:after="100"/>
        <w:jc w:val="right"/>
        <w:keepNext/>
        <w:bidi w:val="1"/>
        <w:outlineLvl w:val="1"/>
      </w:pPr>
      <w:r>
        <w:rPr>
          <w:rFonts w:ascii="Arial" w:hAnsi="Arial" w:eastAsia="Arial" w:cs="Arial"/>
          <w:b/>
          <w:i w:val="0"/>
          <w:color w:val="17365D"/>
          <w:sz w:val="26"/>
        </w:rPr>
        <w:t>4.1 أدلة وآراء إيجابية</w:t>
      </w:r>
    </w:p>
    <w:p>
      <w:pPr>
        <w:spacing w:after="60" w:line="259" w:lineRule="auto"/>
        <w:ind w:left="144" w:right="216" w:hanging="72"/>
        <w:jc w:val="right"/>
        <w:bidi w:val="1"/>
      </w:pPr>
      <w:r>
        <w:rPr>
          <w:rFonts w:ascii="Arial" w:hAnsi="Arial" w:eastAsia="Arial" w:cs="Arial"/>
          <w:b w:val="0"/>
          <w:i w:val="0"/>
          <w:sz w:val="20"/>
        </w:rPr>
        <w:t>•  نموذج المجتمعات المتكاملة: تجمع مدينتي والرحاب ومشروعات أخرى بين السكن والخدمات والنوادي والتجزئة والبنية التحتية. وقد يحسن الحجم وسهولة الوصول جاذبية المجتمع إذا جرى الحفاظ على مستوى الخدمات المتوقع. [S5]</w:t>
      </w:r>
    </w:p>
    <w:p>
      <w:pPr>
        <w:spacing w:after="60" w:line="259" w:lineRule="auto"/>
        <w:ind w:left="144" w:right="216" w:hanging="72"/>
        <w:jc w:val="right"/>
        <w:bidi w:val="1"/>
      </w:pPr>
      <w:r>
        <w:rPr>
          <w:rFonts w:ascii="Arial" w:hAnsi="Arial" w:eastAsia="Arial" w:cs="Arial"/>
          <w:b w:val="0"/>
          <w:i w:val="0"/>
          <w:sz w:val="20"/>
        </w:rPr>
        <w:t>•  الدخل المتكرر والضيافة: أفصحت الشركة عن نمو إيرادات الضيافة 30% والإيرادات الأخرى المتكررة 64% في 2025، وهو ما يدعم التنويع بعيداً عن مبيعات الوحدات، لكن استدامة هذا النمو تحتاج إلى تحقق مستقبلي. [S2]</w:t>
      </w:r>
    </w:p>
    <w:p>
      <w:pPr>
        <w:spacing w:after="60" w:line="259" w:lineRule="auto"/>
        <w:ind w:left="144" w:right="216" w:hanging="72"/>
        <w:jc w:val="right"/>
        <w:bidi w:val="1"/>
      </w:pPr>
      <w:r>
        <w:rPr>
          <w:rFonts w:ascii="Arial" w:hAnsi="Arial" w:eastAsia="Arial" w:cs="Arial"/>
          <w:b w:val="0"/>
          <w:i w:val="0"/>
          <w:sz w:val="20"/>
        </w:rPr>
        <w:t>•  قاعدة أصول وعلامة تجارية: المجتمعات القائمة والفنادق ورصيد المبيعات المعلن تمنح المجموعة حجماً تشغيلياً وقاعدة لتوليد الدخل من البنية التحتية وعلاقات العملاء. [S2، S5]</w:t>
      </w:r>
    </w:p>
    <w:p>
      <w:pPr>
        <w:spacing w:after="60" w:line="259" w:lineRule="auto"/>
        <w:ind w:left="144" w:right="216" w:hanging="72"/>
        <w:jc w:val="right"/>
        <w:bidi w:val="1"/>
      </w:pPr>
      <w:r>
        <w:rPr>
          <w:rFonts w:ascii="Arial" w:hAnsi="Arial" w:eastAsia="Arial" w:cs="Arial"/>
          <w:b w:val="0"/>
          <w:i w:val="0"/>
          <w:sz w:val="20"/>
        </w:rPr>
        <w:t>•  مثال محدود على التفاعل المجتمعي: نشرت Daily News Egypt في نوفمبر 2023 تقريراً عن إشادة سكان مرتبطة بملتقى للتوظيف المجتمعي. لكنه مثال إيجابي محدود وليس استطلاعاً ممثلاً لرضا العملاء. [S16]</w:t>
      </w:r>
    </w:p>
    <w:p>
      <w:pPr>
        <w:spacing w:after="60" w:before="0" w:line="259" w:lineRule="auto"/>
        <w:jc w:val="right"/>
        <w:keepLines/>
        <w:bidi w:val="1"/>
      </w:pPr>
      <w:r>
        <w:rPr>
          <w:rFonts w:ascii="Arial" w:hAnsi="Arial" w:eastAsia="Arial" w:cs="Arial"/>
          <w:b w:val="0"/>
          <w:i w:val="0"/>
          <w:sz w:val="20"/>
        </w:rPr>
        <w:t>التقييم التحليلي: أقوى الأدلة الإيجابية تتمثل في النتائج المالية المعلنة وقاعدة الأصول وأنشطة الضيافة والقدرة على تشغيل مجتمعات متكاملة، وليس في شهادات فردية أو مواد تسويقية وحدها.</w:t>
      </w:r>
    </w:p>
    <w:p>
      <w:pPr>
        <w:spacing w:before="140" w:after="100"/>
        <w:jc w:val="right"/>
        <w:keepNext/>
        <w:bidi w:val="1"/>
        <w:outlineLvl w:val="1"/>
      </w:pPr>
      <w:r>
        <w:rPr>
          <w:rFonts w:ascii="Arial" w:hAnsi="Arial" w:eastAsia="Arial" w:cs="Arial"/>
          <w:b/>
          <w:i w:val="0"/>
          <w:color w:val="17365D"/>
          <w:sz w:val="26"/>
        </w:rPr>
        <w:t>4.2 الآراء السلبية والشكاوى وإشارات التحذير</w:t>
      </w:r>
    </w:p>
    <w:p>
      <w:pPr>
        <w:spacing w:before="140" w:after="100"/>
        <w:jc w:val="right"/>
        <w:keepNext/>
        <w:bidi w:val="1"/>
        <w:outlineLvl w:val="2"/>
      </w:pPr>
      <w:r>
        <w:rPr>
          <w:rFonts w:ascii="Arial" w:hAnsi="Arial" w:eastAsia="Arial" w:cs="Arial"/>
          <w:b/>
          <w:i w:val="0"/>
          <w:color w:val="0F6B78"/>
          <w:sz w:val="23"/>
        </w:rPr>
        <w:t>شكاوى خدمات السكان وحالة العقارات</w:t>
      </w:r>
    </w:p>
    <w:p>
      <w:pPr>
        <w:spacing w:after="60" w:before="0" w:line="259" w:lineRule="auto"/>
        <w:jc w:val="right"/>
        <w:keepLines/>
        <w:bidi w:val="1"/>
      </w:pPr>
      <w:r>
        <w:rPr>
          <w:rFonts w:ascii="Arial" w:hAnsi="Arial" w:eastAsia="Arial" w:cs="Arial"/>
          <w:b w:val="0"/>
          <w:i w:val="0"/>
          <w:sz w:val="20"/>
        </w:rPr>
        <w:t>تورد مقالة على بوابة عقارية مشكلات مزعومة في مدينتي تتعلق بالصيانة والسباكة وتشققات الجدران والرطوبة وضغط المياه وانقطاعات الكهرباء والحيوانات الضالة والتغطية الأمنية. لكنها لا تقدم عينة ممثلة أو نتائج فحص مستقلة أو إحصاءات لمدى انتشار كل مشكلة. لذا يجب التعامل معها كقائمة أسئلة للفحص الميداني، وليس دليلاً على رداءة جودة المشروع بأكمله. [S17]</w:t>
      </w:r>
    </w:p>
    <w:p>
      <w:pPr>
        <w:spacing w:after="60" w:before="0" w:line="259" w:lineRule="auto"/>
        <w:jc w:val="right"/>
        <w:keepLines/>
        <w:bidi w:val="1"/>
      </w:pPr>
      <w:r>
        <w:rPr>
          <w:rFonts w:ascii="Arial" w:hAnsi="Arial" w:eastAsia="Arial" w:cs="Arial"/>
          <w:b w:val="0"/>
          <w:i w:val="0"/>
          <w:sz w:val="20"/>
        </w:rPr>
        <w:t>في حالة العقار المحدد، ينبغي التحقق من العيوب في المبنى ذاته، ونطاق الضمان، والمدة اللازمة لإغلاق بلاغات الصيانة، وترتيبات المرافق، ورسوم الخدمات الفعلية.</w:t>
      </w:r>
    </w:p>
    <w:p>
      <w:pPr>
        <w:spacing w:before="140" w:after="100"/>
        <w:jc w:val="right"/>
        <w:keepNext/>
        <w:bidi w:val="1"/>
        <w:outlineLvl w:val="2"/>
      </w:pPr>
      <w:r>
        <w:rPr>
          <w:rFonts w:ascii="Arial" w:hAnsi="Arial" w:eastAsia="Arial" w:cs="Arial"/>
          <w:b/>
          <w:i w:val="0"/>
          <w:color w:val="0F6B78"/>
          <w:sz w:val="23"/>
        </w:rPr>
        <w:t>شكاوى قطاعية بشأن العقود والتسليم</w:t>
      </w:r>
    </w:p>
    <w:p>
      <w:pPr>
        <w:spacing w:after="60" w:before="0" w:line="259" w:lineRule="auto"/>
        <w:jc w:val="right"/>
        <w:keepLines/>
        <w:bidi w:val="1"/>
      </w:pPr>
      <w:r>
        <w:rPr>
          <w:rFonts w:ascii="Arial" w:hAnsi="Arial" w:eastAsia="Arial" w:cs="Arial"/>
          <w:b w:val="0"/>
          <w:i w:val="0"/>
          <w:sz w:val="20"/>
        </w:rPr>
        <w:t>نشرت جريدة البورصة تغطية في يونيو 2025 عن شكاوى أوسع في القطاع العقاري المصري شملت تأخر التسليم والاختلاف بين الوحدات المسلّمة والمواصفات وشفافية العقود. تفيد التغطية في فهم سياق القطاع لكنها لا تثبت أن الشكاوى تخص TMG تحديداً. كما أصدرت الهيئة العامة للرقابة المالية توجيهات في سبتمبر 2026 تحث العملاء على مراجعة شروط العقود وبنود التنازل عن الحقوق؛ وهي توجيهات قطاعية وليست إجراءً سلبياً ضد TMG. [S21، S15]</w:t>
      </w:r>
    </w:p>
    <w:p>
      <w:pPr>
        <w:spacing w:before="140" w:after="100"/>
        <w:jc w:val="right"/>
        <w:keepNext/>
        <w:bidi w:val="1"/>
        <w:outlineLvl w:val="2"/>
      </w:pPr>
      <w:r>
        <w:rPr>
          <w:rFonts w:ascii="Arial" w:hAnsi="Arial" w:eastAsia="Arial" w:cs="Arial"/>
          <w:b/>
          <w:i w:val="0"/>
          <w:color w:val="0F6B78"/>
          <w:sz w:val="23"/>
        </w:rPr>
        <w:t>آراء العاملين وعلاقات العمل</w:t>
      </w:r>
    </w:p>
    <w:p>
      <w:pPr>
        <w:spacing w:after="60" w:before="0" w:line="259" w:lineRule="auto"/>
        <w:jc w:val="right"/>
        <w:keepLines/>
        <w:bidi w:val="1"/>
      </w:pPr>
      <w:r>
        <w:rPr>
          <w:rFonts w:ascii="Arial" w:hAnsi="Arial" w:eastAsia="Arial" w:cs="Arial"/>
          <w:b w:val="0"/>
          <w:i w:val="0"/>
          <w:sz w:val="20"/>
        </w:rPr>
        <w:t>تُظهر صفحة Indeed المصرية الخاصة بآراء العاملين عن TMG تقييماً إجمالياً قدره 3.3 من 5 اعتماداً على ستة آراء. والعينة صغيرة وذاتية الاختيار، لذا لا تمثل بالضرورة ظروف العمل في المجموعة كلها ويجب التعامل معها كمؤشر ضعيف لا كمقياس شامل. [S20]</w:t>
      </w:r>
    </w:p>
    <w:p>
      <w:pPr>
        <w:spacing w:after="60" w:before="0" w:line="259" w:lineRule="auto"/>
        <w:jc w:val="right"/>
        <w:keepLines/>
        <w:bidi w:val="1"/>
      </w:pPr>
      <w:r>
        <w:rPr>
          <w:rFonts w:ascii="Arial" w:hAnsi="Arial" w:eastAsia="Arial" w:cs="Arial"/>
          <w:b w:val="0"/>
          <w:i w:val="0"/>
          <w:sz w:val="20"/>
        </w:rPr>
        <w:t>في 29 أكتوبر 2025، أفادت منصة المنصة بأن أفراد أمن في مدينتي يعملون لدى شركة الإسكندرية للإنشاءات، وهي شركة تابعة للمجموعة، قدموا التماساً للمطالبة برفع الأجور وتقليل ساعات العمل وتحسين استقرار التعاقد. ونُقلت عن عاملين مزاعم بشأن نوبات من 12 ساعة ومشكلات تتعلق بأجر العمل الإضافي والإجازات السنوية. هذه مزاعم أوردتها وسيلة إعلام مستقلة، ولم تثبت قضائياً في المصادر التي تمت مراجعتها. ولم يُعثر في المواد المستشهد بها على رد موثق من الشركة. [S14]</w:t>
      </w:r>
    </w:p>
    <w:p>
      <w:pPr>
        <w:spacing w:before="140" w:after="100"/>
        <w:jc w:val="right"/>
        <w:keepNext/>
        <w:bidi w:val="1"/>
        <w:outlineLvl w:val="2"/>
      </w:pPr>
      <w:r>
        <w:rPr>
          <w:rFonts w:ascii="Arial" w:hAnsi="Arial" w:eastAsia="Arial" w:cs="Arial"/>
          <w:b/>
          <w:i w:val="0"/>
          <w:color w:val="0F6B78"/>
          <w:sz w:val="23"/>
        </w:rPr>
        <w:t>قراءة المستثمرين: تفسير إيجابي وآخر حذر</w:t>
      </w:r>
    </w:p>
    <w:p>
      <w:pPr>
        <w:spacing w:after="60" w:before="0" w:line="259" w:lineRule="auto"/>
        <w:jc w:val="right"/>
        <w:keepLines/>
        <w:bidi w:val="1"/>
      </w:pPr>
      <w:r>
        <w:rPr>
          <w:rFonts w:ascii="Arial" w:hAnsi="Arial" w:eastAsia="Arial" w:cs="Arial"/>
          <w:b w:val="0"/>
          <w:i w:val="0"/>
          <w:sz w:val="20"/>
        </w:rPr>
        <w:t>يركز التفسير الإيجابي على نمو الأرباح والسيولة ورصيد المبيعات والمجتمعات القائمة وإيرادات الضيافة المتكررة. أما التفسير الحذر فيركز على التحويل النقدي وارتفاع الاقتراض والتزامات الإيجار وتطبيع المبيعات وضغوط القدرة الشرائية والتزامات التسليم والحوكمة. كلا التفسيرين ممكن تحليلياً، ولا يمثل وحده دليلاً على معلومات خفية أو تسعير خاطئ للسهم.</w:t>
      </w:r>
    </w:p>
    <w:p>
      <w:pPr>
        <w:spacing w:before="140" w:after="100"/>
        <w:jc w:val="right"/>
        <w:keepNext/>
        <w:bidi w:val="1"/>
        <w:outlineLvl w:val="1"/>
      </w:pPr>
      <w:r>
        <w:rPr>
          <w:rFonts w:ascii="Arial" w:hAnsi="Arial" w:eastAsia="Arial" w:cs="Arial"/>
          <w:b/>
          <w:i w:val="0"/>
          <w:color w:val="17365D"/>
          <w:sz w:val="26"/>
        </w:rPr>
        <w:t>وزن الأدلة</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2376"/>
            <w:vAlign w:val="center"/>
            <w:shd w:fill="17365D"/>
          </w:tcPr>
          <w:p>
            <w:pPr>
              <w:spacing w:after="40" w:before="40"/>
              <w:jc w:val="right"/>
              <w:bidi w:val="1"/>
            </w:pPr>
            <w:r/>
            <w:r>
              <w:rPr>
                <w:rFonts w:ascii="Arial" w:hAnsi="Arial" w:eastAsia="Arial" w:cs="Arial"/>
                <w:b/>
                <w:i w:val="0"/>
                <w:color w:val="FFFFFF"/>
                <w:sz w:val="16"/>
              </w:rPr>
              <w:t>نوع المصدر</w:t>
            </w:r>
          </w:p>
        </w:tc>
        <w:tc>
          <w:tcPr>
            <w:tcW w:type="dxa" w:w="3672"/>
            <w:vAlign w:val="center"/>
            <w:shd w:fill="17365D"/>
          </w:tcPr>
          <w:p>
            <w:pPr>
              <w:spacing w:after="40" w:before="40"/>
              <w:jc w:val="right"/>
              <w:bidi w:val="1"/>
            </w:pPr>
            <w:r/>
            <w:r>
              <w:rPr>
                <w:rFonts w:ascii="Arial" w:hAnsi="Arial" w:eastAsia="Arial" w:cs="Arial"/>
                <w:b/>
                <w:i w:val="0"/>
                <w:color w:val="FFFFFF"/>
                <w:sz w:val="16"/>
              </w:rPr>
              <w:t>الاستخدام المناسب</w:t>
            </w:r>
          </w:p>
        </w:tc>
        <w:tc>
          <w:tcPr>
            <w:tcW w:type="dxa" w:w="3672"/>
            <w:vAlign w:val="center"/>
            <w:shd w:fill="17365D"/>
          </w:tcPr>
          <w:p>
            <w:pPr>
              <w:spacing w:after="40" w:before="40"/>
              <w:jc w:val="right"/>
              <w:bidi w:val="1"/>
            </w:pPr>
            <w:r/>
            <w:r>
              <w:rPr>
                <w:rFonts w:ascii="Arial" w:hAnsi="Arial" w:eastAsia="Arial" w:cs="Arial"/>
                <w:b/>
                <w:i w:val="0"/>
                <w:color w:val="FFFFFF"/>
                <w:sz w:val="16"/>
              </w:rPr>
              <w:t>القيود</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القوائم المالية والإفصاحات الرسمية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أفضل نقطة بداية للحقائق المالية والحوكمة المعلنة.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لا توضح كل تجربة عميل؛ ويلزم تفسير الأرقام في سياقها.</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الأحكام القضائية والقرارات التنظيمية</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تحدد الوضع القانوني أو التنظيمي لمسألة موثقة.</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الحكم في قضية واحدة لا يثبت وجود نمط عام.</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الصحافة الاستقصائية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تحدد نزاعات وادعاءات ومخاوف شفافية تستند إلى تحقيق.</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يجب الفصل بين تفسير الصحفي والحكم القانوني النافذ.</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الإعلام المستقل الذي يستند إلى مصادر/وثائق</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يساعد على فهم تجارب الأطراف المعنية وتطورات السوق.</w:t>
            </w:r>
          </w:p>
        </w:tc>
        <w:tc>
          <w:tcPr>
            <w:tcW w:type="dxa" w:w="3672"/>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قد تبقى الادعاءات دون حسم، وقد لا تمثل القصة الواحدة الجميع.</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المراجعات المجهولة وبوابات العقارات</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تثير أسئلة تستحق الفحص أو المتابعة.</w:t>
            </w:r>
          </w:p>
        </w:tc>
        <w:tc>
          <w:tcPr>
            <w:tcW w:type="dxa" w:w="3672"/>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الانتقائية وصغر العينات وعدم اليقين في التحقق تمنع تعميم النتائج.</w:t>
            </w:r>
          </w:p>
        </w:tc>
      </w:tr>
    </w:tbl>
    <w:p>
      <w:pPr>
        <w:spacing w:after="20"/>
      </w:pPr>
    </w:p>
    <w:p>
      <w:pPr>
        <w:spacing w:after="60" w:before="0" w:line="259" w:lineRule="auto"/>
        <w:jc w:val="right"/>
        <w:keepLines/>
        <w:bidi w:val="1"/>
      </w:pPr>
      <w:r>
        <w:rPr>
          <w:rFonts w:ascii="Arial" w:hAnsi="Arial" w:eastAsia="Arial" w:cs="Arial"/>
          <w:b w:val="0"/>
          <w:i w:val="0"/>
          <w:sz w:val="20"/>
        </w:rPr>
        <w:t>لا تثبت الأدلة العامة التي تمت مراجعتها وجود معدل ممثل لرضا عملاء TMG أو نسبة عيوب أو معدل تأخر تسليم أو معدل شكاوى رسمي. ولذلك تظل الاستنتاجات العامة حول جودة الإنشاء وخدمة العملاء مؤقتة وغير حاسمة.</w:t>
      </w:r>
    </w:p>
    <w:p>
      <w:pPr>
        <w:spacing w:before="240" w:after="100"/>
        <w:jc w:val="right"/>
        <w:keepNext/>
        <w:bidi w:val="1"/>
        <w:outlineLvl w:val="0"/>
      </w:pPr>
      <w:r>
        <w:rPr>
          <w:rFonts w:ascii="Arial" w:hAnsi="Arial" w:eastAsia="Arial" w:cs="Arial"/>
          <w:b/>
          <w:i w:val="0"/>
          <w:color w:val="17365D"/>
          <w:sz w:val="34"/>
        </w:rPr>
        <w:t>5. المراجعة القانونية والتنظيمية والسمعة</w:t>
      </w:r>
    </w:p>
    <w:p>
      <w:pPr>
        <w:spacing w:before="140" w:after="100"/>
        <w:jc w:val="right"/>
        <w:keepNext/>
        <w:bidi w:val="1"/>
        <w:outlineLvl w:val="1"/>
      </w:pPr>
      <w:r>
        <w:rPr>
          <w:rFonts w:ascii="Arial" w:hAnsi="Arial" w:eastAsia="Arial" w:cs="Arial"/>
          <w:b/>
          <w:i w:val="0"/>
          <w:color w:val="17365D"/>
          <w:sz w:val="26"/>
        </w:rPr>
        <w:t>5.1 نزاع تخصيص أرض مدينتي</w:t>
      </w:r>
    </w:p>
    <w:p>
      <w:pPr>
        <w:spacing w:after="60" w:before="0" w:line="259" w:lineRule="auto"/>
        <w:jc w:val="right"/>
        <w:keepLines/>
        <w:bidi w:val="1"/>
      </w:pPr>
      <w:r>
        <w:rPr>
          <w:rFonts w:ascii="Arial" w:hAnsi="Arial" w:eastAsia="Arial" w:cs="Arial"/>
          <w:b w:val="0"/>
          <w:i w:val="0"/>
          <w:sz w:val="20"/>
        </w:rPr>
        <w:t>في 2010، قضت محكمة بإلغاء البيع المباشر لأرض مدينتي من الدولة وطرح الأرض في مزاد عام. وأثار النزاع تساؤلات حول تخصيص أراضي الدولة لكبار المطورين وأثار قلقاً لدى مستثمري القطاع العقاري. ثم جرى لاحقاً إبرام اتفاق بديل. [S12]</w:t>
      </w:r>
    </w:p>
    <w:p>
      <w:pPr>
        <w:spacing w:after="60" w:before="0" w:line="259" w:lineRule="auto"/>
        <w:jc w:val="right"/>
        <w:keepLines/>
        <w:bidi w:val="1"/>
      </w:pPr>
      <w:r>
        <w:rPr>
          <w:rFonts w:ascii="Arial" w:hAnsi="Arial" w:eastAsia="Arial" w:cs="Arial"/>
          <w:b w:val="0"/>
          <w:i w:val="0"/>
          <w:sz w:val="20"/>
        </w:rPr>
        <w:t>وفي نوفمبر 2011، أفادت رويترز عبر Ahram Online بأن محكمة مصرية قضت بصحة عقد أرض مدينتي البديل. لذلك لا يصح عرض التحدي القانوني الأصلي باعتباره دليلاً على أن مدينتي مشروع غير قانوني حالياً. [S11]</w:t>
      </w:r>
    </w:p>
    <w:p>
      <w:pPr>
        <w:spacing w:after="60" w:before="0" w:line="259" w:lineRule="auto"/>
        <w:jc w:val="right"/>
        <w:keepLines/>
        <w:bidi w:val="1"/>
      </w:pPr>
      <w:r>
        <w:rPr>
          <w:rFonts w:ascii="Arial" w:hAnsi="Arial" w:eastAsia="Arial" w:cs="Arial"/>
          <w:b w:val="0"/>
          <w:i w:val="0"/>
          <w:sz w:val="20"/>
        </w:rPr>
        <w:t>سبب استمرار أهمية المسألة: حقوق الأرض والتطوير أصول تأسيسية لشركات العقارات. ويمكن للنزاعات التاريخية أن تؤثر في تصورات اليقين القانوني وعلاقات القطاع العام وشفافية تقييم الأراضي وتخصيصها. ويجب مراجعة المستندات الحالية الخاصة بكل مشروع على نحو مستقل.</w:t>
      </w:r>
    </w:p>
    <w:p>
      <w:pPr>
        <w:spacing w:before="140" w:after="100"/>
        <w:jc w:val="right"/>
        <w:keepNext/>
        <w:bidi w:val="1"/>
        <w:outlineLvl w:val="1"/>
      </w:pPr>
      <w:r>
        <w:rPr>
          <w:rFonts w:ascii="Arial" w:hAnsi="Arial" w:eastAsia="Arial" w:cs="Arial"/>
          <w:b/>
          <w:i w:val="0"/>
          <w:color w:val="17365D"/>
          <w:sz w:val="26"/>
        </w:rPr>
        <w:t>5.2 تحقيق مستقل في تخصيص الأراضي والشفافية</w:t>
      </w:r>
    </w:p>
    <w:p>
      <w:pPr>
        <w:spacing w:after="60" w:before="0" w:line="259" w:lineRule="auto"/>
        <w:jc w:val="right"/>
        <w:keepLines/>
        <w:bidi w:val="1"/>
      </w:pPr>
      <w:r>
        <w:rPr>
          <w:rFonts w:ascii="Arial" w:hAnsi="Arial" w:eastAsia="Arial" w:cs="Arial"/>
          <w:b w:val="0"/>
          <w:i w:val="0"/>
          <w:sz w:val="20"/>
        </w:rPr>
        <w:t>بحث تحقيق لمنظمة ARIJ عام 2023 تخصيص الأراضي لكبار المطورين في مصر، بما في ذلك مشروعات مرتبطة بـTMG. وخلص التحقيق إلى أن تغييرات إجراءات تخصيص الأراضي قللت الشفافية وجعلت بعض جوانب الترتيبات المتعلقة بمشروعات مثل نور وسيليا صعبة التدقيق. تمثل هذه مادة صحفية استقصائية مهمة، لكنها ليست حكماً قضائياً نافذاً أو قراراً تنظيمياً يثبت أن مشروعاً حالياً لـTMG غير قانوني. [S13]</w:t>
      </w:r>
    </w:p>
    <w:p>
      <w:pPr>
        <w:spacing w:after="60" w:before="0" w:line="259" w:lineRule="auto"/>
        <w:jc w:val="right"/>
        <w:keepLines/>
        <w:bidi w:val="1"/>
      </w:pPr>
      <w:r>
        <w:rPr>
          <w:rFonts w:ascii="Arial" w:hAnsi="Arial" w:eastAsia="Arial" w:cs="Arial"/>
          <w:b w:val="0"/>
          <w:i w:val="0"/>
          <w:sz w:val="20"/>
        </w:rPr>
        <w:t>تشمل فحوص المتابعة التحقق من سندات الأرض وحقوق التطوير والالتزامات المالية تجاه الدولة والتراخيص، وإمكانية الحصول على الاتفاقيات الخاصة بالمشروع كاملة.</w:t>
      </w:r>
    </w:p>
    <w:p>
      <w:pPr>
        <w:spacing w:before="140" w:after="100"/>
        <w:jc w:val="right"/>
        <w:keepNext/>
        <w:bidi w:val="1"/>
        <w:outlineLvl w:val="1"/>
      </w:pPr>
      <w:r>
        <w:rPr>
          <w:rFonts w:ascii="Arial" w:hAnsi="Arial" w:eastAsia="Arial" w:cs="Arial"/>
          <w:b/>
          <w:i w:val="0"/>
          <w:color w:val="17365D"/>
          <w:sz w:val="26"/>
        </w:rPr>
        <w:t>5.3 القضية التاريخية للرئيس التنفيذي والعفو</w:t>
      </w:r>
    </w:p>
    <w:p>
      <w:pPr>
        <w:spacing w:after="60" w:before="0" w:line="259" w:lineRule="auto"/>
        <w:jc w:val="right"/>
        <w:keepLines/>
        <w:bidi w:val="1"/>
      </w:pPr>
      <w:r>
        <w:rPr>
          <w:rFonts w:ascii="Arial" w:hAnsi="Arial" w:eastAsia="Arial" w:cs="Arial"/>
          <w:b w:val="0"/>
          <w:i w:val="0"/>
          <w:sz w:val="20"/>
        </w:rPr>
        <w:t>لهشام طلعت مصطفى، الرئيس التنفيذي الحالي لـTMG، تاريخ قضائي موثق في قضية جنائية منفصلة عن النتائج المالية الحالية للمجموعة. وتشير تقارير إلى إدانته في 2009 في القضية المتعلقة بمقتل سوزان تميم، وإلى تأييد محكمة الاستئناف في 2012 حكماً بالسجن 15 عاماً. كما أوردت رويترز أنه كان ضمن من شملهم عفو رئاسي في 2017. وذكر تحقيق ARIJ في 2023 حكماً قضائياً لاحقاً يتعلق برد الاعتبار؛ وينبغي الرجوع إلى الحكم الأصلي لتحديد أثره القانوني بدقة. [S13، S18، S19]</w:t>
      </w:r>
    </w:p>
    <w:p>
      <w:pPr>
        <w:spacing w:after="60" w:before="0" w:line="259" w:lineRule="auto"/>
        <w:jc w:val="right"/>
        <w:keepLines/>
        <w:bidi w:val="1"/>
      </w:pPr>
      <w:r>
        <w:rPr>
          <w:rFonts w:ascii="Arial" w:hAnsi="Arial" w:eastAsia="Arial" w:cs="Arial"/>
          <w:b w:val="0"/>
          <w:i w:val="0"/>
          <w:sz w:val="20"/>
        </w:rPr>
        <w:t>التقييم: التاريخ القضائي والعفو واستمرار الدور القيادي مسائل جوهرية في مخاطر السمعة والاعتماد على شخصية رئيسية. لكن لا ينبغي استخدامها دليلاً على مخالفة مالية حالية أو على وجود مانع قانوني نافذ لم تثبته المصادر.</w:t>
      </w:r>
    </w:p>
    <w:p>
      <w:pPr>
        <w:spacing w:before="140" w:after="100"/>
        <w:jc w:val="right"/>
        <w:keepNext/>
        <w:bidi w:val="1"/>
        <w:outlineLvl w:val="1"/>
      </w:pPr>
      <w:r>
        <w:rPr>
          <w:rFonts w:ascii="Arial" w:hAnsi="Arial" w:eastAsia="Arial" w:cs="Arial"/>
          <w:b/>
          <w:i w:val="0"/>
          <w:color w:val="17365D"/>
          <w:sz w:val="26"/>
        </w:rPr>
        <w:t>5.4 الحوكمة وتركيز الملكية والأطراف ذات العلاقة</w:t>
      </w:r>
    </w:p>
    <w:p>
      <w:pPr>
        <w:spacing w:after="60" w:before="0" w:line="259" w:lineRule="auto"/>
        <w:jc w:val="right"/>
        <w:keepLines/>
        <w:bidi w:val="1"/>
      </w:pPr>
      <w:r>
        <w:rPr>
          <w:rFonts w:ascii="Arial" w:hAnsi="Arial" w:eastAsia="Arial" w:cs="Arial"/>
          <w:b w:val="0"/>
          <w:i w:val="0"/>
          <w:sz w:val="20"/>
        </w:rPr>
        <w:t>تنشر TMG تقارير حوكمة وقوائم مالية مرحلية، وتفصح عن لجان مجلس الإدارة والمساهمين الرئيسيين والأرصدة والمعاملات مع الأطراف ذات العلاقة. وهذه ممارسات إفصاح إيجابية، لكنها لا تثبت بمفردها أن جميع المعاملات تتم بشروط السوق أو أنها تزيل مخاطر الأقلية. [S3، S4]</w:t>
      </w:r>
    </w:p>
    <w:p>
      <w:pPr>
        <w:spacing w:after="60" w:before="0" w:line="259" w:lineRule="auto"/>
        <w:jc w:val="right"/>
        <w:keepLines/>
        <w:bidi w:val="1"/>
      </w:pPr>
      <w:r>
        <w:rPr>
          <w:rFonts w:ascii="Arial" w:hAnsi="Arial" w:eastAsia="Arial" w:cs="Arial"/>
          <w:b w:val="0"/>
          <w:i w:val="0"/>
          <w:sz w:val="20"/>
        </w:rPr>
        <w:t>في 30 يونيو 2026، أفصحت TMG عن 1.90 مليار جنيه مستحقة من أطراف ذات علاقة ضمن أصول متداولة أخرى، مقارنة بـ2.45 مليار جنيه في نهاية 2025. وجود الرصيد لا يثبت سوء سلوك، لكن شروطه وقابليته للتحصيل وغرضه التجاري وإجراءات اعتماده موضوعات مناسبة للفحص. [S3]</w:t>
      </w:r>
    </w:p>
    <w:p>
      <w:pPr>
        <w:sectPr>
          <w:headerReference w:type="default" r:id="rId9"/>
          <w:footerReference w:type="default" r:id="rId10"/>
          <w:pgSz w:w="11909" w:h="16834"/>
          <w:pgMar w:top="1037" w:right="1037" w:bottom="979" w:left="1037" w:header="461" w:footer="461" w:gutter="0"/>
          <w:cols w:space="720"/>
          <w:docGrid w:linePitch="360"/>
        </w:sectPr>
      </w:pPr>
    </w:p>
    <w:p>
      <w:pPr>
        <w:spacing w:before="240" w:after="100"/>
        <w:jc w:val="right"/>
        <w:keepNext/>
        <w:bidi w:val="1"/>
        <w:outlineLvl w:val="0"/>
      </w:pPr>
      <w:r>
        <w:rPr>
          <w:rFonts w:ascii="Arial" w:hAnsi="Arial" w:eastAsia="Arial" w:cs="Arial"/>
          <w:b/>
          <w:i w:val="0"/>
          <w:color w:val="17365D"/>
          <w:sz w:val="34"/>
        </w:rPr>
        <w:t>6. سجل المخاطر</w:t>
      </w:r>
    </w:p>
    <w:p>
      <w:pPr>
        <w:spacing w:after="60" w:before="0" w:line="259" w:lineRule="auto"/>
        <w:jc w:val="right"/>
        <w:keepLines/>
        <w:bidi w:val="1"/>
      </w:pPr>
      <w:r>
        <w:rPr>
          <w:rFonts w:ascii="Arial" w:hAnsi="Arial" w:eastAsia="Arial" w:cs="Arial"/>
          <w:b w:val="0"/>
          <w:i w:val="0"/>
          <w:sz w:val="18"/>
        </w:rPr>
        <w:t>التصنيفات التالية أحكام نوعية مستندة إلى الأدلة العامة الحالية والأثر المحتمل على المشترين والملاك والمستثمرين. تعكس «الاحتمالية» مدى معقولية تحقق التعرض للمخاطر، بينما يعكس «الأثر» حجم النتائج المحتملة. وقد يكون التصنيف مرتفعاً بسبب حجم التعرض حتى دون ثبوت وقوع إخفاق. ومؤشرات الإنذار والتخفيف أدناه أدوات فحص مقترحة، وليست ادعاءً بأن الشركة تطبقها بالفعل.</w:t>
      </w:r>
    </w:p>
    <w:p>
      <w:pPr>
        <w:spacing w:after="60" w:before="0" w:line="259" w:lineRule="auto"/>
        <w:jc w:val="right"/>
        <w:keepLines/>
        <w:bidi w:val="1"/>
      </w:pPr>
      <w:r>
        <w:rPr>
          <w:rFonts w:ascii="Arial" w:hAnsi="Arial" w:eastAsia="Arial" w:cs="Arial"/>
          <w:b w:val="0"/>
          <w:i w:val="0"/>
          <w:sz w:val="18"/>
        </w:rPr>
        <w:t>أولوية الفحص اللاحق: (1) تكلفة كل مشروع وحالة التسليم؛ (2) الطلب والتحصيل والقدرة الشرائية؛ (3) التدفق النقدي والديون والإيجارات؛ (4) مستندات الأرض والحوكمة على مستوى المشروع؛ (5) أدلة مستقلة عن تجربة العملاء والالتزام العمالي.</w:t>
      </w:r>
    </w:p>
    <w:tbl>
      <w:tblPr>
        <w:tblStyle w:val="TableGrid"/>
        <w:tblW w:type="auto" w:w="0"/>
        <w:jc w:val="center"/>
        <w:tblLayout w:type="fixed"/>
        <w:tblLook w:firstColumn="1" w:firstRow="1" w:lastColumn="0" w:lastRow="0" w:noHBand="0" w:noVBand="1" w:val="04A0"/>
        <w:bidiVisual w:val="1"/>
      </w:tblPr>
      <w:tblGrid>
        <w:gridCol w:w="2604"/>
        <w:gridCol w:w="2604"/>
        <w:gridCol w:w="2604"/>
        <w:gridCol w:w="2604"/>
        <w:gridCol w:w="2604"/>
        <w:gridCol w:w="2604"/>
      </w:tblGrid>
      <w:tr>
        <w:trPr>
          <w:tblHeader w:val="true"/>
        </w:trPr>
        <w:tc>
          <w:tcPr>
            <w:tcW w:type="dxa" w:w="2232"/>
            <w:vAlign w:val="center"/>
            <w:shd w:fill="17365D"/>
          </w:tcPr>
          <w:p>
            <w:pPr>
              <w:spacing w:after="10" w:before="10"/>
              <w:jc w:val="right"/>
              <w:bidi w:val="1"/>
            </w:pPr>
            <w:r/>
            <w:r>
              <w:rPr>
                <w:rFonts w:ascii="Arial" w:hAnsi="Arial" w:eastAsia="Arial" w:cs="Arial"/>
                <w:b/>
                <w:i w:val="0"/>
                <w:color w:val="FFFFFF"/>
                <w:sz w:val="12"/>
              </w:rPr>
              <w:t>الخطر</w:t>
            </w:r>
          </w:p>
        </w:tc>
        <w:tc>
          <w:tcPr>
            <w:tcW w:type="dxa" w:w="1152"/>
            <w:vAlign w:val="center"/>
            <w:shd w:fill="17365D"/>
          </w:tcPr>
          <w:p>
            <w:pPr>
              <w:spacing w:after="10" w:before="10"/>
              <w:jc w:val="right"/>
              <w:bidi w:val="1"/>
            </w:pPr>
            <w:r/>
            <w:r>
              <w:rPr>
                <w:rFonts w:ascii="Arial" w:hAnsi="Arial" w:eastAsia="Arial" w:cs="Arial"/>
                <w:b/>
                <w:i w:val="0"/>
                <w:color w:val="FFFFFF"/>
                <w:sz w:val="12"/>
              </w:rPr>
              <w:t>الاحتمالية</w:t>
            </w:r>
          </w:p>
        </w:tc>
        <w:tc>
          <w:tcPr>
            <w:tcW w:type="dxa" w:w="1008"/>
            <w:vAlign w:val="center"/>
            <w:shd w:fill="17365D"/>
          </w:tcPr>
          <w:p>
            <w:pPr>
              <w:spacing w:after="10" w:before="10"/>
              <w:jc w:val="right"/>
              <w:bidi w:val="1"/>
            </w:pPr>
            <w:r/>
            <w:r>
              <w:rPr>
                <w:rFonts w:ascii="Arial" w:hAnsi="Arial" w:eastAsia="Arial" w:cs="Arial"/>
                <w:b/>
                <w:i w:val="0"/>
                <w:color w:val="FFFFFF"/>
                <w:sz w:val="12"/>
              </w:rPr>
              <w:t>الأثر</w:t>
            </w:r>
          </w:p>
        </w:tc>
        <w:tc>
          <w:tcPr>
            <w:tcW w:type="dxa" w:w="1152"/>
            <w:vAlign w:val="center"/>
            <w:shd w:fill="17365D"/>
          </w:tcPr>
          <w:p>
            <w:pPr>
              <w:spacing w:after="10" w:before="10"/>
              <w:jc w:val="right"/>
              <w:bidi w:val="1"/>
            </w:pPr>
            <w:r/>
            <w:r>
              <w:rPr>
                <w:rFonts w:ascii="Arial" w:hAnsi="Arial" w:eastAsia="Arial" w:cs="Arial"/>
                <w:b/>
                <w:i w:val="0"/>
                <w:color w:val="FFFFFF"/>
                <w:sz w:val="12"/>
              </w:rPr>
              <w:t>التصنيف</w:t>
            </w:r>
          </w:p>
        </w:tc>
        <w:tc>
          <w:tcPr>
            <w:tcW w:type="dxa" w:w="3240"/>
            <w:vAlign w:val="center"/>
            <w:shd w:fill="17365D"/>
          </w:tcPr>
          <w:p>
            <w:pPr>
              <w:spacing w:after="10" w:before="10"/>
              <w:jc w:val="right"/>
              <w:bidi w:val="1"/>
            </w:pPr>
            <w:r/>
            <w:r>
              <w:rPr>
                <w:rFonts w:ascii="Arial" w:hAnsi="Arial" w:eastAsia="Arial" w:cs="Arial"/>
                <w:b/>
                <w:i w:val="0"/>
                <w:color w:val="FFFFFF"/>
                <w:sz w:val="12"/>
              </w:rPr>
              <w:t>الدليل / الأساس</w:t>
            </w:r>
          </w:p>
        </w:tc>
        <w:tc>
          <w:tcPr>
            <w:tcW w:type="dxa" w:w="4536"/>
            <w:vAlign w:val="center"/>
            <w:shd w:fill="17365D"/>
          </w:tcPr>
          <w:p>
            <w:pPr>
              <w:spacing w:after="10" w:before="10"/>
              <w:jc w:val="right"/>
              <w:bidi w:val="1"/>
            </w:pPr>
            <w:r/>
            <w:r>
              <w:rPr>
                <w:rFonts w:ascii="Arial" w:hAnsi="Arial" w:eastAsia="Arial" w:cs="Arial"/>
                <w:b/>
                <w:i w:val="0"/>
                <w:color w:val="FFFFFF"/>
                <w:sz w:val="12"/>
              </w:rPr>
              <w:t>مؤشرات الإنذار والتخفيف المقترح</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تضخم تكلفة الإنشاء وهوامش المشروعات</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تكاليف البناء حساسة للتضخم والمدخلات المستوردة والطاقة وسعر الصرف. [S8]</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تكلفة الإكمال وأسعار التوريد ومطالبات المقاولين واستخدام الاحتياطي وهوامش كل مشروع؛ ومراجعة تقديرات الكميات والتكاليف مستقلاً.</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تباطؤ المبيعات والقدرة الشرائية</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 إلى مرتفعة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انخفضت المبيعات التعاقدية الجديدة 24% في 2025؛ وأشار محللون إلى ضغوط القدرة الشرائية. [S2، S9]</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الحجوزات والإلغاءات والأقساط المتأخرة ونسب التحصيل وتمديدات خطط السداد؛ واختبار سيناريوهات انخفاض المبيعات.</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تحويل رصيد المبيعات إلى إيراد وتسليم</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الرصيد كبير لكنه يعتمد على تقدم الإنشاء والتسليم والتحصيل والاعتراف المحاسبي. [S2، S3]</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مقارنة التسليمات المخططة والفعلية وتكلفة الإكمال والعيوب وأوامر التغيير والتحصيل على مستوى المشروع.</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السيولة وامتصاص رأس المال العامل</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التدفق التشغيلي 3.11 مليار جنيه في النصف الأول من 2026 مقابل ربح موحد 9.95 مليار جنيه مع تغيرات كبيرة في رأس المال العامل. [S3]</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تحويل الأرباح إلى نقد والذمم المدينة والدفعات المقدمة وأرصدة الموردين وتوقع السيولة المتجدد.</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تكلفة الاقتراض والتزامات الإيجار</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 إلى مرتفعة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القروض 16.5 مليار جنيه والتزامات الإيجار نحو 44 ملياراً؛ ومعدل الاقتراض بالجنيه 28.6%. [S3]</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مراجعة آجال الاستحقاق والتعرض للفائدة وجداول الإيجار وهوامش التعهدات المالية واختبارات تغير الفائدة وتأخر التحصيل.</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ملكية الأراضي وشفافية التخصيص</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منخفضة إلى 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نزاع مدينتي التاريخي وتحقيق عن تخصيص الأراضي؛ ولا يثبت ذلك عدم قانونية الوضع الحالي. [S11، S12، S13]</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الحصول على سندات الأرض واتفاقيات هيئة المجتمعات العمرانية أو الجهات ذات الصلة والتراخيص وجداول السداد وبحث التقاضي ورأي قانوني مستقل.</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الأطراف ذات العلاقة وتركيز الملكية</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تركيز المساهمين والأرصدة المفصح عنها مع الأطراف ذات العلاقة يستدعي مراجعة الحوكمة. [S3، S4]</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مراجعة سجل المعاملات وشروطها والضمانات والموافقات وعلاقات المشتريات ودور الأعضاء المستقلين.</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خدمة العملاء والتسليم والصيانة</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شكاوى عقارية متفرقة وقضايا قطاعية؛ لم يُعثر على قاعدة ممثلة لمعدلات العيوب لدى TMG. [S17، S21]</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فحص الوحدة المحددة وطلب سجلات العيوب والضمان ورسوم الخدمات وزمن معالجة الشكاوى وشهادات التسليم.</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علاقات العمل وسمعة بيئة العمل</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أوردت المنصة التماساً ومزاعم عمال لدى شركة تابعة؛ وليس ذلك حكماً على المجموعة كلها. [S14]</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التحقق من شروط العمالة وساعات العمل والعمل الإضافي وآليات التظلم ونتائج التفتيش والإجراءات التصحيحية.</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العملة والتوسع الإقليمي</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تعرض العملة ومشروعات السعودية وعُمان يزيد مخاطر العمل عبر الحدود والشركاء. [S2، S3]</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مواءمة التمويل مع العملة، ومراجعة التزامات الشركاء والموافقات والضمانات وتحويل الأرباح وشروط الخروج.</w:t>
            </w:r>
          </w:p>
        </w:tc>
      </w:tr>
      <w:tr>
        <w:trPr>
          <w:cantSplit/>
        </w:trPr>
        <w:tc>
          <w:tcPr>
            <w:tcW w:type="dxa" w:w="223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السمعة والاعتماد على شخصية رئيسية</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منخفضة إلى متوسطة</w:t>
            </w:r>
          </w:p>
        </w:tc>
        <w:tc>
          <w:tcPr>
            <w:tcW w:type="dxa" w:w="1008"/>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w:t>
            </w:r>
          </w:p>
        </w:tc>
        <w:tc>
          <w:tcPr>
            <w:tcW w:type="dxa" w:w="3240"/>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القضية التاريخية للرئيس التنفيذي والعفو واستمرار دوره القيادي سياق مهم للسمعة. [S13، S18، S19]</w:t>
            </w:r>
          </w:p>
        </w:tc>
        <w:tc>
          <w:tcPr>
            <w:tcW w:type="dxa" w:w="4536"/>
            <w:vAlign w:val="center"/>
            <w:tcBorders>
              <w:top w:val="single" w:sz="4" w:color="D6DEE8"/>
              <w:bottom w:val="single" w:sz="4" w:color="D6DEE8"/>
            </w:tcBorders>
          </w:tcPr>
          <w:p>
            <w:pPr>
              <w:spacing w:after="10" w:before="10"/>
              <w:jc w:val="right"/>
              <w:bidi w:val="1"/>
            </w:pPr>
            <w:r/>
            <w:r>
              <w:rPr>
                <w:rFonts w:ascii="Arial" w:hAnsi="Arial" w:eastAsia="Arial" w:cs="Arial"/>
                <w:b w:val="0"/>
                <w:i w:val="0"/>
                <w:sz w:val="12"/>
              </w:rPr>
              <w:t>مراجعة خطط التعاقب والمساءلة التنفيذية والامتثال والرقابة المستقلة من مجلس الإدارة.</w:t>
            </w:r>
          </w:p>
        </w:tc>
      </w:tr>
      <w:tr>
        <w:trPr>
          <w:cantSplit/>
        </w:trPr>
        <w:tc>
          <w:tcPr>
            <w:tcW w:type="dxa" w:w="223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السياحة والطلب على المشروعات الساحلية</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متوسطة</w:t>
            </w:r>
          </w:p>
        </w:tc>
        <w:tc>
          <w:tcPr>
            <w:tcW w:type="dxa" w:w="1008"/>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مرتفع</w:t>
            </w:r>
          </w:p>
        </w:tc>
        <w:tc>
          <w:tcPr>
            <w:tcW w:type="dxa" w:w="1152"/>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متوسط إلى مرتفع</w:t>
            </w:r>
          </w:p>
        </w:tc>
        <w:tc>
          <w:tcPr>
            <w:tcW w:type="dxa" w:w="3240"/>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تعتمد SouthMED والضيافة على الطلب السياحي والقدرة على تجاوز الموسمية. [S9، S10]</w:t>
            </w:r>
          </w:p>
        </w:tc>
        <w:tc>
          <w:tcPr>
            <w:tcW w:type="dxa" w:w="4536"/>
            <w:vAlign w:val="center"/>
            <w:shd w:fill="F5F7FA"/>
            <w:tcBorders>
              <w:top w:val="single" w:sz="4" w:color="D6DEE8"/>
              <w:bottom w:val="single" w:sz="4" w:color="D6DEE8"/>
            </w:tcBorders>
          </w:tcPr>
          <w:p>
            <w:pPr>
              <w:spacing w:after="10" w:before="10"/>
              <w:jc w:val="right"/>
              <w:bidi w:val="1"/>
            </w:pPr>
            <w:r/>
            <w:r>
              <w:rPr>
                <w:rFonts w:ascii="Arial" w:hAnsi="Arial" w:eastAsia="Arial" w:cs="Arial"/>
                <w:b w:val="0"/>
                <w:i w:val="0"/>
                <w:sz w:val="12"/>
              </w:rPr>
              <w:t>متابعة الإشغال وأسعار الغرف والتحصيل والمبيعات بحسب نوع العميل والإنفاق الرأسمالي واختبارات الموسمية.</w:t>
            </w:r>
          </w:p>
        </w:tc>
      </w:tr>
    </w:tbl>
    <w:p>
      <w:pPr>
        <w:spacing w:after="20"/>
      </w:pPr>
    </w:p>
    <w:p>
      <w:pPr>
        <w:sectPr>
          <w:pgSz w:w="16834" w:h="11909" w:orient="landscape"/>
          <w:pgMar w:top="518" w:right="605" w:bottom="518" w:left="605" w:header="461" w:footer="461" w:gutter="0"/>
          <w:cols w:space="720"/>
          <w:docGrid w:linePitch="360"/>
        </w:sectPr>
      </w:pPr>
    </w:p>
    <w:p>
      <w:pPr>
        <w:spacing w:before="240" w:after="100"/>
        <w:jc w:val="right"/>
        <w:keepNext/>
        <w:bidi w:val="1"/>
        <w:outlineLvl w:val="0"/>
      </w:pPr>
      <w:r>
        <w:rPr>
          <w:rFonts w:ascii="Arial" w:hAnsi="Arial" w:eastAsia="Arial" w:cs="Arial"/>
          <w:b/>
          <w:i w:val="0"/>
          <w:color w:val="17365D"/>
          <w:sz w:val="34"/>
        </w:rPr>
        <w:t>7. تحليل SWOT</w:t>
      </w:r>
    </w:p>
    <w:tbl>
      <w:tblPr>
        <w:tblStyle w:val="TableGrid"/>
        <w:tblW w:type="auto" w:w="0"/>
        <w:jc w:val="center"/>
        <w:tblLayout w:type="fixed"/>
        <w:tblLook w:firstColumn="1" w:firstRow="1" w:lastColumn="0" w:lastRow="0" w:noHBand="0" w:noVBand="1" w:val="04A0"/>
        <w:bidiVisual w:val="1"/>
      </w:tblPr>
      <w:tblGrid>
        <w:gridCol w:w="4917"/>
        <w:gridCol w:w="4917"/>
      </w:tblGrid>
      <w:tr>
        <w:trPr>
          <w:tblHeader w:val="true"/>
        </w:trPr>
        <w:tc>
          <w:tcPr>
            <w:tcW w:type="dxa" w:w="4680"/>
            <w:vAlign w:val="center"/>
            <w:shd w:fill="17365D"/>
          </w:tcPr>
          <w:p>
            <w:pPr>
              <w:spacing w:after="40" w:before="40"/>
              <w:jc w:val="right"/>
              <w:bidi w:val="1"/>
            </w:pPr>
            <w:r/>
            <w:r>
              <w:rPr>
                <w:rFonts w:ascii="Arial" w:hAnsi="Arial" w:eastAsia="Arial" w:cs="Arial"/>
                <w:b/>
                <w:i w:val="0"/>
                <w:color w:val="FFFFFF"/>
                <w:sz w:val="18"/>
              </w:rPr>
              <w:t>نقاط القوة</w:t>
            </w:r>
          </w:p>
        </w:tc>
        <w:tc>
          <w:tcPr>
            <w:tcW w:type="dxa" w:w="4680"/>
            <w:vAlign w:val="center"/>
            <w:shd w:fill="17365D"/>
          </w:tcPr>
          <w:p>
            <w:pPr>
              <w:spacing w:after="40" w:before="40"/>
              <w:jc w:val="right"/>
              <w:bidi w:val="1"/>
            </w:pPr>
            <w:r/>
            <w:r>
              <w:rPr>
                <w:rFonts w:ascii="Arial" w:hAnsi="Arial" w:eastAsia="Arial" w:cs="Arial"/>
                <w:b/>
                <w:i w:val="0"/>
                <w:color w:val="FFFFFF"/>
                <w:sz w:val="18"/>
              </w:rPr>
              <w:t>نقاط الضعف</w:t>
            </w:r>
          </w:p>
        </w:tc>
      </w:tr>
      <w:tr>
        <w:trPr>
          <w:cantSplit/>
        </w:trPr>
        <w:tc>
          <w:tcPr>
            <w:tcW w:type="dxa" w:w="46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 مجتمعات سكنية متكاملة وراسخة.</w:t>
              <w:br/>
              <w:t>• نمو الإيرادات والأرباح المعلن في 2025.</w:t>
              <w:br/>
              <w:t>• نقد وأصول مالية جارية كبيرة.</w:t>
              <w:br/>
              <w:t>• دخل من الضيافة وأنشطة متكررة أخرى.</w:t>
              <w:br/>
              <w:t>• رصيد كبير معلن للمبيعات المتعاقد عليها.</w:t>
              <w:br/>
              <w:t>• علامة تجارية وفرص توسع إقليمي.</w:t>
            </w:r>
          </w:p>
        </w:tc>
        <w:tc>
          <w:tcPr>
            <w:tcW w:type="dxa" w:w="4680"/>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8"/>
              </w:rPr>
              <w:t>• التزامات بناء وتسليم طويلة الأجل.</w:t>
              <w:br/>
              <w:t>• التدفق النقدي التشغيلي في النصف الأول 2026 أقل من الربح الموحد.</w:t>
              <w:br/>
              <w:t>• ارتفاع القروض والتزامات الإيجار.</w:t>
              <w:br/>
              <w:t>• تركز الملكية والحاجة لمراجعة الأطراف ذات العلاقة.</w:t>
              <w:br/>
              <w:t>• محدودية الأدلة العامة الممثلة لتجارب العملاء.</w:t>
            </w:r>
          </w:p>
        </w:tc>
      </w:tr>
      <w:tr>
        <w:trPr>
          <w:cantSplit/>
        </w:trPr>
        <w:tc>
          <w:tcPr>
            <w:tcW w:type="dxa" w:w="46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 النمو العمراني والطلب على المجتمعات المتكاملة.</w:t>
              <w:br/>
              <w:t>• السياحة على الساحل الشمالي وسوق المنازل الثانوية.</w:t>
              <w:br/>
              <w:t>• نمو الضيافة والدخل المتكرر.</w:t>
              <w:br/>
              <w:t>• مشروعات إقليمية بالسعودية وعُمان.</w:t>
              <w:br/>
              <w:t>• استكمال المبيعات المتعاقد عليها وتحويلها إلى إيرادات.</w:t>
            </w:r>
          </w:p>
        </w:tc>
        <w:tc>
          <w:tcPr>
            <w:tcW w:type="dxa" w:w="4680"/>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8"/>
              </w:rPr>
              <w:t>• التضخم وتقلب العملة وارتفاع تكلفة الاقتراض.</w:t>
              <w:br/>
              <w:t>• تراجع القدرة الشرائية للمستخدم النهائي المصري.</w:t>
              <w:br/>
              <w:t>• تأخر المشروعات أو تجاوز التكاليف أو نزاعات المقاولين.</w:t>
              <w:br/>
              <w:t>• موسمية السياحة وضعف الطلب الفاخر.</w:t>
              <w:br/>
              <w:t>• مخاطر الشفافية والحوكمة والسمعة.</w:t>
            </w:r>
          </w:p>
        </w:tc>
      </w:tr>
    </w:tbl>
    <w:p>
      <w:pPr>
        <w:spacing w:after="20"/>
      </w:pPr>
    </w:p>
    <w:p>
      <w:pPr>
        <w:spacing w:after="60" w:before="0" w:line="259" w:lineRule="auto"/>
        <w:jc w:val="right"/>
        <w:keepLines/>
        <w:bidi w:val="1"/>
      </w:pPr>
      <w:r>
        <w:rPr>
          <w:rFonts w:ascii="Arial" w:hAnsi="Arial" w:eastAsia="Arial" w:cs="Arial"/>
          <w:b w:val="0"/>
          <w:i w:val="0"/>
          <w:sz w:val="20"/>
        </w:rPr>
        <w:t>يجمع التحليل بين إفصاح نتائج 2025 والقوائم المرحلية في يونيو 2026 وتقارير السوق المستقلة والمصادر القانونية والمتعلقة بالسمعة المذكورة أعلاه. [S2، S3، S8، S9، S13، S14]</w:t>
      </w:r>
    </w:p>
    <w:p>
      <w:pPr>
        <w:spacing w:before="240" w:after="100"/>
        <w:jc w:val="right"/>
        <w:keepNext/>
        <w:bidi w:val="1"/>
        <w:outlineLvl w:val="0"/>
      </w:pPr>
      <w:r>
        <w:rPr>
          <w:rFonts w:ascii="Arial" w:hAnsi="Arial" w:eastAsia="Arial" w:cs="Arial"/>
          <w:b/>
          <w:i w:val="0"/>
          <w:color w:val="17365D"/>
          <w:sz w:val="34"/>
        </w:rPr>
        <w:t>8. استنتاجات بحسب فئة صاحب المصلحة</w:t>
      </w:r>
    </w:p>
    <w:p>
      <w:pPr>
        <w:spacing w:before="140" w:after="100"/>
        <w:jc w:val="right"/>
        <w:keepNext/>
        <w:bidi w:val="1"/>
        <w:outlineLvl w:val="1"/>
      </w:pPr>
      <w:r>
        <w:rPr>
          <w:rFonts w:ascii="Arial" w:hAnsi="Arial" w:eastAsia="Arial" w:cs="Arial"/>
          <w:b/>
          <w:i w:val="0"/>
          <w:color w:val="17365D"/>
          <w:sz w:val="26"/>
        </w:rPr>
        <w:t>8.1 المشتري المحتمل لوحدة عقارية</w:t>
      </w:r>
    </w:p>
    <w:p>
      <w:pPr>
        <w:spacing w:after="60" w:before="0" w:line="259" w:lineRule="auto"/>
        <w:jc w:val="right"/>
        <w:keepLines/>
        <w:bidi w:val="1"/>
      </w:pPr>
      <w:r>
        <w:rPr>
          <w:rFonts w:ascii="Arial" w:hAnsi="Arial" w:eastAsia="Arial" w:cs="Arial"/>
          <w:b w:val="0"/>
          <w:i w:val="0"/>
          <w:sz w:val="20"/>
        </w:rPr>
        <w:t>التقييم: قد تكون الوحدة أو المنطقة جذابة، لكن تفاصيل الوحدة والمشروع والعقد أهم من العلامة التجارية وحدها. يمكن أن يكون الحجم المالي لـTMG والمجتمعات القائمة مؤشراً إيجابياً، لكنه لا يثبت أن وحدة بعينها ستُسلّم في موعدها أو تطابق كل المواصفات المتفق عليها أو ترتفع قيمتها عند إعادة البيع.</w:t>
      </w:r>
    </w:p>
    <w:p>
      <w:pPr>
        <w:spacing w:after="60" w:line="259" w:lineRule="auto"/>
        <w:ind w:left="144" w:right="216" w:hanging="72"/>
        <w:jc w:val="right"/>
        <w:bidi w:val="1"/>
      </w:pPr>
      <w:r>
        <w:rPr>
          <w:rFonts w:ascii="Arial" w:hAnsi="Arial" w:eastAsia="Arial" w:cs="Arial"/>
          <w:b w:val="0"/>
          <w:i w:val="0"/>
          <w:sz w:val="20"/>
        </w:rPr>
        <w:t>•  تحقق من حقوق المطور على الأرض وتصاريح المشروع والموافقات المطلوبة بمساعدة محامٍ عقاري مصري مستقل.</w:t>
      </w:r>
    </w:p>
    <w:p>
      <w:pPr>
        <w:spacing w:after="60" w:line="259" w:lineRule="auto"/>
        <w:ind w:left="144" w:right="216" w:hanging="72"/>
        <w:jc w:val="right"/>
        <w:bidi w:val="1"/>
      </w:pPr>
      <w:r>
        <w:rPr>
          <w:rFonts w:ascii="Arial" w:hAnsi="Arial" w:eastAsia="Arial" w:cs="Arial"/>
          <w:b w:val="0"/>
          <w:i w:val="0"/>
          <w:sz w:val="20"/>
        </w:rPr>
        <w:t>•  راجع مواصفات الوحدة والتشطيبات وتاريخ التسليم والتعويضات عند التأخير أو العيوب والضمان وآلية الاستلام.</w:t>
      </w:r>
    </w:p>
    <w:p>
      <w:pPr>
        <w:spacing w:after="60" w:line="259" w:lineRule="auto"/>
        <w:ind w:left="144" w:right="216" w:hanging="72"/>
        <w:jc w:val="right"/>
        <w:bidi w:val="1"/>
      </w:pPr>
      <w:r>
        <w:rPr>
          <w:rFonts w:ascii="Arial" w:hAnsi="Arial" w:eastAsia="Arial" w:cs="Arial"/>
          <w:b w:val="0"/>
          <w:i w:val="0"/>
          <w:sz w:val="20"/>
        </w:rPr>
        <w:t>•  احسب إجمالي جدول السداد ووديعة الصيانة ورسوم الخدمات وقيود التنازل وشروط الإلغاء والغرامات.</w:t>
      </w:r>
    </w:p>
    <w:p>
      <w:pPr>
        <w:spacing w:after="60" w:line="259" w:lineRule="auto"/>
        <w:ind w:left="144" w:right="216" w:hanging="72"/>
        <w:jc w:val="right"/>
        <w:bidi w:val="1"/>
      </w:pPr>
      <w:r>
        <w:rPr>
          <w:rFonts w:ascii="Arial" w:hAnsi="Arial" w:eastAsia="Arial" w:cs="Arial"/>
          <w:b w:val="0"/>
          <w:i w:val="0"/>
          <w:sz w:val="20"/>
        </w:rPr>
        <w:t>•  في الوحدات المكتملة، اطلب معاينة هندسية وقارن صفقات إعادة البيع المنفذة فعلياً، لا أسعار العرض وحدها.</w:t>
      </w:r>
    </w:p>
    <w:p>
      <w:pPr>
        <w:spacing w:after="60" w:before="0" w:line="259" w:lineRule="auto"/>
        <w:jc w:val="right"/>
        <w:keepLines/>
        <w:bidi w:val="1"/>
      </w:pPr>
      <w:r>
        <w:rPr>
          <w:rFonts w:ascii="Arial" w:hAnsi="Arial" w:eastAsia="Arial" w:cs="Arial"/>
          <w:b w:val="0"/>
          <w:i w:val="0"/>
          <w:sz w:val="20"/>
        </w:rPr>
        <w:t>الخلاصة للمشتري: المركز المالي المعلن لـTMG معلومة مفيدة عن الخلفية، لكنه لا يغني عن الفحص القانوني والتعاقدي والفني للمشروع والوحدة المحددين.</w:t>
      </w:r>
    </w:p>
    <w:p>
      <w:pPr>
        <w:spacing w:before="140" w:after="100"/>
        <w:jc w:val="right"/>
        <w:keepNext/>
        <w:bidi w:val="1"/>
        <w:outlineLvl w:val="1"/>
      </w:pPr>
      <w:r>
        <w:rPr>
          <w:rFonts w:ascii="Arial" w:hAnsi="Arial" w:eastAsia="Arial" w:cs="Arial"/>
          <w:b/>
          <w:i w:val="0"/>
          <w:color w:val="17365D"/>
          <w:sz w:val="26"/>
        </w:rPr>
        <w:t>8.2 الملاك الحاليون</w:t>
      </w:r>
    </w:p>
    <w:p>
      <w:pPr>
        <w:spacing w:after="60" w:before="0" w:line="259" w:lineRule="auto"/>
        <w:jc w:val="right"/>
        <w:keepLines/>
        <w:bidi w:val="1"/>
      </w:pPr>
      <w:r>
        <w:rPr>
          <w:rFonts w:ascii="Arial" w:hAnsi="Arial" w:eastAsia="Arial" w:cs="Arial"/>
          <w:b w:val="0"/>
          <w:i w:val="0"/>
          <w:sz w:val="20"/>
        </w:rPr>
        <w:t>التقييم: ينبغي التركيز على جودة الخدمة والحقوق التعاقدية وجودة المجتمع على المدى الطويل. لا تثبت الأدلة العامة معدلًا ممثلاً لشكاوى الصيانة التي لم تُحل. لذلك يجدر بالمالك الاحتفاظ بطلبات الخدمة المكتوبة وسجلات الفحص وإيصالات السداد والمراسلات الخاصة بالعيوب القائمة. وعند إعادة البيع، ينبغي احتساب قواعد التنازل والأقساط المتبقية ورسوم الخدمات وحالة الوحدة والأدلة على أسعار الصفقات الفعلية.</w:t>
      </w:r>
    </w:p>
    <w:p>
      <w:pPr>
        <w:spacing w:after="60" w:before="0" w:line="259" w:lineRule="auto"/>
        <w:jc w:val="right"/>
        <w:keepLines/>
        <w:bidi w:val="1"/>
      </w:pPr>
      <w:r>
        <w:rPr>
          <w:rFonts w:ascii="Arial" w:hAnsi="Arial" w:eastAsia="Arial" w:cs="Arial"/>
          <w:b w:val="0"/>
          <w:i w:val="0"/>
          <w:sz w:val="20"/>
        </w:rPr>
        <w:t>الخلاصة للمالك: قد يدعم حجم TMG إدارة المجتمعات، لكن الحقوق والالتزامات تتحدد بعقد الوحدة والقانون المعمول به والأداء الفعلي لإدارة العقار.</w:t>
      </w:r>
    </w:p>
    <w:p>
      <w:pPr>
        <w:spacing w:before="140" w:after="100"/>
        <w:jc w:val="right"/>
        <w:keepNext/>
        <w:bidi w:val="1"/>
        <w:outlineLvl w:val="1"/>
      </w:pPr>
      <w:r>
        <w:rPr>
          <w:rFonts w:ascii="Arial" w:hAnsi="Arial" w:eastAsia="Arial" w:cs="Arial"/>
          <w:b/>
          <w:i w:val="0"/>
          <w:color w:val="17365D"/>
          <w:sz w:val="26"/>
        </w:rPr>
        <w:t>8.3 مستثمرو البورصة</w:t>
      </w:r>
    </w:p>
    <w:p>
      <w:pPr>
        <w:spacing w:after="60" w:before="0" w:line="259" w:lineRule="auto"/>
        <w:jc w:val="right"/>
        <w:keepLines/>
        <w:bidi w:val="1"/>
      </w:pPr>
      <w:r>
        <w:rPr>
          <w:rFonts w:ascii="Arial" w:hAnsi="Arial" w:eastAsia="Arial" w:cs="Arial"/>
          <w:b w:val="0"/>
          <w:i w:val="0"/>
          <w:sz w:val="20"/>
        </w:rPr>
        <w:t>التقييم: زخم مالي معلن إيجابي، مع أسئلة مهمة تتعلق بالتقييم والتنفيذ والتدفقات النقدية. جاءت نتائج 2025 والنصف الأول من 2026 قوية، وكانت الموارد النقدية كبيرة. ومع ذلك، ينبغي فحص استدامة التدفق النقدي التشغيلي وجودة الأرباح والمبيعات التعاقدية الجديدة والديون والإيجارات والمعاملات مع الأطراف ذات العلاقة، وكذلك سعر السهم مقارنة بالأرباح المستدامة والتدفق النقدي الحر.</w:t>
      </w:r>
    </w:p>
    <w:p>
      <w:pPr>
        <w:spacing w:after="60" w:line="259" w:lineRule="auto"/>
        <w:ind w:left="144" w:right="216" w:hanging="72"/>
        <w:jc w:val="right"/>
        <w:bidi w:val="1"/>
      </w:pPr>
      <w:r>
        <w:rPr>
          <w:rFonts w:ascii="Arial" w:hAnsi="Arial" w:eastAsia="Arial" w:cs="Arial"/>
          <w:b w:val="0"/>
          <w:i w:val="0"/>
          <w:sz w:val="20"/>
        </w:rPr>
        <w:t>•  التحويل النقدي: هل تتحول الأرباح بشكل متزايد إلى نقد تشغيلي بعد الإنفاق على التطوير؟</w:t>
      </w:r>
    </w:p>
    <w:p>
      <w:pPr>
        <w:spacing w:after="60" w:line="259" w:lineRule="auto"/>
        <w:ind w:left="144" w:right="216" w:hanging="72"/>
        <w:jc w:val="right"/>
        <w:bidi w:val="1"/>
      </w:pPr>
      <w:r>
        <w:rPr>
          <w:rFonts w:ascii="Arial" w:hAnsi="Arial" w:eastAsia="Arial" w:cs="Arial"/>
          <w:b w:val="0"/>
          <w:i w:val="0"/>
          <w:sz w:val="20"/>
        </w:rPr>
        <w:t>•  المبيعات والتحصيل: هل يستقر تراجع 2025 وهل تواكب المقبوضات الإنفاق على الإنشاء؟</w:t>
      </w:r>
    </w:p>
    <w:p>
      <w:pPr>
        <w:spacing w:after="60" w:line="259" w:lineRule="auto"/>
        <w:ind w:left="144" w:right="216" w:hanging="72"/>
        <w:jc w:val="right"/>
        <w:bidi w:val="1"/>
      </w:pPr>
      <w:r>
        <w:rPr>
          <w:rFonts w:ascii="Arial" w:hAnsi="Arial" w:eastAsia="Arial" w:cs="Arial"/>
          <w:b w:val="0"/>
          <w:i w:val="0"/>
          <w:sz w:val="20"/>
        </w:rPr>
        <w:t>•  التمويل: كيف تتطور مصروفات الفائدة والاستحقاقات ومدفوعات الإيجار والتزامات البيع وإعادة الاستئجار؟</w:t>
      </w:r>
    </w:p>
    <w:p>
      <w:pPr>
        <w:spacing w:after="60" w:line="259" w:lineRule="auto"/>
        <w:ind w:left="144" w:right="216" w:hanging="72"/>
        <w:jc w:val="right"/>
        <w:bidi w:val="1"/>
      </w:pPr>
      <w:r>
        <w:rPr>
          <w:rFonts w:ascii="Arial" w:hAnsi="Arial" w:eastAsia="Arial" w:cs="Arial"/>
          <w:b w:val="0"/>
          <w:i w:val="0"/>
          <w:sz w:val="20"/>
        </w:rPr>
        <w:t>•  جودة الأرباح: ما مدى استدامة الدخل المتكرر ورسوم التطوير ودخل الاستثمار ومكاسب إعادة تقييم العقارات؟</w:t>
      </w:r>
    </w:p>
    <w:p>
      <w:pPr>
        <w:spacing w:after="60" w:line="259" w:lineRule="auto"/>
        <w:ind w:left="144" w:right="216" w:hanging="72"/>
        <w:jc w:val="right"/>
        <w:bidi w:val="1"/>
      </w:pPr>
      <w:r>
        <w:rPr>
          <w:rFonts w:ascii="Arial" w:hAnsi="Arial" w:eastAsia="Arial" w:cs="Arial"/>
          <w:b w:val="0"/>
          <w:i w:val="0"/>
          <w:sz w:val="20"/>
        </w:rPr>
        <w:t>•  الحوكمة والتقييم: ما مستوى حماية الأقلية وشروط الأطراف ذات العلاقة والقيمة السوقية ومضاعفات التقييم مقارنة بالشركات المناظرة؟</w:t>
      </w:r>
    </w:p>
    <w:p>
      <w:pPr>
        <w:spacing w:after="60" w:before="0" w:line="259" w:lineRule="auto"/>
        <w:jc w:val="right"/>
        <w:keepLines/>
        <w:bidi w:val="1"/>
      </w:pPr>
      <w:r>
        <w:rPr>
          <w:rFonts w:ascii="Arial" w:hAnsi="Arial" w:eastAsia="Arial" w:cs="Arial"/>
          <w:b w:val="0"/>
          <w:i w:val="0"/>
          <w:sz w:val="20"/>
        </w:rPr>
        <w:t>الخلاصة للمستثمر: يمثل الحجم والنمو المعلن نقطتي قوة، لكن لا يمكن استخلاص قرار استثماري من نمو الأرباح وحده. يجب التحقق من السعر السوقي ومضاعفات التقييم والمقارنة المتسقة مع الشركات المدرجة النظيرة بتاريخ اتخاذ القرار.</w:t>
      </w:r>
    </w:p>
    <w:p>
      <w:pPr>
        <w:spacing w:before="240" w:after="100"/>
        <w:jc w:val="right"/>
        <w:keepNext/>
        <w:bidi w:val="1"/>
        <w:outlineLvl w:val="0"/>
      </w:pPr>
      <w:r>
        <w:rPr>
          <w:rFonts w:ascii="Arial" w:hAnsi="Arial" w:eastAsia="Arial" w:cs="Arial"/>
          <w:b/>
          <w:i w:val="0"/>
          <w:color w:val="17365D"/>
          <w:sz w:val="34"/>
        </w:rPr>
        <w:t>9. المسائل المفتوحة والفحوص الإضافية</w:t>
      </w:r>
    </w:p>
    <w:tbl>
      <w:tblPr>
        <w:tblStyle w:val="TableGrid"/>
        <w:tblW w:type="auto" w:w="0"/>
        <w:jc w:val="center"/>
        <w:tblLayout w:type="fixed"/>
        <w:tblLook w:firstColumn="1" w:firstRow="1" w:lastColumn="0" w:lastRow="0" w:noHBand="0" w:noVBand="1" w:val="04A0"/>
        <w:bidiVisual w:val="1"/>
      </w:tblPr>
      <w:tblGrid>
        <w:gridCol w:w="3278"/>
        <w:gridCol w:w="3278"/>
        <w:gridCol w:w="3278"/>
      </w:tblGrid>
      <w:tr>
        <w:trPr>
          <w:tblHeader w:val="true"/>
        </w:trPr>
        <w:tc>
          <w:tcPr>
            <w:tcW w:type="dxa" w:w="2376"/>
            <w:vAlign w:val="center"/>
            <w:shd w:fill="17365D"/>
          </w:tcPr>
          <w:p>
            <w:pPr>
              <w:spacing w:after="40" w:before="40"/>
              <w:jc w:val="right"/>
              <w:bidi w:val="1"/>
            </w:pPr>
            <w:r/>
            <w:r>
              <w:rPr>
                <w:rFonts w:ascii="Arial" w:hAnsi="Arial" w:eastAsia="Arial" w:cs="Arial"/>
                <w:b/>
                <w:i w:val="0"/>
                <w:color w:val="FFFFFF"/>
                <w:sz w:val="16"/>
              </w:rPr>
              <w:t>المسألة التي لم تُحسم</w:t>
            </w:r>
          </w:p>
        </w:tc>
        <w:tc>
          <w:tcPr>
            <w:tcW w:type="dxa" w:w="4464"/>
            <w:vAlign w:val="center"/>
            <w:shd w:fill="17365D"/>
          </w:tcPr>
          <w:p>
            <w:pPr>
              <w:spacing w:after="40" w:before="40"/>
              <w:jc w:val="right"/>
              <w:bidi w:val="1"/>
            </w:pPr>
            <w:r/>
            <w:r>
              <w:rPr>
                <w:rFonts w:ascii="Arial" w:hAnsi="Arial" w:eastAsia="Arial" w:cs="Arial"/>
                <w:b/>
                <w:i w:val="0"/>
                <w:color w:val="FFFFFF"/>
                <w:sz w:val="16"/>
              </w:rPr>
              <w:t>المستندات أو البيانات المطلوبة</w:t>
            </w:r>
          </w:p>
        </w:tc>
        <w:tc>
          <w:tcPr>
            <w:tcW w:type="dxa" w:w="2808"/>
            <w:vAlign w:val="center"/>
            <w:shd w:fill="17365D"/>
          </w:tcPr>
          <w:p>
            <w:pPr>
              <w:spacing w:after="40" w:before="40"/>
              <w:jc w:val="right"/>
              <w:bidi w:val="1"/>
            </w:pPr>
            <w:r/>
            <w:r>
              <w:rPr>
                <w:rFonts w:ascii="Arial" w:hAnsi="Arial" w:eastAsia="Arial" w:cs="Arial"/>
                <w:b/>
                <w:i w:val="0"/>
                <w:color w:val="FFFFFF"/>
                <w:sz w:val="16"/>
              </w:rPr>
              <w:t>سبب الأهمية</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تسليم المشروعات وحالة الإنشاء</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الخطط الزمنية المعتمدة والمحدثة، وتقارير تكلفة الإكمال، وشهادات التسليم، وإحصاءات العيوب وأوامر التغيير.</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تحديد ما إذا كانت المشروعات تسير وفق الوقت والتكلفة والجودة المطلوبة.</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جودة المبيعات المتعاقد عليها</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نسب التحصيل والإلغاء والاسترداد والأقساط المتأخرة وأعمار الذمم ومزيج المشترين.</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التحقق من تحول المبيعات المتعاقد عليها إلى نقد، لا مجرد حجوزات.</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الالتزامات التمويلية</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جدول كامل لاستحقاق الديون والإيجارات والضمانات والالتزامات المحتملة وشروط التعهدات المالية وتوقع السيولة الشهري.</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قياس احتياجات النقد المستقبلية ومخاطر إعادة التمويل.</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سندات الأراضي والالتزام التعاقدي</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مستندات الملكية الحالية واتفاقيات التطوير والتراخيص وجداول السداد وبحث التقاضي لكل مشروع.</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التحقق من الحقوق والالتزامات القانونية على مستوى المشروع.</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معاملات الأطراف ذات العلاقة</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سجل المعاملات الكامل والأسعار والشروط والأرصدة والموافقات وأدلة الرقابة المستقلة.</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تقييم تعارض المصالح وحماية مساهمي الأقلية.</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رضا العملاء وحل العيوب</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استطلاع ممثل وبيانات حجم الشكاوى وأزمنة الإغلاق وسجلات الضمان وتقارير الفحص المستقل.</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التمييز بين شكاوى فردية ومشكلة تشغيلية منهجية.</w:t>
            </w:r>
          </w:p>
        </w:tc>
      </w:tr>
      <w:tr>
        <w:trPr>
          <w:cantSplit/>
        </w:trPr>
        <w:tc>
          <w:tcPr>
            <w:tcW w:type="dxa" w:w="2376"/>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التزام العاملين والمقاولين</w:t>
            </w:r>
          </w:p>
        </w:tc>
        <w:tc>
          <w:tcPr>
            <w:tcW w:type="dxa" w:w="4464"/>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رد رسمي على التظلمات ونتائج تفتيش العمل وشروط تشغيل المقاولين وسجلات المعالجة.</w:t>
            </w:r>
          </w:p>
        </w:tc>
        <w:tc>
          <w:tcPr>
            <w:tcW w:type="dxa" w:w="2808"/>
            <w:vAlign w:val="center"/>
            <w:tcBorders>
              <w:top w:val="single" w:sz="4" w:color="D6DEE8"/>
              <w:bottom w:val="single" w:sz="4" w:color="D6DEE8"/>
            </w:tcBorders>
          </w:tcPr>
          <w:p>
            <w:pPr>
              <w:spacing w:after="40" w:before="40"/>
              <w:jc w:val="right"/>
              <w:bidi w:val="1"/>
            </w:pPr>
            <w:r/>
            <w:r>
              <w:rPr>
                <w:rFonts w:ascii="Arial" w:hAnsi="Arial" w:eastAsia="Arial" w:cs="Arial"/>
                <w:b w:val="0"/>
                <w:i w:val="0"/>
                <w:sz w:val="16"/>
              </w:rPr>
              <w:t>معرفة ما إذا كانت مخاوف العمال معزولة أم مستمرة.</w:t>
            </w:r>
          </w:p>
        </w:tc>
      </w:tr>
      <w:tr>
        <w:trPr>
          <w:cantSplit/>
        </w:trPr>
        <w:tc>
          <w:tcPr>
            <w:tcW w:type="dxa" w:w="2376"/>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تقييم السهم ومقارنته بالنظراء</w:t>
            </w:r>
          </w:p>
        </w:tc>
        <w:tc>
          <w:tcPr>
            <w:tcW w:type="dxa" w:w="4464"/>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سعر السهم الحالي وقيمته السوقية والأرباح المطبّعة والتدفق النقدي الحر ومضاعفات الشركات المناظرة.</w:t>
            </w:r>
          </w:p>
        </w:tc>
        <w:tc>
          <w:tcPr>
            <w:tcW w:type="dxa" w:w="2808"/>
            <w:vAlign w:val="center"/>
            <w:shd w:fill="F5F7FA"/>
            <w:tcBorders>
              <w:top w:val="single" w:sz="4" w:color="D6DEE8"/>
              <w:bottom w:val="single" w:sz="4" w:color="D6DEE8"/>
            </w:tcBorders>
          </w:tcPr>
          <w:p>
            <w:pPr>
              <w:spacing w:after="40" w:before="40"/>
              <w:jc w:val="right"/>
              <w:bidi w:val="1"/>
            </w:pPr>
            <w:r/>
            <w:r>
              <w:rPr>
                <w:rFonts w:ascii="Arial" w:hAnsi="Arial" w:eastAsia="Arial" w:cs="Arial"/>
                <w:b w:val="0"/>
                <w:i w:val="0"/>
                <w:sz w:val="16"/>
              </w:rPr>
              <w:t>لا يمكن حسم جدوى الاستثمار من قوة التشغيل وحدها.</w:t>
            </w:r>
          </w:p>
        </w:tc>
      </w:tr>
    </w:tbl>
    <w:p>
      <w:pPr>
        <w:spacing w:after="20"/>
      </w:pPr>
    </w:p>
    <w:p>
      <w:pPr>
        <w:spacing w:before="240" w:after="100"/>
        <w:jc w:val="right"/>
        <w:keepNext/>
        <w:bidi w:val="1"/>
        <w:outlineLvl w:val="0"/>
      </w:pPr>
      <w:r>
        <w:rPr>
          <w:rFonts w:ascii="Arial" w:hAnsi="Arial" w:eastAsia="Arial" w:cs="Arial"/>
          <w:b/>
          <w:i w:val="0"/>
          <w:color w:val="17365D"/>
          <w:sz w:val="34"/>
        </w:rPr>
        <w:t>الخلاصة النهائية</w:t>
      </w:r>
    </w:p>
    <w:p>
      <w:pPr>
        <w:spacing w:after="60" w:before="0" w:line="259" w:lineRule="auto"/>
        <w:jc w:val="right"/>
        <w:keepLines/>
        <w:bidi w:val="1"/>
      </w:pPr>
      <w:r>
        <w:rPr>
          <w:rFonts w:ascii="Arial" w:hAnsi="Arial" w:eastAsia="Arial" w:cs="Arial"/>
          <w:b w:val="0"/>
          <w:i w:val="0"/>
          <w:sz w:val="20"/>
        </w:rPr>
        <w:t>TMG Holding مطور كبير من الناحية المالية ولديه فرص نمو مهمة، لكنه يواجه مخاطر ذات شأن تتعلق بالتنفيذ والحوكمة. ويُعد أداء 2025 والنصف الأول من 2026 والموارد النقدية والمجتمعات القائمة والدخل المتكرر عناصر قوة. في المقابل، فإن تطبيع المبيعات في 2025 وديناميكيات التحويل النقدي وزيادة الالتزامات التمويلية والحساسية لتكاليف الإنشاء والتدقيق القانوني والسمعة أمور تستحق المتابعة.</w:t>
      </w:r>
    </w:p>
    <w:p>
      <w:pPr>
        <w:spacing w:after="60" w:before="0" w:line="259" w:lineRule="auto"/>
        <w:jc w:val="right"/>
        <w:keepLines/>
        <w:bidi w:val="1"/>
      </w:pPr>
      <w:r>
        <w:rPr>
          <w:rFonts w:ascii="Arial" w:hAnsi="Arial" w:eastAsia="Arial" w:cs="Arial"/>
          <w:b w:val="0"/>
          <w:i w:val="0"/>
          <w:sz w:val="20"/>
        </w:rPr>
        <w:t>لا تثبت الأدلة وجود ضائقة مالية فورية، أو عدم قانونية المشروعات الرئيسية الحالية، أو أن الشكاوى الفردية على الإنترنت تمثل كل السكان. كما لا تثبت أن كل مشروع سيفي بالتسليم والجودة وتوقعات إعادة البيع. لذلك يجب أن يكون القرار ملائماً لكل فئة: يتحقق المشتري من الوحدة والعقد؛ ويتابع المالك الإدارة وحقوقه التعاقدية؛ ويفحص المستثمر التدفقات النقدية والالتزامات والحوكمة والتقييم.</w:t>
      </w:r>
    </w:p>
    <w:p>
      <w:pPr>
        <w:spacing w:before="80" w:after="120"/>
        <w:jc w:val="right"/>
        <w:keepNext/>
        <w:bidi w:val="1"/>
      </w:pPr>
      <w:r>
        <w:rPr>
          <w:rFonts w:ascii="Arial" w:hAnsi="Arial" w:eastAsia="Arial" w:cs="Arial"/>
          <w:b/>
          <w:color w:val="9C4E23"/>
          <w:sz w:val="19"/>
          <w:rtl w:val="1"/>
        </w:rPr>
        <w:t>ملحوظة مهمة بشأن المقاولين: يضم الملحق الإضافي في نهاية التقرير مصادر منشورة عن شكاوى مستحقات ومنازعات مستخلصات مرتبطة بأعمال «مدينتي»، مع الفصل بين الادعاء المنشور والحكم القضائي النهائي. لم أجد في المصادر المفتوحة التي تمت مراجعتها ما يثبت صدور حكم نهائي يؤكد جميع المطالبات أو يحسم المبالغ محلها.</w:t>
      </w:r>
    </w:p>
    <w:p>
      <w:pPr>
        <w:spacing w:before="240" w:after="100"/>
        <w:jc w:val="right"/>
        <w:keepNext/>
        <w:bidi w:val="1"/>
        <w:outlineLvl w:val="0"/>
      </w:pPr>
      <w:r>
        <w:rPr>
          <w:rFonts w:ascii="Arial" w:hAnsi="Arial" w:eastAsia="Arial" w:cs="Arial"/>
          <w:b/>
          <w:i w:val="0"/>
          <w:color w:val="17365D"/>
          <w:sz w:val="34"/>
        </w:rPr>
        <w:t>10. سجل المصادر المباشرة</w:t>
      </w:r>
    </w:p>
    <w:p>
      <w:pPr>
        <w:spacing w:after="60" w:before="0" w:line="259" w:lineRule="auto"/>
        <w:jc w:val="right"/>
        <w:keepLines/>
        <w:bidi w:val="1"/>
      </w:pPr>
      <w:r>
        <w:rPr>
          <w:rFonts w:ascii="Arial" w:hAnsi="Arial" w:eastAsia="Arial" w:cs="Arial"/>
          <w:b w:val="0"/>
          <w:i w:val="0"/>
          <w:sz w:val="20"/>
        </w:rPr>
        <w:t>الإحالات [S1] إلى [S21] الواردة في متن التقرير تتطابق مع القائمة أدناه. افتح الرابط المباشر لكل مصدر للتحقق من المستند الأصلي. يشير التاريخ إلى تاريخ النشر أو الفترة التي يغطيها المصدر عند توافرها؛ وقد تتغير بعض صفحات الشركة بمرور الوقت.</w:t>
      </w:r>
    </w:p>
    <w:p>
      <w:pPr>
        <w:spacing w:after="10" w:line="240" w:lineRule="auto"/>
        <w:jc w:val="right"/>
        <w:bidi w:val="1"/>
      </w:pPr>
      <w:r>
        <w:rPr>
          <w:rFonts w:ascii="Arial" w:hAnsi="Arial" w:eastAsia="Arial" w:cs="Arial"/>
          <w:b/>
          <w:i w:val="0"/>
          <w:color w:val="17365D"/>
          <w:sz w:val="16"/>
        </w:rPr>
        <w:t xml:space="preserve">[S1] </w:t>
      </w:r>
      <w:hyperlink r:id="rId13">
        <w:r>
          <w:rPr>
            <w:color w:val="0563C1"/>
            <w:u w:val="single"/>
            <w:rFonts w:ascii="Arial" w:hAnsi="Arial" w:cs="Arial"/>
            <w:sz w:val="15"/>
          </w:rPr>
          <w:t>مجموعة طلعت مصطفى القابضة — علاقات المستثمرين والإفصاحات الرسمية</w:t>
        </w:r>
      </w:hyperlink>
      <w:r>
        <w:rPr>
          <w:rFonts w:ascii="Arial" w:hAnsi="Arial" w:eastAsia="Arial" w:cs="Arial"/>
          <w:b w:val="0"/>
          <w:i w:val="0"/>
          <w:color w:val="5B6573"/>
          <w:sz w:val="15"/>
        </w:rPr>
        <w:t xml:space="preserve"> — بوابة علاقات المستثمرين، تشمل القوائم المالية والإفصاحات.</w:t>
      </w:r>
    </w:p>
    <w:p>
      <w:pPr>
        <w:spacing w:after="10" w:line="240" w:lineRule="auto"/>
        <w:jc w:val="right"/>
        <w:bidi w:val="1"/>
      </w:pPr>
      <w:r>
        <w:rPr>
          <w:rFonts w:ascii="Arial" w:hAnsi="Arial" w:eastAsia="Arial" w:cs="Arial"/>
          <w:b/>
          <w:i w:val="0"/>
          <w:color w:val="17365D"/>
          <w:sz w:val="16"/>
        </w:rPr>
        <w:t xml:space="preserve">[S2] </w:t>
      </w:r>
      <w:hyperlink r:id="rId14">
        <w:r>
          <w:rPr>
            <w:color w:val="0563C1"/>
            <w:u w:val="single"/>
            <w:rFonts w:ascii="Arial" w:hAnsi="Arial" w:cs="Arial"/>
            <w:sz w:val="15"/>
          </w:rPr>
          <w:t>TMG Holding — FY2025 Earnings Release</w:t>
        </w:r>
      </w:hyperlink>
      <w:r>
        <w:rPr>
          <w:rFonts w:ascii="Arial" w:hAnsi="Arial" w:eastAsia="Arial" w:cs="Arial"/>
          <w:b w:val="0"/>
          <w:i w:val="0"/>
          <w:color w:val="5B6573"/>
          <w:sz w:val="15"/>
        </w:rPr>
        <w:t xml:space="preserve"> — نتائج تشغيلية ومالية منشورة من الشركة؛ فبراير 2026.</w:t>
      </w:r>
    </w:p>
    <w:p>
      <w:pPr>
        <w:spacing w:after="10" w:line="240" w:lineRule="auto"/>
        <w:jc w:val="right"/>
        <w:bidi w:val="1"/>
      </w:pPr>
      <w:r>
        <w:rPr>
          <w:rFonts w:ascii="Arial" w:hAnsi="Arial" w:eastAsia="Arial" w:cs="Arial"/>
          <w:b/>
          <w:i w:val="0"/>
          <w:color w:val="17365D"/>
          <w:sz w:val="16"/>
        </w:rPr>
        <w:t xml:space="preserve">[S3] </w:t>
      </w:r>
      <w:hyperlink r:id="rId15">
        <w:r>
          <w:rPr>
            <w:color w:val="0563C1"/>
            <w:u w:val="single"/>
            <w:rFonts w:ascii="Arial" w:hAnsi="Arial" w:cs="Arial"/>
            <w:sz w:val="15"/>
          </w:rPr>
          <w:t>TMG Holding — Consolidated Financial Statements, 30 June 2026</w:t>
        </w:r>
      </w:hyperlink>
      <w:r>
        <w:rPr>
          <w:rFonts w:ascii="Arial" w:hAnsi="Arial" w:eastAsia="Arial" w:cs="Arial"/>
          <w:b w:val="0"/>
          <w:i w:val="0"/>
          <w:color w:val="5B6573"/>
          <w:sz w:val="15"/>
        </w:rPr>
        <w:t xml:space="preserve"> — القوائم المالية المرحلية الموحدة للفترة المنتهية في 30 يونيو 2026 والإيضاحات.</w:t>
      </w:r>
    </w:p>
    <w:p>
      <w:pPr>
        <w:spacing w:after="10" w:line="240" w:lineRule="auto"/>
        <w:jc w:val="right"/>
        <w:bidi w:val="1"/>
      </w:pPr>
      <w:r>
        <w:rPr>
          <w:rFonts w:ascii="Arial" w:hAnsi="Arial" w:eastAsia="Arial" w:cs="Arial"/>
          <w:b/>
          <w:i w:val="0"/>
          <w:color w:val="17365D"/>
          <w:sz w:val="16"/>
        </w:rPr>
        <w:t xml:space="preserve">[S4] </w:t>
      </w:r>
      <w:hyperlink r:id="rId16">
        <w:r>
          <w:rPr>
            <w:color w:val="0563C1"/>
            <w:u w:val="single"/>
            <w:rFonts w:ascii="Arial" w:hAnsi="Arial" w:cs="Arial"/>
            <w:sz w:val="15"/>
          </w:rPr>
          <w:t>TMG Holding — Annual Corporate Governance Report FY2025</w:t>
        </w:r>
      </w:hyperlink>
      <w:r>
        <w:rPr>
          <w:rFonts w:ascii="Arial" w:hAnsi="Arial" w:eastAsia="Arial" w:cs="Arial"/>
          <w:b w:val="0"/>
          <w:i w:val="0"/>
          <w:color w:val="5B6573"/>
          <w:sz w:val="15"/>
        </w:rPr>
        <w:t xml:space="preserve"> — إفصاحات الحوكمة والمساهمين للسنة المالية 2025.</w:t>
      </w:r>
    </w:p>
    <w:p>
      <w:pPr>
        <w:spacing w:after="10" w:line="240" w:lineRule="auto"/>
        <w:jc w:val="right"/>
        <w:bidi w:val="1"/>
      </w:pPr>
      <w:r>
        <w:rPr>
          <w:rFonts w:ascii="Arial" w:hAnsi="Arial" w:eastAsia="Arial" w:cs="Arial"/>
          <w:b/>
          <w:i w:val="0"/>
          <w:color w:val="17365D"/>
          <w:sz w:val="16"/>
        </w:rPr>
        <w:t xml:space="preserve">[S5] </w:t>
      </w:r>
      <w:hyperlink r:id="rId17">
        <w:r>
          <w:rPr>
            <w:color w:val="0563C1"/>
            <w:u w:val="single"/>
            <w:rFonts w:ascii="Arial" w:hAnsi="Arial" w:cs="Arial"/>
            <w:sz w:val="15"/>
          </w:rPr>
          <w:t>TMG Holding — About Us</w:t>
        </w:r>
      </w:hyperlink>
      <w:r>
        <w:rPr>
          <w:rFonts w:ascii="Arial" w:hAnsi="Arial" w:eastAsia="Arial" w:cs="Arial"/>
          <w:b w:val="0"/>
          <w:i w:val="0"/>
          <w:color w:val="5B6573"/>
          <w:sz w:val="15"/>
        </w:rPr>
        <w:t xml:space="preserve"> — التاريخ والمشروعات كما تعرضها الشركة.</w:t>
      </w:r>
    </w:p>
    <w:p>
      <w:pPr>
        <w:spacing w:after="10" w:line="240" w:lineRule="auto"/>
        <w:jc w:val="right"/>
        <w:bidi w:val="1"/>
      </w:pPr>
      <w:r>
        <w:rPr>
          <w:rFonts w:ascii="Arial" w:hAnsi="Arial" w:eastAsia="Arial" w:cs="Arial"/>
          <w:b/>
          <w:i w:val="0"/>
          <w:color w:val="17365D"/>
          <w:sz w:val="16"/>
        </w:rPr>
        <w:t xml:space="preserve">[S6] </w:t>
      </w:r>
      <w:hyperlink r:id="rId18">
        <w:r>
          <w:rPr>
            <w:color w:val="0563C1"/>
            <w:u w:val="single"/>
            <w:rFonts w:ascii="Arial" w:hAnsi="Arial" w:cs="Arial"/>
            <w:sz w:val="15"/>
          </w:rPr>
          <w:t>Central Bank of Egypt — MPC statement, 21 May 2026</w:t>
        </w:r>
      </w:hyperlink>
      <w:r>
        <w:rPr>
          <w:rFonts w:ascii="Arial" w:hAnsi="Arial" w:eastAsia="Arial" w:cs="Arial"/>
          <w:b w:val="0"/>
          <w:i w:val="0"/>
          <w:color w:val="5B6573"/>
          <w:sz w:val="15"/>
        </w:rPr>
        <w:t xml:space="preserve"> — السياق النقدي ومعدلات السياسة؛ 21 مايو 2026.</w:t>
      </w:r>
    </w:p>
    <w:p>
      <w:pPr>
        <w:spacing w:after="10" w:line="240" w:lineRule="auto"/>
        <w:jc w:val="right"/>
        <w:bidi w:val="1"/>
      </w:pPr>
      <w:r>
        <w:rPr>
          <w:rFonts w:ascii="Arial" w:hAnsi="Arial" w:eastAsia="Arial" w:cs="Arial"/>
          <w:b/>
          <w:i w:val="0"/>
          <w:color w:val="17365D"/>
          <w:sz w:val="16"/>
        </w:rPr>
        <w:t xml:space="preserve">[S7] </w:t>
      </w:r>
      <w:hyperlink r:id="rId19">
        <w:r>
          <w:rPr>
            <w:color w:val="0563C1"/>
            <w:u w:val="single"/>
            <w:rFonts w:ascii="Arial" w:hAnsi="Arial" w:cs="Arial"/>
            <w:sz w:val="15"/>
          </w:rPr>
          <w:t>IMF — Egypt programme review, 30 July 2026</w:t>
        </w:r>
      </w:hyperlink>
      <w:r>
        <w:rPr>
          <w:rFonts w:ascii="Arial" w:hAnsi="Arial" w:eastAsia="Arial" w:cs="Arial"/>
          <w:b w:val="0"/>
          <w:i w:val="0"/>
          <w:color w:val="5B6573"/>
          <w:sz w:val="15"/>
        </w:rPr>
        <w:t xml:space="preserve"> — التوقعات الاقتصادية الكلية وتوقعات التضخم؛ 30 يوليو 2026.</w:t>
      </w:r>
    </w:p>
    <w:p>
      <w:pPr>
        <w:spacing w:after="10" w:line="240" w:lineRule="auto"/>
        <w:jc w:val="right"/>
        <w:bidi w:val="1"/>
      </w:pPr>
      <w:r>
        <w:rPr>
          <w:rFonts w:ascii="Arial" w:hAnsi="Arial" w:eastAsia="Arial" w:cs="Arial"/>
          <w:b/>
          <w:i w:val="0"/>
          <w:color w:val="17365D"/>
          <w:sz w:val="16"/>
        </w:rPr>
        <w:t xml:space="preserve">[S8] </w:t>
      </w:r>
      <w:hyperlink r:id="rId20">
        <w:r>
          <w:rPr>
            <w:color w:val="0563C1"/>
            <w:u w:val="single"/>
            <w:rFonts w:ascii="Arial" w:hAnsi="Arial" w:cs="Arial"/>
            <w:sz w:val="15"/>
          </w:rPr>
          <w:t>Gleeds — Egypt Construction Market Report Q1/Q2 2026</w:t>
        </w:r>
      </w:hyperlink>
      <w:r>
        <w:rPr>
          <w:rFonts w:ascii="Arial" w:hAnsi="Arial" w:eastAsia="Arial" w:cs="Arial"/>
          <w:b w:val="0"/>
          <w:i w:val="0"/>
          <w:color w:val="5B6573"/>
          <w:sz w:val="15"/>
        </w:rPr>
        <w:t xml:space="preserve"> — سياق سوق التشييد وتكاليف البناء؛ تقرير 2026.</w:t>
      </w:r>
    </w:p>
    <w:p>
      <w:pPr>
        <w:spacing w:after="10" w:line="240" w:lineRule="auto"/>
        <w:jc w:val="right"/>
        <w:bidi w:val="1"/>
      </w:pPr>
      <w:r>
        <w:rPr>
          <w:rFonts w:ascii="Arial" w:hAnsi="Arial" w:eastAsia="Arial" w:cs="Arial"/>
          <w:b/>
          <w:i w:val="0"/>
          <w:color w:val="17365D"/>
          <w:sz w:val="16"/>
        </w:rPr>
        <w:t xml:space="preserve">[S9] </w:t>
      </w:r>
      <w:hyperlink r:id="rId21">
        <w:r>
          <w:rPr>
            <w:color w:val="0563C1"/>
            <w:u w:val="single"/>
            <w:rFonts w:ascii="Arial" w:hAnsi="Arial" w:cs="Arial"/>
            <w:sz w:val="15"/>
          </w:rPr>
          <w:t>EFG Hermes Research — The Year Ahead 2026</w:t>
        </w:r>
      </w:hyperlink>
      <w:r>
        <w:rPr>
          <w:rFonts w:ascii="Arial" w:hAnsi="Arial" w:eastAsia="Arial" w:cs="Arial"/>
          <w:b w:val="0"/>
          <w:i w:val="0"/>
          <w:color w:val="5B6573"/>
          <w:sz w:val="15"/>
        </w:rPr>
        <w:t xml:space="preserve"> — رؤية محلل بشأن الطلب العقاري والقدرة الشرائية في مصر؛ 2026.</w:t>
      </w:r>
    </w:p>
    <w:p>
      <w:pPr>
        <w:spacing w:after="10" w:line="240" w:lineRule="auto"/>
        <w:jc w:val="right"/>
        <w:bidi w:val="1"/>
      </w:pPr>
      <w:r>
        <w:rPr>
          <w:rFonts w:ascii="Arial" w:hAnsi="Arial" w:eastAsia="Arial" w:cs="Arial"/>
          <w:b/>
          <w:i w:val="0"/>
          <w:color w:val="17365D"/>
          <w:sz w:val="16"/>
        </w:rPr>
        <w:t xml:space="preserve">[S10] </w:t>
      </w:r>
      <w:hyperlink r:id="rId22">
        <w:r>
          <w:rPr>
            <w:color w:val="0563C1"/>
            <w:u w:val="single"/>
            <w:rFonts w:ascii="Arial" w:hAnsi="Arial" w:cs="Arial"/>
            <w:sz w:val="15"/>
          </w:rPr>
          <w:t>Financial Times — Gulf developers and the North Coast, October 2026</w:t>
        </w:r>
      </w:hyperlink>
      <w:r>
        <w:rPr>
          <w:rFonts w:ascii="Arial" w:hAnsi="Arial" w:eastAsia="Arial" w:cs="Arial"/>
          <w:b w:val="0"/>
          <w:i w:val="0"/>
          <w:color w:val="5B6573"/>
          <w:sz w:val="15"/>
        </w:rPr>
        <w:t xml:space="preserve"> — تغطية مستقلة عن تنمية الساحل الشمالي والسياحة؛ أكتوبر 2026.</w:t>
      </w:r>
    </w:p>
    <w:p>
      <w:pPr>
        <w:spacing w:after="10" w:line="240" w:lineRule="auto"/>
        <w:jc w:val="right"/>
        <w:bidi w:val="1"/>
      </w:pPr>
      <w:r>
        <w:rPr>
          <w:rFonts w:ascii="Arial" w:hAnsi="Arial" w:eastAsia="Arial" w:cs="Arial"/>
          <w:b/>
          <w:i w:val="0"/>
          <w:color w:val="17365D"/>
          <w:sz w:val="16"/>
        </w:rPr>
        <w:t xml:space="preserve">[S11] </w:t>
      </w:r>
      <w:hyperlink r:id="rId23">
        <w:r>
          <w:rPr>
            <w:color w:val="0563C1"/>
            <w:u w:val="single"/>
            <w:rFonts w:ascii="Arial" w:hAnsi="Arial" w:cs="Arial"/>
            <w:sz w:val="15"/>
          </w:rPr>
          <w:t>Ahram Online / Reuters — Madinaty replacement land contract, 22 November 2011</w:t>
        </w:r>
      </w:hyperlink>
      <w:r>
        <w:rPr>
          <w:rFonts w:ascii="Arial" w:hAnsi="Arial" w:eastAsia="Arial" w:cs="Arial"/>
          <w:b w:val="0"/>
          <w:i w:val="0"/>
          <w:color w:val="5B6573"/>
          <w:sz w:val="15"/>
        </w:rPr>
        <w:t xml:space="preserve"> — تغطية تاريخية بشأن عقد أرض مدينتي البديل.</w:t>
      </w:r>
    </w:p>
    <w:p>
      <w:pPr>
        <w:spacing w:after="10" w:line="240" w:lineRule="auto"/>
        <w:jc w:val="right"/>
        <w:bidi w:val="1"/>
      </w:pPr>
      <w:r>
        <w:rPr>
          <w:rFonts w:ascii="Arial" w:hAnsi="Arial" w:eastAsia="Arial" w:cs="Arial"/>
          <w:b/>
          <w:i w:val="0"/>
          <w:color w:val="17365D"/>
          <w:sz w:val="16"/>
        </w:rPr>
        <w:t xml:space="preserve">[S12] </w:t>
      </w:r>
      <w:hyperlink r:id="rId24">
        <w:r>
          <w:rPr>
            <w:color w:val="0563C1"/>
            <w:u w:val="single"/>
            <w:rFonts w:ascii="Arial" w:hAnsi="Arial" w:cs="Arial"/>
            <w:sz w:val="15"/>
          </w:rPr>
          <w:t>Egypt Independent / Reuters — Madinaty land ruling, 23 November 2010</w:t>
        </w:r>
      </w:hyperlink>
      <w:r>
        <w:rPr>
          <w:rFonts w:ascii="Arial" w:hAnsi="Arial" w:eastAsia="Arial" w:cs="Arial"/>
          <w:b w:val="0"/>
          <w:i w:val="0"/>
          <w:color w:val="5B6573"/>
          <w:sz w:val="15"/>
        </w:rPr>
        <w:t xml:space="preserve"> — تغطية تاريخية لنزاع تخصيص أرض مدينتي.</w:t>
      </w:r>
    </w:p>
    <w:p>
      <w:pPr>
        <w:spacing w:after="10" w:line="240" w:lineRule="auto"/>
        <w:jc w:val="right"/>
        <w:bidi w:val="1"/>
      </w:pPr>
      <w:r>
        <w:rPr>
          <w:rFonts w:ascii="Arial" w:hAnsi="Arial" w:eastAsia="Arial" w:cs="Arial"/>
          <w:b/>
          <w:i w:val="0"/>
          <w:color w:val="17365D"/>
          <w:sz w:val="16"/>
        </w:rPr>
        <w:t xml:space="preserve">[S13] </w:t>
      </w:r>
      <w:hyperlink r:id="rId25">
        <w:r>
          <w:rPr>
            <w:color w:val="0563C1"/>
            <w:u w:val="single"/>
            <w:rFonts w:ascii="Arial" w:hAnsi="Arial" w:cs="Arial"/>
            <w:sz w:val="15"/>
          </w:rPr>
          <w:t>ARIJ — Investigation into Egyptian property land allocation, 2023</w:t>
        </w:r>
      </w:hyperlink>
      <w:r>
        <w:rPr>
          <w:rFonts w:ascii="Arial" w:hAnsi="Arial" w:eastAsia="Arial" w:cs="Arial"/>
          <w:b w:val="0"/>
          <w:i w:val="0"/>
          <w:color w:val="5B6573"/>
          <w:sz w:val="15"/>
        </w:rPr>
        <w:t xml:space="preserve"> — تحقيق صحفي بشأن تخصيص الأراضي والشفافية في السوق العقاري المصري.</w:t>
      </w:r>
    </w:p>
    <w:p>
      <w:pPr>
        <w:spacing w:after="10" w:line="240" w:lineRule="auto"/>
        <w:jc w:val="right"/>
        <w:bidi w:val="1"/>
      </w:pPr>
      <w:r>
        <w:rPr>
          <w:rFonts w:ascii="Arial" w:hAnsi="Arial" w:eastAsia="Arial" w:cs="Arial"/>
          <w:b/>
          <w:i w:val="0"/>
          <w:color w:val="17365D"/>
          <w:sz w:val="16"/>
        </w:rPr>
        <w:t xml:space="preserve">[S14] </w:t>
      </w:r>
      <w:hyperlink r:id="rId26">
        <w:r>
          <w:rPr>
            <w:color w:val="0563C1"/>
            <w:u w:val="single"/>
            <w:rFonts w:ascii="Arial" w:hAnsi="Arial" w:cs="Arial"/>
            <w:sz w:val="15"/>
          </w:rPr>
          <w:t>Al Manassa — Madinaty security workers petition, 29 October 2025</w:t>
        </w:r>
      </w:hyperlink>
      <w:r>
        <w:rPr>
          <w:rFonts w:ascii="Arial" w:hAnsi="Arial" w:eastAsia="Arial" w:cs="Arial"/>
          <w:b w:val="0"/>
          <w:i w:val="0"/>
          <w:color w:val="5B6573"/>
          <w:sz w:val="15"/>
        </w:rPr>
        <w:t xml:space="preserve"> — تغطية مستقلة لالتماس عمال ومزاعم تتعلق بظروف العمل.</w:t>
      </w:r>
    </w:p>
    <w:p>
      <w:pPr>
        <w:spacing w:after="10" w:line="240" w:lineRule="auto"/>
        <w:jc w:val="right"/>
        <w:bidi w:val="1"/>
      </w:pPr>
      <w:r>
        <w:rPr>
          <w:rFonts w:ascii="Arial" w:hAnsi="Arial" w:eastAsia="Arial" w:cs="Arial"/>
          <w:b/>
          <w:i w:val="0"/>
          <w:color w:val="17365D"/>
          <w:sz w:val="16"/>
        </w:rPr>
        <w:t xml:space="preserve">[S15] </w:t>
      </w:r>
      <w:hyperlink r:id="rId27">
        <w:r>
          <w:rPr>
            <w:color w:val="0563C1"/>
            <w:u w:val="single"/>
            <w:rFonts w:ascii="Arial" w:hAnsi="Arial" w:cs="Arial"/>
            <w:sz w:val="15"/>
          </w:rPr>
          <w:t>Egyptian FRA — Real estate and assignment-of-rights guidance, September 2026</w:t>
        </w:r>
      </w:hyperlink>
      <w:r>
        <w:rPr>
          <w:rFonts w:ascii="Arial" w:hAnsi="Arial" w:eastAsia="Arial" w:cs="Arial"/>
          <w:b w:val="0"/>
          <w:i w:val="0"/>
          <w:color w:val="5B6573"/>
          <w:sz w:val="15"/>
        </w:rPr>
        <w:t xml:space="preserve"> — سياق رقابي بشأن عقود العقارات والتنازل عن الحقوق.</w:t>
      </w:r>
    </w:p>
    <w:p>
      <w:pPr>
        <w:spacing w:after="10" w:line="240" w:lineRule="auto"/>
        <w:jc w:val="right"/>
        <w:bidi w:val="1"/>
      </w:pPr>
      <w:r>
        <w:rPr>
          <w:rFonts w:ascii="Arial" w:hAnsi="Arial" w:eastAsia="Arial" w:cs="Arial"/>
          <w:b/>
          <w:i w:val="0"/>
          <w:color w:val="17365D"/>
          <w:sz w:val="16"/>
        </w:rPr>
        <w:t xml:space="preserve">[S16] </w:t>
      </w:r>
      <w:hyperlink r:id="rId28">
        <w:r>
          <w:rPr>
            <w:color w:val="0563C1"/>
            <w:u w:val="single"/>
            <w:rFonts w:ascii="Arial" w:hAnsi="Arial" w:cs="Arial"/>
            <w:sz w:val="15"/>
          </w:rPr>
          <w:t>Daily News Egypt — TMG community employment forum, 7 November 2023</w:t>
        </w:r>
      </w:hyperlink>
      <w:r>
        <w:rPr>
          <w:rFonts w:ascii="Arial" w:hAnsi="Arial" w:eastAsia="Arial" w:cs="Arial"/>
          <w:b w:val="0"/>
          <w:i w:val="0"/>
          <w:color w:val="5B6573"/>
          <w:sz w:val="15"/>
        </w:rPr>
        <w:t xml:space="preserve"> — تغطية إيجابية محدودة عن التفاعل المجتمعي؛ لا تمثل استطلاعاً شاملاً لرضا العملاء.</w:t>
      </w:r>
    </w:p>
    <w:p>
      <w:pPr>
        <w:spacing w:after="10" w:line="240" w:lineRule="auto"/>
        <w:jc w:val="right"/>
        <w:bidi w:val="1"/>
      </w:pPr>
      <w:r>
        <w:rPr>
          <w:rFonts w:ascii="Arial" w:hAnsi="Arial" w:eastAsia="Arial" w:cs="Arial"/>
          <w:b/>
          <w:i w:val="0"/>
          <w:color w:val="17365D"/>
          <w:sz w:val="16"/>
        </w:rPr>
        <w:t xml:space="preserve">[S17] </w:t>
      </w:r>
      <w:hyperlink r:id="rId29">
        <w:r>
          <w:rPr>
            <w:color w:val="0563C1"/>
            <w:u w:val="single"/>
            <w:rFonts w:ascii="Arial" w:hAnsi="Arial" w:cs="Arial"/>
            <w:sz w:val="15"/>
          </w:rPr>
          <w:t>NewAqar — Article on claimed Madinaty living drawbacks</w:t>
        </w:r>
      </w:hyperlink>
      <w:r>
        <w:rPr>
          <w:rFonts w:ascii="Arial" w:hAnsi="Arial" w:eastAsia="Arial" w:cs="Arial"/>
          <w:b w:val="0"/>
          <w:i w:val="0"/>
          <w:color w:val="5B6573"/>
          <w:sz w:val="15"/>
        </w:rPr>
        <w:t xml:space="preserve"> — مادة استدلالية تتضمن مشكلات مزعومة؛ ليست عينة ممثلة للسكان.</w:t>
      </w:r>
    </w:p>
    <w:p>
      <w:pPr>
        <w:spacing w:after="10" w:line="240" w:lineRule="auto"/>
        <w:jc w:val="right"/>
        <w:bidi w:val="1"/>
      </w:pPr>
      <w:r>
        <w:rPr>
          <w:rFonts w:ascii="Arial" w:hAnsi="Arial" w:eastAsia="Arial" w:cs="Arial"/>
          <w:b/>
          <w:i w:val="0"/>
          <w:color w:val="17365D"/>
          <w:sz w:val="16"/>
        </w:rPr>
        <w:t xml:space="preserve">[S18] </w:t>
      </w:r>
      <w:hyperlink r:id="rId30">
        <w:r>
          <w:rPr>
            <w:color w:val="0563C1"/>
            <w:u w:val="single"/>
            <w:rFonts w:ascii="Arial" w:hAnsi="Arial" w:cs="Arial"/>
            <w:sz w:val="15"/>
          </w:rPr>
          <w:t>Daily News Egypt — Court upheld sentence in historic case, 7 February 2012</w:t>
        </w:r>
      </w:hyperlink>
      <w:r>
        <w:rPr>
          <w:rFonts w:ascii="Arial" w:hAnsi="Arial" w:eastAsia="Arial" w:cs="Arial"/>
          <w:b w:val="0"/>
          <w:i w:val="0"/>
          <w:color w:val="5B6573"/>
          <w:sz w:val="15"/>
        </w:rPr>
        <w:t xml:space="preserve"> — تغطية تاريخية للقضية المرتبطة بالرئيس التنفيذي.</w:t>
      </w:r>
    </w:p>
    <w:p>
      <w:pPr>
        <w:spacing w:after="10" w:line="240" w:lineRule="auto"/>
        <w:jc w:val="right"/>
        <w:bidi w:val="1"/>
      </w:pPr>
      <w:r>
        <w:rPr>
          <w:rFonts w:ascii="Arial" w:hAnsi="Arial" w:eastAsia="Arial" w:cs="Arial"/>
          <w:b/>
          <w:i w:val="0"/>
          <w:color w:val="17365D"/>
          <w:sz w:val="16"/>
        </w:rPr>
        <w:t xml:space="preserve">[S19] </w:t>
      </w:r>
      <w:hyperlink r:id="rId31">
        <w:r>
          <w:rPr>
            <w:color w:val="0563C1"/>
            <w:u w:val="single"/>
            <w:rFonts w:ascii="Arial" w:hAnsi="Arial" w:cs="Arial"/>
            <w:sz w:val="15"/>
          </w:rPr>
          <w:t>Arab News / Reuters — 2017 presidential pardon report</w:t>
        </w:r>
      </w:hyperlink>
      <w:r>
        <w:rPr>
          <w:rFonts w:ascii="Arial" w:hAnsi="Arial" w:eastAsia="Arial" w:cs="Arial"/>
          <w:b w:val="0"/>
          <w:i w:val="0"/>
          <w:color w:val="5B6573"/>
          <w:sz w:val="15"/>
        </w:rPr>
        <w:t xml:space="preserve"> — تغطية تاريخية عن العفو الرئاسي؛ يونيو 2017.</w:t>
      </w:r>
    </w:p>
    <w:p>
      <w:pPr>
        <w:spacing w:after="10" w:line="240" w:lineRule="auto"/>
        <w:jc w:val="right"/>
        <w:bidi w:val="1"/>
      </w:pPr>
      <w:r>
        <w:rPr>
          <w:rFonts w:ascii="Arial" w:hAnsi="Arial" w:eastAsia="Arial" w:cs="Arial"/>
          <w:b/>
          <w:i w:val="0"/>
          <w:color w:val="17365D"/>
          <w:sz w:val="16"/>
        </w:rPr>
        <w:t xml:space="preserve">[S20] </w:t>
      </w:r>
      <w:hyperlink r:id="rId32">
        <w:r>
          <w:rPr>
            <w:color w:val="0563C1"/>
            <w:u w:val="single"/>
            <w:rFonts w:ascii="Arial" w:hAnsi="Arial" w:cs="Arial"/>
            <w:sz w:val="15"/>
          </w:rPr>
          <w:t>Indeed — Talaat Moustafa Group reviews</w:t>
        </w:r>
      </w:hyperlink>
      <w:r>
        <w:rPr>
          <w:rFonts w:ascii="Arial" w:hAnsi="Arial" w:eastAsia="Arial" w:cs="Arial"/>
          <w:b w:val="0"/>
          <w:i w:val="0"/>
          <w:color w:val="5B6573"/>
          <w:sz w:val="15"/>
        </w:rPr>
        <w:t xml:space="preserve"> — آراء موظفين بعينة صغيرة وغير عشوائية؛ تاريخ الاطلاع 11 أكتوبر 2026.</w:t>
      </w:r>
    </w:p>
    <w:p>
      <w:pPr>
        <w:spacing w:after="10" w:line="240" w:lineRule="auto"/>
        <w:jc w:val="right"/>
        <w:bidi w:val="1"/>
      </w:pPr>
      <w:r>
        <w:rPr>
          <w:rFonts w:ascii="Arial" w:hAnsi="Arial" w:eastAsia="Arial" w:cs="Arial"/>
          <w:b/>
          <w:i w:val="0"/>
          <w:color w:val="17365D"/>
          <w:sz w:val="16"/>
        </w:rPr>
        <w:t xml:space="preserve">[S21] </w:t>
      </w:r>
      <w:hyperlink r:id="rId33">
        <w:r>
          <w:rPr>
            <w:color w:val="0563C1"/>
            <w:u w:val="single"/>
            <w:rFonts w:ascii="Arial" w:hAnsi="Arial" w:cs="Arial"/>
            <w:sz w:val="15"/>
          </w:rPr>
          <w:t>Al Borsa — Sector-level customer and contract concerns, 10 June 2025</w:t>
        </w:r>
      </w:hyperlink>
      <w:r>
        <w:rPr>
          <w:rFonts w:ascii="Arial" w:hAnsi="Arial" w:eastAsia="Arial" w:cs="Arial"/>
          <w:b w:val="0"/>
          <w:i w:val="0"/>
          <w:color w:val="5B6573"/>
          <w:sz w:val="15"/>
        </w:rPr>
        <w:t xml:space="preserve"> — تغطية لمشكلات وتعاقدات على مستوى القطاع العقاري المصري، وليست حكماً على TMG.</w:t>
      </w:r>
    </w:p>
    <w:p>
      <w:pPr>
        <w:spacing w:before="140" w:after="100"/>
        <w:jc w:val="right"/>
        <w:keepNext/>
        <w:bidi w:val="1"/>
        <w:outlineLvl w:val="1"/>
      </w:pPr>
      <w:r>
        <w:rPr>
          <w:rFonts w:ascii="Arial" w:hAnsi="Arial" w:eastAsia="Arial" w:cs="Arial"/>
          <w:b/>
          <w:i w:val="0"/>
          <w:color w:val="17365D"/>
          <w:sz w:val="26"/>
        </w:rPr>
        <w:t>ملاحظات تفسيرية وحدود الاستخدام</w:t>
      </w:r>
    </w:p>
    <w:p>
      <w:pPr>
        <w:spacing w:after="60" w:line="259" w:lineRule="auto"/>
        <w:ind w:left="144" w:right="216" w:hanging="72"/>
        <w:jc w:val="right"/>
        <w:bidi w:val="1"/>
      </w:pPr>
      <w:r>
        <w:rPr>
          <w:rFonts w:ascii="Arial" w:hAnsi="Arial" w:eastAsia="Arial" w:cs="Arial"/>
          <w:b w:val="0"/>
          <w:i w:val="0"/>
          <w:sz w:val="17"/>
        </w:rPr>
        <w:t>•  تعرض الأرقام بالجنيه المصري وبالتقريب كما وردت أو كما وُصف صراحة. بعض النسب والفروق حسابات تحليلية مبنية على أرقام معلنة وقد لا تطابق المؤشرات المعرفة من الشركة.</w:t>
      </w:r>
    </w:p>
    <w:p>
      <w:pPr>
        <w:spacing w:after="60" w:line="259" w:lineRule="auto"/>
        <w:ind w:left="144" w:right="216" w:hanging="72"/>
        <w:jc w:val="right"/>
        <w:bidi w:val="1"/>
      </w:pPr>
      <w:r>
        <w:rPr>
          <w:rFonts w:ascii="Arial" w:hAnsi="Arial" w:eastAsia="Arial" w:cs="Arial"/>
          <w:b w:val="0"/>
          <w:i w:val="0"/>
          <w:sz w:val="17"/>
        </w:rPr>
        <w:t>•  أرقام يونيو 2026 هي قوائم مالية مرحلية موحدة للفترة المنتهية في 30 يونيو 2026، ولا تمثل نتائج عام 2026 بأكمله. وتظل توقعات صندوق النقد أو المحللين توقعات وقت نشرها وليست نتائج فعلية.</w:t>
      </w:r>
    </w:p>
    <w:p>
      <w:pPr>
        <w:spacing w:after="60" w:line="259" w:lineRule="auto"/>
        <w:ind w:left="144" w:right="216" w:hanging="72"/>
        <w:jc w:val="right"/>
        <w:bidi w:val="1"/>
      </w:pPr>
      <w:r>
        <w:rPr>
          <w:rFonts w:ascii="Arial" w:hAnsi="Arial" w:eastAsia="Arial" w:cs="Arial"/>
          <w:b w:val="0"/>
          <w:i w:val="0"/>
          <w:sz w:val="17"/>
        </w:rPr>
        <w:t>•  تصنيفات المخاطر أحكام نوعية للعناية الواجبة، وليست تصنيفات ائتمانية رسمية أو تقديرات احتمالية مثبتة إحصائياً.</w:t>
      </w:r>
    </w:p>
    <w:p>
      <w:pPr>
        <w:spacing w:after="60" w:line="259" w:lineRule="auto"/>
        <w:ind w:left="144" w:right="216" w:hanging="72"/>
        <w:jc w:val="right"/>
        <w:bidi w:val="1"/>
      </w:pPr>
      <w:r>
        <w:rPr>
          <w:rFonts w:ascii="Arial" w:hAnsi="Arial" w:eastAsia="Arial" w:cs="Arial"/>
          <w:b w:val="0"/>
          <w:i w:val="0"/>
          <w:sz w:val="17"/>
        </w:rPr>
        <w:t>•  يهدف التقرير إلى تنظيم الفحص اللاحق، ولا يحل محل المشورة القانونية أو الهندسية أو المحاسبية أو الاستثمارية المتخصصة في معاملة محددة.</w:t>
      </w:r>
    </w:p>
    <w:p>
      <w:pPr>
        <w:pageBreakBefore/>
        <w:jc w:val="right"/>
        <w:bidi w:val="1"/>
      </w:pPr>
    </w:p>
    <w:p>
      <w:pPr>
        <w:pStyle w:val="Heading1"/>
        <w:spacing w:before="160" w:after="40"/>
        <w:jc w:val="right"/>
        <w:keepNext/>
        <w:bidi w:val="1"/>
      </w:pPr>
      <w:r>
        <w:rPr>
          <w:rFonts w:ascii="Arial" w:hAnsi="Arial" w:eastAsia="Arial" w:cs="Arial"/>
          <w:b/>
          <w:color w:val="365F91"/>
          <w:sz w:val="30"/>
          <w:rtl w:val="1"/>
        </w:rPr>
        <w:t>ملحق خاص: شكاوى المقاولين ومقاولي الباطن والمستخلصات</w:t>
      </w:r>
    </w:p>
    <w:p>
      <w:pPr>
        <w:spacing w:before="0" w:after="60" w:line="254" w:lineRule="auto"/>
        <w:jc w:val="right"/>
        <w:bidi w:val="1"/>
      </w:pPr>
      <w:r>
        <w:rPr>
          <w:rFonts w:ascii="Arial" w:hAnsi="Arial" w:eastAsia="Arial" w:cs="Arial"/>
          <w:sz w:val="19"/>
          <w:rtl w:val="1"/>
        </w:rPr>
        <w:t>تاريخ التحقق: 11 أكتوبر 2026. الغرض من هذا الملحق هو توثيق ما أمكن العثور عليه علنًا من شكاوى أو مطالبات مرتبطة بمقاولين عملوا في «مدينتي» أو ادّعوا وجود مستحقات لهم لدى أشخاص أو شركات مرتبطة بالمجموعة. لا تُعامل الشكوى أو صحيفة الدعوى باعتبارها حكمًا نهائيًا، ولا تُنسب مسؤولية الشركة الأم تلقائيًا عن كل نزاع تعاقدي مع شركة تابعة أو مدير أو مقاول رئيسي.</w:t>
      </w:r>
    </w:p>
    <w:p>
      <w:pPr>
        <w:pStyle w:val="Heading2"/>
        <w:spacing w:before="100" w:after="40"/>
        <w:jc w:val="right"/>
        <w:keepNext/>
        <w:bidi w:val="1"/>
      </w:pPr>
      <w:r>
        <w:rPr>
          <w:rFonts w:ascii="Arial" w:hAnsi="Arial" w:eastAsia="Arial" w:cs="Arial"/>
          <w:b/>
          <w:color w:val="4F81BD"/>
          <w:sz w:val="24"/>
          <w:rtl w:val="1"/>
        </w:rPr>
        <w:t>الخلاصة التنفيذية لهذا الملحق</w:t>
      </w:r>
    </w:p>
    <w:p>
      <w:pPr>
        <w:spacing w:before="0" w:after="60" w:line="254" w:lineRule="auto"/>
        <w:jc w:val="right"/>
        <w:bidi w:val="1"/>
      </w:pPr>
      <w:r>
        <w:rPr>
          <w:rFonts w:ascii="Arial" w:hAnsi="Arial" w:eastAsia="Arial" w:cs="Arial"/>
          <w:sz w:val="19"/>
          <w:rtl w:val="1"/>
        </w:rPr>
        <w:t>نعم، توجد مصادر منشورة محددة عن نزاعات مستحقات مرتبطة بأعمال «مدينتي»، أهمها: (1) شكوى مقاول منشورة في أكتوبر 2008 تتعلق بمستحقاته ورواتب العاملين لديه، مع ردّ من مسؤول بشركة الإسكندرية للإنشاءات أقرّ بوجود تأخير في الصرف وقال إن المتأخرات يجري صرفها؛ و(2) مذكرة قانونية منشورة تتعلق بالدعوى رقم 2923 لسنة 2012 مدني شمال القاهرة بشأن أعمال سقالات ومنازعة على الأسعار والمستخلصات، إلى جانب مطالبة منشورة بمبلغ 609,625 جنيهًا. هذه مصادر ذات دلالة تستحق المتابعة، لكنها لا تكفي وحدها لإثبات حكم نهائي بأن المبالغ مستحقة أو أنها ظلت غير مدفوعة حتى تاريخ لاحق.</w:t>
      </w:r>
    </w:p>
    <w:p>
      <w:pPr>
        <w:spacing w:before="0" w:after="60" w:line="254" w:lineRule="auto"/>
        <w:jc w:val="right"/>
        <w:bidi w:val="1"/>
      </w:pPr>
      <w:r>
        <w:rPr>
          <w:rFonts w:ascii="Arial" w:hAnsi="Arial" w:eastAsia="Arial" w:cs="Arial"/>
          <w:sz w:val="19"/>
          <w:rtl w:val="1"/>
        </w:rPr>
        <w:t>كما ظهر تقرير عن مقاول قال إن له مستحقات لدى هشام طلعت مصطفى في نزاع انتهى — وفق التغطية الصحفية — بحكم جنائي متعلق بالتهديد. هذا الحكم، كما تصفه المصادر، ليس حكمًا في أصل المديونية؛ ولا يحدد التقرير المشروع أو المبلغ أو الكيان القانوني الذي كان يفترض أن يسدد.</w:t>
      </w:r>
    </w:p>
    <w:p>
      <w:pPr>
        <w:pStyle w:val="Heading2"/>
        <w:spacing w:before="100" w:after="40"/>
        <w:jc w:val="right"/>
        <w:keepNext/>
        <w:bidi w:val="1"/>
      </w:pPr>
      <w:r>
        <w:rPr>
          <w:rFonts w:ascii="Arial" w:hAnsi="Arial" w:eastAsia="Arial" w:cs="Arial"/>
          <w:b/>
          <w:color w:val="4F81BD"/>
          <w:sz w:val="24"/>
          <w:rtl w:val="1"/>
        </w:rPr>
        <w:t>الحالة 1 — شكوى مقاول في «مدينتي» بشأن المستحقات ورواتب العمال (أكتوبر 2008)</w:t>
      </w:r>
    </w:p>
    <w:tbl>
      <w:tblPr>
        <w:tblStyle w:val="TableGrid"/>
        <w:tblW w:type="auto" w:w="0"/>
        <w:jc w:val="center"/>
        <w:tblLayout w:type="fixed"/>
        <w:tblLook w:firstColumn="1" w:firstRow="1" w:lastColumn="0" w:lastRow="0" w:noHBand="0" w:noVBand="1" w:val="04A0"/>
        <w:bidiVisual w:val="1"/>
      </w:tblPr>
      <w:tblGrid>
        <w:gridCol w:w="2088"/>
        <w:gridCol w:w="7704"/>
      </w:tblGrid>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التاريخ والمصدر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المصري اليوم، 13 أكتوبر 2008، ثم متابعة في 15 أكتوبر 2008. [م-1] [م-2]</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الأطراف والعلاقة</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نقل التقرير أن المقاول شحاتة محمد حسن تقدم ببلاغ إلى النائب العام ضد هشام طلعت مصطفى ومدير موقع «مدينتي»، وقال إن شركة الإسكندرية للإنشاءات امتنعت عن صرف مستحقاته. وصف التقرير الشركة باعتبارها مرتبطة بمجموعة طلعت مصطفى في ذلك الوقت؛ ومع ذلك، ينبغي الرجوع إلى السجل التجاري والعقود لتحديد الشخص الاعتباري المتعاقد بدقة.</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موضوع الشكوى</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قال المقاول إن عدم صرف مستحقاته أدى إلى عدم قدرته على دفع رواتب العاملين لديه. وذكر تقرير المتابعة أن المقاول تحدث عن مبالغ متبقية لدى الشركة تقدر بمئات الآلاف من الجنيهات، من دون أن يحدد التقرير كشف حساب مصدقًا أو يفصل على نحو قاطع هل الرقم يخص مستحقاته وحده أم مجموع المبالغ المتعلقة برواتب العمال.</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رد الشركة كما نشرته الصحيفة</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نقلت متابعة 15 أكتوبر عن إبراهيم حسبو، مدير شركة الإسكندرية للإنشاءات، قوله إن صرف جميع المتأخرات من الرواتب جارٍ، وإن تأخير الصرف كان مقصودًا حتى لا يترك العمال موقع العمل بعد القبض على هشام طلعت مصطفى. هذا رد منسوب لمسؤول بالشركة، ويشير إلى إقرار بوجود تأخير وادعاء بأن التأخير كان مقصودًا؛ لكنه لا يثبت وحده مقدار الدين النهائي أو أن كل المستحقات صُرفت بالفعل لاحقًا.</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ما ثبت وما لم يثبت</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المثبت هو نشر شكوى محددة ونقل رد مسؤول بالشركة. لم أعثر في المصادر المفتوحة التي راجعتها على حكم نهائي منشور، أو محضر تسوية نهائي، أو دليل مستقل يؤكد المبلغ الذي سُدد فعليًا بعد المتابعة. لذلك تصنف الواقعة: دليل صحفي منسوب ذو أهمية (المستوى B)، وليس حكمًا قضائيًا نهائيًا.</w:t>
            </w:r>
          </w:p>
        </w:tc>
      </w:tr>
    </w:tbl>
    <w:p>
      <w:pPr>
        <w:spacing w:after="40"/>
      </w:pPr>
    </w:p>
    <w:p>
      <w:pPr>
        <w:pStyle w:val="Heading2"/>
        <w:spacing w:before="100" w:after="40"/>
        <w:jc w:val="right"/>
        <w:keepNext/>
        <w:pageBreakBefore/>
        <w:bidi w:val="1"/>
      </w:pPr>
      <w:r>
        <w:rPr>
          <w:rFonts w:ascii="Arial" w:hAnsi="Arial" w:eastAsia="Arial" w:cs="Arial"/>
          <w:b/>
          <w:color w:val="4F81BD"/>
          <w:sz w:val="24"/>
          <w:rtl w:val="1"/>
        </w:rPr>
        <w:t>الحالة 2 — نزاع على أعمال السقالات والأسعار والمستخلصات في «مدينتي»</w:t>
      </w:r>
    </w:p>
    <w:tbl>
      <w:tblPr>
        <w:tblStyle w:val="TableGrid"/>
        <w:tblW w:type="auto" w:w="0"/>
        <w:jc w:val="center"/>
        <w:tblLayout w:type="fixed"/>
        <w:tblLook w:firstColumn="1" w:firstRow="1" w:lastColumn="0" w:lastRow="0" w:noHBand="0" w:noVBand="1" w:val="04A0"/>
        <w:bidiVisual w:val="1"/>
      </w:tblPr>
      <w:tblGrid>
        <w:gridCol w:w="2088"/>
        <w:gridCol w:w="7704"/>
      </w:tblGrid>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المصدر القانوني المنشور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مذكرة دفاع منشورة على مدونة مكتب محاماة بتاريخ 10 سبتمبر 2013، تشير إلى الدعوى رقم 2923 لسنة 2012 مدني شمال القاهرة، وتذكر جلسة 5 نوفمبر 2012. [م-3]</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الأطراف ونطاق العمل</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تذكر المذكرة شركة خالد هنداوي محمد عبد الرحيم كمقاول، وشركة الإسكندرية للإنشاءات — مجموعة طلعت مصطفى — كطرف مقابل. نطاق العمل المذكور هو أعمال السقالات في ثلاثة مواقع: القطاع الشمالي والمدرسة البريطانية، وبوابة مدينتي 2011، والسوق التجاري والمسجد.</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طبيعة النزاع</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تقول المذكرة إن خلافًا وقع حول مطابقة الأسعار الواردة في المستخلصات للأسعار المتفق عليها في عقود المقاولة من الباطن. كما تطلب إلزام الطرف المقابل بتقديم أصول عقود المقاولة من الباطن والمستخلصات. وتتضمن المذكرة ادعاءات بشأن عدم توقيع بعض صفحات العقود والاختلاف بين الأسعار الواردة في العقود والمستخلصات؛ وهذه ادعاءات مقدمة من جانب أحد الخصوم وليست نتائج قضائية مثبتة في المصدر.</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المبلغ المنشور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تتضمن مطالبة أخرى منشورة على مدونة المحامي ذاتها بتاريخ 3 مارس 2012 مبلغًا قدره 609,625 جنيهًا باعتباره فروق أسعار لأعمال في المواقع الثلاثة نفسها، موزعًا إلى 55,845 جنيهًا و529,230 جنيهًا و24,550 جنيهًا. [م-4] تتطابق مواقع العمل ووصفها بدرجة تجعل الارتباط محتملًا، لكن النسخة المنشورة للمطالبة لا تعرض جميع أسماء الأطراف بوضوح؛ لذلك لا أجزم أن المبلغ يخص الدعوى المحددة بالاسم إلا بعد مطابقة ملف المحكمة الأصلي.</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الحالة ودرجة الإثبات</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المصدران وثيقتان/مذكرات منشورة من جهة تمثل طرفًا في النزاع، وليستا حكمًا نهائيًا أو ملفًا رسميًا مصدقًا من المحكمة. لم أعثر على منطوق حكم أو استئناف أو تسوية منشورة تحسم المطالبة. التصنيف: مطالبة قانونية محددة ذات تفاصيل قابلة للتحقق (المستوى C بالنسبة لصحة الادعاءات؛ والمصدر يثبت أن هذه المزاعم نُشرت، لا أنها ثبتت قضائيًا).</w:t>
            </w:r>
          </w:p>
        </w:tc>
      </w:tr>
    </w:tbl>
    <w:p>
      <w:pPr>
        <w:spacing w:after="40"/>
      </w:pPr>
    </w:p>
    <w:p>
      <w:pPr>
        <w:pStyle w:val="Heading2"/>
        <w:spacing w:before="100" w:after="40"/>
        <w:jc w:val="right"/>
        <w:keepNext/>
        <w:bidi w:val="1"/>
      </w:pPr>
      <w:r>
        <w:rPr>
          <w:rFonts w:ascii="Arial" w:hAnsi="Arial" w:eastAsia="Arial" w:cs="Arial"/>
          <w:b/>
          <w:color w:val="4F81BD"/>
          <w:sz w:val="24"/>
          <w:rtl w:val="1"/>
        </w:rPr>
        <w:t>الحالة 3 — ادعاء مستحقات في قضية تهديد</w:t>
      </w:r>
    </w:p>
    <w:tbl>
      <w:tblPr>
        <w:tblStyle w:val="TableGrid"/>
        <w:tblW w:type="auto" w:w="0"/>
        <w:jc w:val="center"/>
        <w:tblLayout w:type="fixed"/>
        <w:tblLook w:firstColumn="1" w:firstRow="1" w:lastColumn="0" w:lastRow="0" w:noHBand="0" w:noVBand="1" w:val="04A0"/>
        <w:bidiVisual w:val="1"/>
      </w:tblPr>
      <w:tblGrid>
        <w:gridCol w:w="2088"/>
        <w:gridCol w:w="7704"/>
      </w:tblGrid>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المصدر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موقع الحادثة، 26 ديسمبر 2023. [م-5]</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ما تقوله التغطية</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ذكرت التغطية أن مقاولًا اتُّهم بتهديد هشام طلعت مصطفى، وأن المتهم قال في التحقيقات إن بينهما علاقة عمل تقارب 20 عامًا وإن خلافًا نشأ بشأن مستحقات مالية، وإنه تقدم ببلاغات سابقة. لم تسمِّ التغطية المشروع الذي تعلقت به المستحقات، ولم تحدد قيمة المطالبة أو اسم الشركة التي كانت طرفًا في العقد.</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ما حسمه الحكم بحسب المصدر</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التغطية تتحدث عن حكم بالحبس سنة في القضية الجنائية المتعلقة بالتهديد. ولا تفيد بأن المحكمة حكمت للمقاول بمستحقات أو ضدّه في أصل المديونية. ومن ثم فإن الحكم الجنائي لا يُستخدم لإثبات أن TMG Holding أو أي شركة تابعة كانت مدينة له.</w:t>
            </w:r>
          </w:p>
        </w:tc>
      </w:tr>
      <w:tr>
        <w:trPr>
          <w:cantSplit/>
        </w:trPr>
        <w:tc>
          <w:tcPr>
            <w:tcW w:type="dxa" w:w="2088"/>
            <w:shd w:fill="D9EAF7"/>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sz w:val="17"/>
                <w:rtl w:val="1"/>
              </w:rPr>
              <w:t>درجة الإثبات</w:t>
            </w:r>
          </w:p>
        </w:tc>
        <w:tc>
          <w:tcPr>
            <w:tcW w:type="dxa" w:w="7704"/>
            <w:vAlign w:val="center"/>
            <w:tcBorders>
              <w:top w:val="single" w:sz="4" w:color="C4D2E0"/>
              <w:left w:val="single" w:sz="4" w:color="C4D2E0"/>
              <w:bottom w:val="single" w:sz="4" w:color="C4D2E0"/>
              <w:right w:val="single" w:sz="4" w:color="C4D2E0"/>
              <w:insideH w:val="single" w:sz="4" w:color="C4D2E0"/>
              <w:insideV w:val="single" w:sz="4" w:color="C4D2E0"/>
            </w:tcBorders>
          </w:tcPr>
          <w:p>
            <w:pPr>
              <w:spacing w:after="40" w:before="40" w:line="240" w:lineRule="auto"/>
              <w:jc w:val="right"/>
              <w:bidi w:val="1"/>
            </w:pPr>
            <w:r>
              <w:rPr>
                <w:rFonts w:ascii="Arial" w:hAnsi="Arial" w:eastAsia="Arial" w:cs="Arial"/>
                <w:b w:val="0"/>
                <w:sz w:val="17"/>
                <w:rtl w:val="1"/>
              </w:rPr>
              <w:t>الحكم الجنائي مذكور في تغطية صحفية؛ أما المديونية فهي قول منسوب للمتهم ولم تُثبت في المصدر. لا توجد معلومات كافية لربطها بمشروع بعينه أو تحديد طرف تعاقدي مسؤول. يصنف ادعاء المستحقات بالمستوى C، ولا يثبت ظلم الشركة للمقاول.</w:t>
            </w:r>
          </w:p>
        </w:tc>
      </w:tr>
    </w:tbl>
    <w:p>
      <w:pPr>
        <w:spacing w:after="40"/>
      </w:pPr>
    </w:p>
    <w:p>
      <w:pPr>
        <w:pStyle w:val="Heading2"/>
        <w:spacing w:before="100" w:after="40"/>
        <w:jc w:val="right"/>
        <w:keepNext/>
        <w:bidi w:val="1"/>
      </w:pPr>
      <w:r>
        <w:rPr>
          <w:rFonts w:ascii="Arial" w:hAnsi="Arial" w:eastAsia="Arial" w:cs="Arial"/>
          <w:b/>
          <w:color w:val="4F81BD"/>
          <w:sz w:val="24"/>
          <w:rtl w:val="1"/>
        </w:rPr>
        <w:t>الحالة 4 — مزاعم إضافية عن المستخلصات وعقود الباطن من مصدر منخفض الثقة</w:t>
      </w:r>
    </w:p>
    <w:p>
      <w:pPr>
        <w:spacing w:before="0" w:after="60" w:line="254" w:lineRule="auto"/>
        <w:jc w:val="right"/>
        <w:bidi w:val="1"/>
      </w:pPr>
      <w:r>
        <w:rPr>
          <w:rFonts w:ascii="Arial" w:hAnsi="Arial" w:eastAsia="Arial" w:cs="Arial"/>
          <w:sz w:val="19"/>
          <w:rtl w:val="1"/>
        </w:rPr>
        <w:t>نشرت مدونة مؤرشفة باسم «جريدة الوطن العربي» في 26 مارس 2009 مزاعم عن رفض تسليم بعض مقاولي الباطن نسخًا من العقود، وتغييرات متكررة في المستخلصات، وتأخير صرف مستحقات، مع الإشارة إلى مقاول آخر قال إنه تقدم ببلاغ. [م-6] المصدر لا يوفر ضمن المادة التي أمكن التحقق منها حكمًا نهائيًا أو تأكيدًا مستقلاً كافيًا للادعاءات، كما أن بعض الاتهامات الأخرى فيه خطيرة وغير مثبتة. لذلك يُدرج هذا المصدر كـ«خيط بحث منخفض الثقة» فقط، ولا يُستخدم للاستنتاج بأن الوقائع المدعاة حدثت بالفعل أو أنها تمثل سياسة عامة للمجموعة.</w:t>
      </w:r>
    </w:p>
    <w:p>
      <w:pPr>
        <w:pStyle w:val="Heading2"/>
        <w:spacing w:before="100" w:after="40"/>
        <w:jc w:val="right"/>
        <w:keepNext/>
        <w:bidi w:val="1"/>
      </w:pPr>
      <w:r>
        <w:rPr>
          <w:rFonts w:ascii="Arial" w:hAnsi="Arial" w:eastAsia="Arial" w:cs="Arial"/>
          <w:b/>
          <w:color w:val="4F81BD"/>
          <w:sz w:val="24"/>
          <w:rtl w:val="1"/>
        </w:rPr>
        <w:t>التمييز الضروري بين الشركة الأم والشركات التابعة والأفراد</w:t>
      </w:r>
    </w:p>
    <w:p>
      <w:pPr>
        <w:spacing w:before="0" w:after="60" w:line="254" w:lineRule="auto"/>
        <w:jc w:val="right"/>
        <w:bidi w:val="1"/>
      </w:pPr>
      <w:r>
        <w:rPr>
          <w:rFonts w:ascii="Arial" w:hAnsi="Arial" w:eastAsia="Arial" w:cs="Arial"/>
          <w:sz w:val="19"/>
          <w:rtl w:val="1"/>
        </w:rPr>
        <w:t>المصادر التاريخية تستخدم اسم «شركة الإسكندرية للإنشاءات» وتصفها بأنها ضمن مجموعة طلعت مصطفى. لا ينبغي افتراض تطابقها تلقائيًا مع أي شركة أخرى تحمل اسمًا قريبًا في القوائم الحديثة، ولا اعتبار كل مطالبة ضد هشام طلعت مصطفى شخصيًا مطالبة ضد TMG Holding. لتحديد المسؤولية القانونية، يلزم الاطلاع على الاسم القانوني ورقم التسجيل في العقد، وأوامر الإسناد، وفواتير ومستخلصات الأعمال، والمراسلات، وأي تنازلات أو حوالات للحقوق، ثم مطابقة ذلك مع صحيفة الدعوى والحكم النهائي إن وُجد.</w:t>
      </w:r>
    </w:p>
    <w:p>
      <w:pPr>
        <w:pStyle w:val="Heading2"/>
        <w:spacing w:before="100" w:after="40"/>
        <w:jc w:val="right"/>
        <w:keepNext/>
        <w:bidi w:val="1"/>
      </w:pPr>
      <w:r>
        <w:rPr>
          <w:rFonts w:ascii="Arial" w:hAnsi="Arial" w:eastAsia="Arial" w:cs="Arial"/>
          <w:b/>
          <w:color w:val="4F81BD"/>
          <w:sz w:val="24"/>
          <w:rtl w:val="1"/>
        </w:rPr>
        <w:t>النتيجة: هل تثبت المصادر أن طلعت مصطفى «ظلمت المقاولين»؟</w:t>
      </w:r>
    </w:p>
    <w:p>
      <w:pPr>
        <w:spacing w:before="0" w:after="60" w:line="254" w:lineRule="auto"/>
        <w:jc w:val="right"/>
        <w:bidi w:val="1"/>
      </w:pPr>
      <w:r>
        <w:rPr>
          <w:rFonts w:ascii="Arial" w:hAnsi="Arial" w:eastAsia="Arial" w:cs="Arial"/>
          <w:sz w:val="19"/>
          <w:rtl w:val="1"/>
        </w:rPr>
        <w:t>النتيجة الدقيقة هي أن المصادر المفتوحة تدعم وجود شكاوى تاريخية ومنازعات محددة على مستحقات/مستخلصات مرتبطة بأعمال في «مدينتي»، ولا سيما واقعة 2008 ومطالبة فروق الأسعار التي نُشرت وثائق قانونية بشأنها في 2012–2013. وفي تقرير 2008 نقلت الصحيفة عن مسؤول بالشركة أن التأخير كان مقصودًا في ذلك السياق وأن صرف المتأخرات جارٍ؛ وهذه معلومة جوهرية ينبغي عدم حذفها من التقييم.</w:t>
      </w:r>
    </w:p>
    <w:p>
      <w:pPr>
        <w:spacing w:before="0" w:after="60" w:line="254" w:lineRule="auto"/>
        <w:jc w:val="right"/>
        <w:bidi w:val="1"/>
      </w:pPr>
      <w:r>
        <w:rPr>
          <w:rFonts w:ascii="Arial" w:hAnsi="Arial" w:eastAsia="Arial" w:cs="Arial"/>
          <w:sz w:val="19"/>
          <w:rtl w:val="1"/>
        </w:rPr>
        <w:t>لكن حتى تاريخ 11 أكتوبر 2026، لم أعثر ضمن البحث المفتوح الذي أجريته على حكم نهائي منشور يثبت المبالغ المطالب بها في هذه الحالات، أو سجلًا مستقلاً يؤكد حالة السداد النهائية، أو أدلة متعددة وحديثة تكفي لإثبات نمط عام مستمر من عدم سداد مستحقات المقاولين على مستوى المجموعة بأكملها. لذلك لا يصح تحويل هذه الوقائع إلى حكم قطعي بأن الشركة «ظلمت المقاولين» عمومًا؛ والصياغة المهنية الأدق: «هناك شكاوى ومطالبات تاريخية محددة تستوجب فحص ملفاتها الأصلية، ولم تُحسم نتائجها النهائية من المصادر المفتوحة التي أمكن مراجعتها».</w:t>
      </w:r>
    </w:p>
    <w:p>
      <w:pPr>
        <w:pStyle w:val="Heading2"/>
        <w:spacing w:before="100" w:after="40"/>
        <w:jc w:val="right"/>
        <w:keepNext/>
        <w:bidi w:val="1"/>
      </w:pPr>
      <w:r>
        <w:rPr>
          <w:rFonts w:ascii="Arial" w:hAnsi="Arial" w:eastAsia="Arial" w:cs="Arial"/>
          <w:b/>
          <w:color w:val="4F81BD"/>
          <w:sz w:val="24"/>
          <w:rtl w:val="1"/>
        </w:rPr>
        <w:t>ما المستندات المطلوبة لإغلاق فجوة التحقق؟</w:t>
      </w:r>
    </w:p>
    <w:p>
      <w:pPr>
        <w:pStyle w:val="ListBullet"/>
        <w:spacing w:after="20" w:line="240" w:lineRule="auto"/>
        <w:jc w:val="right"/>
        <w:bidi w:val="1"/>
      </w:pPr>
      <w:r>
        <w:rPr>
          <w:rFonts w:ascii="Arial" w:hAnsi="Arial" w:eastAsia="Arial" w:cs="Arial"/>
          <w:sz w:val="18"/>
          <w:rtl w:val="1"/>
        </w:rPr>
        <w:t>صورة رسمية من ملف الدعوى رقم 2923 لسنة 2012 مدني شمال القاهرة، تشمل صحيفة الدعوى، محاضر الجلسات، تقرير الخبرة إن وجد، الحكم الابتدائي والاستئناف، وشهادة بما انتهت إليه الدعوى.</w:t>
      </w:r>
    </w:p>
    <w:p>
      <w:pPr>
        <w:pStyle w:val="ListBullet"/>
        <w:spacing w:after="20" w:line="240" w:lineRule="auto"/>
        <w:jc w:val="right"/>
        <w:bidi w:val="1"/>
      </w:pPr>
      <w:r>
        <w:rPr>
          <w:rFonts w:ascii="Arial" w:hAnsi="Arial" w:eastAsia="Arial" w:cs="Arial"/>
          <w:sz w:val="18"/>
          <w:rtl w:val="1"/>
        </w:rPr>
        <w:t>العقود الأصلية أو الصور المعتمدة لعقود الباطن، وجداول الأسعار والكميات، وأوامر التغيير، والمستخلصات المعتمدة، وإشعارات الخصم، ومحاضر الاستلام والقياس لكل موقع.</w:t>
      </w:r>
    </w:p>
    <w:p>
      <w:pPr>
        <w:pStyle w:val="ListBullet"/>
        <w:spacing w:after="20" w:line="240" w:lineRule="auto"/>
        <w:jc w:val="right"/>
        <w:bidi w:val="1"/>
      </w:pPr>
      <w:r>
        <w:rPr>
          <w:rFonts w:ascii="Arial" w:hAnsi="Arial" w:eastAsia="Arial" w:cs="Arial"/>
          <w:sz w:val="18"/>
          <w:rtl w:val="1"/>
        </w:rPr>
        <w:t>كشف حساب متبادل يوضح قيمة الأعمال المنفذة والمعتمدة والمبالغ المصروفة والمحتجزة وتواريخ الاستحقاق، مع إثباتات التحويلات والتسويات أو المخالصات النهائية.</w:t>
      </w:r>
    </w:p>
    <w:p>
      <w:pPr>
        <w:pStyle w:val="ListBullet"/>
        <w:spacing w:after="20" w:line="240" w:lineRule="auto"/>
        <w:jc w:val="right"/>
        <w:bidi w:val="1"/>
      </w:pPr>
      <w:r>
        <w:rPr>
          <w:rFonts w:ascii="Arial" w:hAnsi="Arial" w:eastAsia="Arial" w:cs="Arial"/>
          <w:sz w:val="18"/>
          <w:rtl w:val="1"/>
        </w:rPr>
        <w:t>تحديد الاسم القانوني ورقم السجل التجاري للطرف الذي أصدر العقد أو المستخلص، والتحقق من العلاقة القانونية بينه وبين TMG Holding في الفترة ذات الصلة.</w:t>
      </w:r>
    </w:p>
    <w:p>
      <w:pPr>
        <w:pStyle w:val="ListBullet"/>
        <w:spacing w:after="20" w:line="240" w:lineRule="auto"/>
        <w:jc w:val="right"/>
        <w:bidi w:val="1"/>
      </w:pPr>
      <w:r>
        <w:rPr>
          <w:rFonts w:ascii="Arial" w:hAnsi="Arial" w:eastAsia="Arial" w:cs="Arial"/>
          <w:sz w:val="18"/>
          <w:rtl w:val="1"/>
        </w:rPr>
        <w:t>الحصول على رد موثق من الشركة أو الجهة المعنية بشأن الوقائع التاريخية، مع عدم اعتبار عدم الرد دليلًا على صحة الادعاء.</w:t>
      </w:r>
    </w:p>
    <w:p>
      <w:pPr>
        <w:pStyle w:val="Heading2"/>
        <w:spacing w:before="100" w:after="40"/>
        <w:jc w:val="right"/>
        <w:keepNext/>
        <w:bidi w:val="1"/>
      </w:pPr>
      <w:r>
        <w:rPr>
          <w:rFonts w:ascii="Arial" w:hAnsi="Arial" w:eastAsia="Arial" w:cs="Arial"/>
          <w:b/>
          <w:color w:val="4F81BD"/>
          <w:sz w:val="24"/>
          <w:rtl w:val="1"/>
        </w:rPr>
        <w:t>المصادر الإضافية الخاصة بالمقاولين (روابط مباشرة)</w:t>
      </w:r>
    </w:p>
    <w:p>
      <w:pPr>
        <w:pStyle w:val="ListBullet"/>
        <w:spacing w:after="20" w:line="228" w:lineRule="auto"/>
        <w:jc w:val="right"/>
        <w:bidi w:val="1"/>
      </w:pPr>
      <w:hyperlink r:id="rId34">
        <w:r>
          <w:rPr>
            <w:rFonts w:ascii="Arial" w:hAnsi="Arial" w:eastAsia="Arial" w:cs="Arial"/>
            <w:sz w:val="16"/>
            <w:color w:val="0563C1"/>
            <w:u w:val="single"/>
            <w:rtl w:val="1"/>
          </w:rPr>
          <w:t>[م-1] المصري اليوم — بلاغ مقاول بـ«مدينتي» بشأن مستحقاته، 13 أكتوبر 2008</w:t>
        </w:r>
      </w:hyperlink>
    </w:p>
    <w:p>
      <w:pPr>
        <w:pStyle w:val="ListBullet"/>
        <w:spacing w:after="20" w:line="228" w:lineRule="auto"/>
        <w:jc w:val="right"/>
        <w:bidi w:val="1"/>
      </w:pPr>
      <w:hyperlink r:id="rId35">
        <w:r>
          <w:rPr>
            <w:rFonts w:ascii="Arial" w:hAnsi="Arial" w:eastAsia="Arial" w:cs="Arial"/>
            <w:sz w:val="16"/>
            <w:color w:val="0563C1"/>
            <w:u w:val="single"/>
            <w:rtl w:val="1"/>
          </w:rPr>
          <w:t>[م-2] المصري اليوم — متابعة شكوى الرواتب ورد مسؤول شركة الإسكندرية للإنشاءات، 15 أكتوبر 2008</w:t>
        </w:r>
      </w:hyperlink>
    </w:p>
    <w:p>
      <w:pPr>
        <w:pStyle w:val="ListBullet"/>
        <w:spacing w:after="20" w:line="228" w:lineRule="auto"/>
        <w:jc w:val="right"/>
        <w:bidi w:val="1"/>
      </w:pPr>
      <w:hyperlink r:id="rId36">
        <w:r>
          <w:rPr>
            <w:rFonts w:ascii="Arial" w:hAnsi="Arial" w:eastAsia="Arial" w:cs="Arial"/>
            <w:sz w:val="16"/>
            <w:color w:val="0563C1"/>
            <w:u w:val="single"/>
            <w:rtl w:val="1"/>
          </w:rPr>
          <w:t>[م-3] مكتب المحامي هاني عبدالرحمن الخطيب — مذكرة في الدعوى رقم 2923 لسنة 2012 مدني شمال القاهرة، منشورة 10 سبتمبر 2013</w:t>
        </w:r>
      </w:hyperlink>
    </w:p>
    <w:p>
      <w:pPr>
        <w:pStyle w:val="ListBullet"/>
        <w:spacing w:after="20" w:line="228" w:lineRule="auto"/>
        <w:jc w:val="right"/>
        <w:bidi w:val="1"/>
      </w:pPr>
      <w:hyperlink r:id="rId37">
        <w:r>
          <w:rPr>
            <w:rFonts w:ascii="Arial" w:hAnsi="Arial" w:eastAsia="Arial" w:cs="Arial"/>
            <w:sz w:val="16"/>
            <w:color w:val="0563C1"/>
            <w:u w:val="single"/>
            <w:rtl w:val="1"/>
          </w:rPr>
          <w:t>[م-4] مكتب المحامي هاني عبدالرحمن الخطيب — مطالبة بفروق أسعار لأعمال سقالات في مواقع مدينتي، منشورة 3 مارس 2012؛ مبلغ المطالبة المنشور 609,625 جنيهًا</w:t>
        </w:r>
      </w:hyperlink>
    </w:p>
    <w:p>
      <w:pPr>
        <w:pStyle w:val="ListBullet"/>
        <w:spacing w:after="20" w:line="228" w:lineRule="auto"/>
        <w:jc w:val="right"/>
        <w:bidi w:val="1"/>
      </w:pPr>
      <w:hyperlink r:id="rId38">
        <w:r>
          <w:rPr>
            <w:rFonts w:ascii="Arial" w:hAnsi="Arial" w:eastAsia="Arial" w:cs="Arial"/>
            <w:sz w:val="16"/>
            <w:color w:val="0563C1"/>
            <w:u w:val="single"/>
            <w:rtl w:val="1"/>
          </w:rPr>
          <w:t>[م-5] موقع الحادثة — تقرير عن مقاول قال إن له مستحقات لدى هشام طلعت مصطفى في قضية تهديد، 26 ديسمبر 2023</w:t>
        </w:r>
      </w:hyperlink>
    </w:p>
    <w:p>
      <w:pPr>
        <w:pStyle w:val="ListBullet"/>
        <w:spacing w:after="20" w:line="228" w:lineRule="auto"/>
        <w:jc w:val="right"/>
        <w:bidi w:val="1"/>
      </w:pPr>
      <w:hyperlink r:id="rId39">
        <w:r>
          <w:rPr>
            <w:rFonts w:ascii="Arial" w:hAnsi="Arial" w:eastAsia="Arial" w:cs="Arial"/>
            <w:sz w:val="16"/>
            <w:color w:val="0563C1"/>
            <w:u w:val="single"/>
            <w:rtl w:val="1"/>
          </w:rPr>
          <w:t>[م-6] جريدة الوطن العربي (نسخة مؤرشفة على Blogger) — مزاعم عن مستخلصات ومقاولي باطن في مدينتي، 26 مارس 2009؛ مصدر منخفض الثقة</w:t>
        </w:r>
      </w:hyperlink>
    </w:p>
    <w:p>
      <w:pPr>
        <w:pStyle w:val="ListBullet"/>
        <w:spacing w:after="20" w:line="228" w:lineRule="auto"/>
        <w:jc w:val="right"/>
        <w:bidi w:val="1"/>
      </w:pPr>
      <w:hyperlink r:id="rId40">
        <w:r>
          <w:rPr>
            <w:rFonts w:ascii="Arial" w:hAnsi="Arial" w:eastAsia="Arial" w:cs="Arial"/>
            <w:sz w:val="16"/>
            <w:color w:val="0563C1"/>
            <w:u w:val="single"/>
            <w:rtl w:val="1"/>
          </w:rPr>
          <w:t>[م-7] تليجراف مصر — تغطية أخرى لقضية المقاول والتهديد، 19 أغسطس 2026؛ تعاملت معها كإعادة تغطية محتملة وليست نزاع مستحقات مستقلاً</w:t>
        </w:r>
      </w:hyperlink>
    </w:p>
    <w:p>
      <w:pPr>
        <w:pStyle w:val="Heading2"/>
        <w:spacing w:before="100" w:after="40"/>
        <w:jc w:val="right"/>
        <w:keepNext/>
        <w:bidi w:val="1"/>
      </w:pPr>
      <w:r>
        <w:rPr>
          <w:rFonts w:ascii="Arial" w:hAnsi="Arial" w:eastAsia="Arial" w:cs="Arial"/>
          <w:b/>
          <w:color w:val="4F81BD"/>
          <w:sz w:val="24"/>
          <w:rtl w:val="1"/>
        </w:rPr>
        <w:t>حدود البحث في هذا الملحق</w:t>
      </w:r>
    </w:p>
    <w:p>
      <w:pPr>
        <w:spacing w:before="0" w:after="60" w:line="254" w:lineRule="auto"/>
        <w:jc w:val="right"/>
        <w:bidi w:val="1"/>
      </w:pPr>
      <w:r>
        <w:rPr>
          <w:rFonts w:ascii="Arial" w:hAnsi="Arial" w:eastAsia="Arial" w:cs="Arial"/>
          <w:sz w:val="18"/>
          <w:rtl w:val="1"/>
        </w:rPr>
        <w:t>شمل البحث المفتوح صيغًا عربية تجمع أسماء TMG و«مدينتي» و«شركة الإسكندرية للإنشاءات» مع «مستحقات المقاولين»، و«مقاولي الباطن»، و«المستخلصات»، و«دعوى»، و«تأخر الصرف»، إضافة إلى البحث عن أرقام الدعوى والمبالغ التي وردت في الوثائق المنشورة. لم يتوفر ضمن المصادر المفتوحة التي تمت مراجعتها حكم رسمي نهائي أو سجل قضائي كامل يحدد مصير كل مطالبة. لذلك لا تعني عبارة «لم أعثر على حكم منشور» أن الدعوى غير موجودة أو أن المبلغ سُدد أو لم يُسدد؛ يلزم الاستعلام المباشر من المحكمة أو مراجعة ملف القضية.</w:t>
      </w:r>
    </w:p>
    <w:sectPr w:rsidR="00FC693F" w:rsidRPr="0006063C" w:rsidSect="00034616">
      <w:pgSz w:w="11909" w:h="16834"/>
      <w:pgMar w:top="1037"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eastAsia="Arial" w:cs="Arial"/>
        <w:b w:val="0"/>
        <w:i w:val="0"/>
        <w:color w:val="5B6573"/>
        <w:sz w:val="16"/>
      </w:rPr>
      <w:t xml:space="preserve">تحليل قائم على المصادر العامة — صفحة </w:t>
    </w:r>
    <w:r>
      <w:rPr>
        <w:rFonts w:ascii="Arial" w:hAnsi="Arial" w:eastAsia="Arial" w:cs="Arial"/>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eastAsia="Arial" w:cs="Arial"/>
        <w:b/>
        <w:i w:val="0"/>
        <w:color w:val="0F6B78"/>
        <w:sz w:val="16"/>
      </w:rPr>
      <w:t>تقرير مخاطر الشركات والعناية الواجبة | TMG Holding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s="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talaatmoustafa.com/investor-relations/" TargetMode="External"/><Relationship Id="rId14" Type="http://schemas.openxmlformats.org/officeDocument/2006/relationships/hyperlink" Target="https://talaatmoustafa.com/Upload/TMG%20Holding%20FY25%20ER%20-%20EN.pdf" TargetMode="External"/><Relationship Id="rId15" Type="http://schemas.openxmlformats.org/officeDocument/2006/relationships/hyperlink" Target="https://talaatmoustafa.com/upload/TMG%20Cons.%20FS%2030%20June%202026%20-%20English.pdf" TargetMode="External"/><Relationship Id="rId16" Type="http://schemas.openxmlformats.org/officeDocument/2006/relationships/hyperlink" Target="https://talaatmoustafa.com/upload/Annual%20Corporate%20Governance%20Report%20FY2025.pdf" TargetMode="External"/><Relationship Id="rId17" Type="http://schemas.openxmlformats.org/officeDocument/2006/relationships/hyperlink" Target="https://talaatmoustafa.com/about-us/" TargetMode="External"/><Relationship Id="rId18" Type="http://schemas.openxmlformats.org/officeDocument/2006/relationships/hyperlink" Target="https://www.cbe.org.eg/en/news-publications/news/2026/05/21/17/38/mpc-press-release-21-may-2026" TargetMode="External"/><Relationship Id="rId19" Type="http://schemas.openxmlformats.org/officeDocument/2006/relationships/hyperlink" Target="https://www.imf.org/en/news/articles/2026/07/30/pr26271-egypt-imf-completes-the-7th-review-under-eff-and-2nd-review-under-the-rsf" TargetMode="External"/><Relationship Id="rId20" Type="http://schemas.openxmlformats.org/officeDocument/2006/relationships/hyperlink" Target="https://www.gleeds.com/en/insights-and-reports/market-reports/egypt-construction-market-report-q1q2-2026/" TargetMode="External"/><Relationship Id="rId21" Type="http://schemas.openxmlformats.org/officeDocument/2006/relationships/hyperlink" Target="https://efghermesresearch.com/Library/Assets/Gallery/Files/The%20Year%20Ahead%202026.pdf" TargetMode="External"/><Relationship Id="rId22" Type="http://schemas.openxmlformats.org/officeDocument/2006/relationships/hyperlink" Target="https://www.ft.com/content/5cbc4708-c11b-4be7-88f4-9c23a2066dd7" TargetMode="External"/><Relationship Id="rId23" Type="http://schemas.openxmlformats.org/officeDocument/2006/relationships/hyperlink" Target="https://english.ahram.org.eg/NewsAFCON/2021/27234.aspx" TargetMode="External"/><Relationship Id="rId24" Type="http://schemas.openxmlformats.org/officeDocument/2006/relationships/hyperlink" Target="https://www.egyptindependent.com/egypt-court-rules-government-must-auction-tmg-land/" TargetMode="External"/><Relationship Id="rId25" Type="http://schemas.openxmlformats.org/officeDocument/2006/relationships/hyperlink" Target="https://arij.net/investigations/aqarat-egypt-en/" TargetMode="External"/><Relationship Id="rId26" Type="http://schemas.openxmlformats.org/officeDocument/2006/relationships/hyperlink" Target="https://almanassa.com/en/news/28106" TargetMode="External"/><Relationship Id="rId27" Type="http://schemas.openxmlformats.org/officeDocument/2006/relationships/hyperlink" Target="https://fra.gov.eg/en/fra_news/%D8%A7%D9%84%D9%87%D9%8A%D8%A6%D8%A9-%D8%A7%D9%84%D8%B9%D8%A7%D9%85%D8%A9-%D9%84%D9%84%D8%B1%D9%82%D8%A7%D8%A8%D8%A9-%D8%A7%D9%84%D9%85%D8%A7%D9%84%D9%8A%D8%A9-%D8%AA%D9%87%D9%8A%D8%A8-%D8%A8%D8%AC/" TargetMode="External"/><Relationship Id="rId28" Type="http://schemas.openxmlformats.org/officeDocument/2006/relationships/hyperlink" Target="https://www.dailynewsegypt.com/2023/11/07/tmg-offers-quality-of-life-integrated-services-jobs-exclusively-to-its-projects-residents/" TargetMode="External"/><Relationship Id="rId29" Type="http://schemas.openxmlformats.org/officeDocument/2006/relationships/hyperlink" Target="https://www.newaqar.net/%D8%A7%D9%81%D8%B6%D9%84-%D9%85%D9%86%D8%B7%D9%82%D8%A9-%D9%84%D9%84%D8%B3%D9%83%D9%86-%D9%81%D9%8A-%D9%85%D8%AF%D9%8A%D9%86%D8%AA%D9%8A/" TargetMode="External"/><Relationship Id="rId30" Type="http://schemas.openxmlformats.org/officeDocument/2006/relationships/hyperlink" Target="https://www.dailynewsegypt.com/2012/02/07/court-upholds-jail-term-for-disgraced-egypt-tycoon/" TargetMode="External"/><Relationship Id="rId31" Type="http://schemas.openxmlformats.org/officeDocument/2006/relationships/hyperlink" Target="https://www.arabnews.com/node/1119711/jserrors/aggregate" TargetMode="External"/><Relationship Id="rId32" Type="http://schemas.openxmlformats.org/officeDocument/2006/relationships/hyperlink" Target="https://eg.indeed.com/cmp/Talaat-Moustafa-Group/reviews" TargetMode="External"/><Relationship Id="rId33" Type="http://schemas.openxmlformats.org/officeDocument/2006/relationships/hyperlink" Target="https://www.alborsaanews.com/2025/06/10/1892453" TargetMode="External"/><Relationship Id="rId34" Type="http://schemas.openxmlformats.org/officeDocument/2006/relationships/hyperlink" Target="https://www.almasryalyoum.com/news/details/1934547" TargetMode="External"/><Relationship Id="rId35" Type="http://schemas.openxmlformats.org/officeDocument/2006/relationships/hyperlink" Target="https://www.almasryalyoum.com/news/details/1934319" TargetMode="External"/><Relationship Id="rId36" Type="http://schemas.openxmlformats.org/officeDocument/2006/relationships/hyperlink" Target="https://hanyelkhatyb.blogspot.com/2013/09/blog-post_10.html" TargetMode="External"/><Relationship Id="rId37" Type="http://schemas.openxmlformats.org/officeDocument/2006/relationships/hyperlink" Target="https://hanyelkhatyb.blogspot.com/2012/03/blog-post_9840.html" TargetMode="External"/><Relationship Id="rId38" Type="http://schemas.openxmlformats.org/officeDocument/2006/relationships/hyperlink" Target="https://www.alhadtha.com/37211" TargetMode="External"/><Relationship Id="rId39" Type="http://schemas.openxmlformats.org/officeDocument/2006/relationships/hyperlink" Target="https://sharfildeen.blogspot.com/2009/03/blog-post_26.html" TargetMode="External"/><Relationship Id="rId40" Type="http://schemas.openxmlformats.org/officeDocument/2006/relationships/hyperlink" Target="https://www.egypttelegraph.com/article/3736/%D8%A7%D9%84%D8%AD%D8%A8%D8%B3-%D8%B3%D9%86%D8%A9-%D9%84%D9%85%D9%82%D8%A7%D9%88%D9%84-%D9%87%D8%AF%D8%AF-%D8%B7%D9%84%D8%B9%D8%AA-%D9%85%D8%B5%D8%B7%D9%81%D9%89-%D8%A8%D8%A7%D9%84%D9%82%D8%AA%D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المخاطر والعناية الواجبة — مجموعة طلعت مصطفى القابضة (نسخة موسعة بشكاوى المقاولين)</dc:title>
  <dc:subject>تقييم المخاطر المالية والتشغيلية والقانونية مع ملحق مخصص لشكاوى المقاولين والمستخلصات</dc:subject>
  <dc:creator>OpenAI</dc:creator>
  <cp:keywords>TMG, Talaat Moustafa, المقاولين, مستخلصات, مستحقات, مدينتي, العناية الواجبة</cp:keywords>
  <dc:description>generated by python-docx</dc:description>
  <cp:lastModifiedBy/>
  <cp:revision>1</cp:revision>
  <dcterms:created xsi:type="dcterms:W3CDTF">2013-12-23T23:15:00Z</dcterms:created>
  <dcterms:modified xsi:type="dcterms:W3CDTF">2013-12-23T23:15:00Z</dcterms:modified>
  <cp:category/>
</cp:coreProperties>
</file>