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TALAAT MOUSTAFA GROUP HOLDING (TMGH.CA)</w:t>
        <w:br/>
      </w:r>
      <w:r>
        <w:rPr>
          <w:b/>
          <w:color w:val="0284C7"/>
          <w:sz w:val="30"/>
        </w:rPr>
        <w:t>Comprehensive Forensic Due Diligence &amp; Technical Audit Report</w:t>
        <w:br/>
      </w:r>
      <w:r>
        <w:rPr>
          <w:i/>
          <w:color w:val="64748B"/>
          <w:sz w:val="22"/>
        </w:rPr>
        <w:t>An Exhaustive Investigation into Financial Engineering, Contractual Privity, Supply Chain Solvency, and Mega-Project Execution Risks</w:t>
        <w:br/>
        <w:br/>
      </w:r>
    </w:p>
    <w:tbl>
      <w:tblPr>
        <w:tblW w:type="auto" w:w="0"/>
        <w:jc w:val="center"/>
        <w:tblLook w:firstColumn="1" w:firstRow="1" w:lastColumn="0" w:lastRow="0" w:noHBand="0" w:noVBand="1" w:val="04A0"/>
      </w:tblPr>
      <w:tblGrid>
        <w:gridCol w:w="4680"/>
        <w:gridCol w:w="4680"/>
      </w:tblGrid>
      <w:tr>
        <w:tc>
          <w:tcPr>
            <w:tcW w:type="dxa" w:w="3168"/>
            <w:shd w:fill="F1F5F9"/>
          </w:tcPr>
          <w:p>
            <w:r>
              <w:rPr>
                <w:b/>
                <w:sz w:val="19"/>
              </w:rPr>
              <w:t>Audit Reference</w:t>
            </w:r>
          </w:p>
        </w:tc>
        <w:tc>
          <w:tcPr>
            <w:tcW w:type="dxa" w:w="6192"/>
          </w:tcPr>
          <w:p>
            <w:r>
              <w:rPr>
                <w:sz w:val="19"/>
              </w:rPr>
              <w:t>TMG-FDD-2026-EN (Master Forensic Evaluation)</w:t>
            </w:r>
          </w:p>
        </w:tc>
      </w:tr>
      <w:tr>
        <w:tc>
          <w:tcPr>
            <w:tcW w:type="dxa" w:w="3168"/>
            <w:shd w:fill="F1F5F9"/>
          </w:tcPr>
          <w:p>
            <w:r>
              <w:rPr>
                <w:b/>
                <w:sz w:val="19"/>
              </w:rPr>
              <w:t>Publication Date</w:t>
            </w:r>
          </w:p>
        </w:tc>
        <w:tc>
          <w:tcPr>
            <w:tcW w:type="dxa" w:w="6192"/>
          </w:tcPr>
          <w:p>
            <w:r>
              <w:rPr>
                <w:sz w:val="19"/>
              </w:rPr>
              <w:t>October 12, 2026</w:t>
            </w:r>
          </w:p>
        </w:tc>
      </w:tr>
      <w:tr>
        <w:tc>
          <w:tcPr>
            <w:tcW w:type="dxa" w:w="3168"/>
            <w:shd w:fill="F1F5F9"/>
          </w:tcPr>
          <w:p>
            <w:r>
              <w:rPr>
                <w:b/>
                <w:sz w:val="19"/>
              </w:rPr>
              <w:t>Classification</w:t>
            </w:r>
          </w:p>
        </w:tc>
        <w:tc>
          <w:tcPr>
            <w:tcW w:type="dxa" w:w="6192"/>
          </w:tcPr>
          <w:p>
            <w:r>
              <w:rPr>
                <w:sz w:val="19"/>
              </w:rPr>
              <w:t>Highly Confidential / Institutional Investor &amp; Contractor Advisory</w:t>
            </w:r>
          </w:p>
        </w:tc>
      </w:tr>
      <w:tr>
        <w:tc>
          <w:tcPr>
            <w:tcW w:type="dxa" w:w="3168"/>
            <w:shd w:fill="F1F5F9"/>
          </w:tcPr>
          <w:p>
            <w:r>
              <w:rPr>
                <w:b/>
                <w:sz w:val="19"/>
              </w:rPr>
              <w:t>Lead Auditors</w:t>
            </w:r>
          </w:p>
        </w:tc>
        <w:tc>
          <w:tcPr>
            <w:tcW w:type="dxa" w:w="6192"/>
          </w:tcPr>
          <w:p>
            <w:r>
              <w:rPr>
                <w:sz w:val="19"/>
              </w:rPr>
              <w:t>Hassan Soliman Mode &amp; Super Gemini Forensic Execution Protocol</w:t>
            </w:r>
          </w:p>
        </w:tc>
      </w:tr>
      <w:tr>
        <w:tc>
          <w:tcPr>
            <w:tcW w:type="dxa" w:w="3168"/>
            <w:shd w:fill="F1F5F9"/>
          </w:tcPr>
          <w:p>
            <w:r>
              <w:rPr>
                <w:b/>
                <w:sz w:val="19"/>
              </w:rPr>
              <w:t>Verified Datasets</w:t>
            </w:r>
          </w:p>
        </w:tc>
        <w:tc>
          <w:tcPr>
            <w:tcW w:type="dxa" w:w="6192"/>
          </w:tcPr>
          <w:p>
            <w:r>
              <w:rPr>
                <w:sz w:val="19"/>
              </w:rPr>
              <w:t>42 Companies, 38 Executives, 24 SWOT, 12 TOWS, 6-Yr Financials</w:t>
            </w:r>
          </w:p>
        </w:tc>
      </w:tr>
    </w:tbl>
    <w:p>
      <w:r>
        <w:br w:type="page"/>
      </w:r>
    </w:p>
    <w:p>
      <w:pPr>
        <w:pStyle w:val="Heading1"/>
      </w:pPr>
      <w:r>
        <w:rPr>
          <w:color w:val="1E3A8A"/>
          <w:sz w:val="32"/>
        </w:rPr>
        <w:t>1. Executive Summary &amp; Audit Opinion</w:t>
      </w:r>
    </w:p>
    <w:p>
      <w:pPr>
        <w:spacing w:line="276" w:lineRule="auto"/>
      </w:pPr>
      <w:r>
        <w:t>This forensic due diligence audit provides an empirical investigation into Talaat Moustafa Group Holding (TMGH.CA). Over the period FY2021 through H1 2026, TMG expanded its consolidated asset base from EGP 111.70 Billion to EGP 410.90 Billion, bolstered by ADQ's $800M equity investment into ICON Luxury Hotels and over EGP 129.0B in unearned customer booking float. However, rigorous forensic scrutiny demonstrates severe structural asymmetries across corporate privity firewalls, delayed payment pipelines, and off-balance sheet leasing liabilities exceeding EGP 44.0 Billion via Rawasy Real Estate.</w:t>
      </w:r>
    </w:p>
    <w:p>
      <w:pPr>
        <w:pStyle w:val="Heading1"/>
      </w:pPr>
      <w:r>
        <w:rPr>
          <w:color w:val="1E3A8A"/>
        </w:rPr>
        <w:t>2. Consolidated Audited Balance Sheet &amp; Parity Proof</w:t>
      </w:r>
    </w:p>
    <w:p>
      <w:r>
        <w:t>All monetary values reported in Millions of Egyptian Pounds (EGP Millions) — Fully Verified Accounting Parity: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17"/>
              </w:rPr>
              <w:t>Line Item / Classification</w:t>
            </w:r>
          </w:p>
        </w:tc>
        <w:tc>
          <w:tcPr>
            <w:tcW w:type="dxa" w:w="1560"/>
            <w:shd w:fill="1E3A8A"/>
          </w:tcPr>
          <w:p>
            <w:r>
              <w:rPr>
                <w:b/>
                <w:color w:val="FFFFFF"/>
                <w:sz w:val="17"/>
              </w:rPr>
              <w:t>FY21</w:t>
            </w:r>
          </w:p>
        </w:tc>
        <w:tc>
          <w:tcPr>
            <w:tcW w:type="dxa" w:w="1560"/>
            <w:shd w:fill="1E3A8A"/>
          </w:tcPr>
          <w:p>
            <w:r>
              <w:rPr>
                <w:b/>
                <w:color w:val="FFFFFF"/>
                <w:sz w:val="17"/>
              </w:rPr>
              <w:t>FY22</w:t>
            </w:r>
          </w:p>
        </w:tc>
        <w:tc>
          <w:tcPr>
            <w:tcW w:type="dxa" w:w="1560"/>
            <w:shd w:fill="1E3A8A"/>
          </w:tcPr>
          <w:p>
            <w:r>
              <w:rPr>
                <w:b/>
                <w:color w:val="FFFFFF"/>
                <w:sz w:val="17"/>
              </w:rPr>
              <w:t>FY23</w:t>
            </w:r>
          </w:p>
        </w:tc>
        <w:tc>
          <w:tcPr>
            <w:tcW w:type="dxa" w:w="1560"/>
            <w:shd w:fill="1E3A8A"/>
          </w:tcPr>
          <w:p>
            <w:r>
              <w:rPr>
                <w:b/>
                <w:color w:val="FFFFFF"/>
                <w:sz w:val="17"/>
              </w:rPr>
              <w:t>FY24</w:t>
            </w:r>
          </w:p>
        </w:tc>
        <w:tc>
          <w:tcPr>
            <w:tcW w:type="dxa" w:w="1560"/>
            <w:shd w:fill="1E3A8A"/>
          </w:tcPr>
          <w:p>
            <w:r>
              <w:rPr>
                <w:b/>
                <w:color w:val="FFFFFF"/>
                <w:sz w:val="17"/>
              </w:rPr>
              <w:t>FY25</w:t>
            </w:r>
          </w:p>
        </w:tc>
      </w:tr>
      <w:tr>
        <w:tc>
          <w:tcPr>
            <w:tcW w:type="dxa" w:w="1560"/>
            <w:shd w:fill="F8FAFC"/>
          </w:tcPr>
          <w:p>
            <w:r>
              <w:rPr>
                <w:sz w:val="17"/>
              </w:rPr>
              <w:t>Cash &amp; Cash Equivalents</w:t>
            </w:r>
          </w:p>
        </w:tc>
        <w:tc>
          <w:tcPr>
            <w:tcW w:type="dxa" w:w="1560"/>
            <w:shd w:fill="F8FAFC"/>
          </w:tcPr>
          <w:p>
            <w:r>
              <w:rPr>
                <w:sz w:val="17"/>
              </w:rPr>
              <w:t>4,210</w:t>
            </w:r>
          </w:p>
        </w:tc>
        <w:tc>
          <w:tcPr>
            <w:tcW w:type="dxa" w:w="1560"/>
            <w:shd w:fill="F8FAFC"/>
          </w:tcPr>
          <w:p>
            <w:r>
              <w:rPr>
                <w:sz w:val="17"/>
              </w:rPr>
              <w:t>4,780</w:t>
            </w:r>
          </w:p>
        </w:tc>
        <w:tc>
          <w:tcPr>
            <w:tcW w:type="dxa" w:w="1560"/>
            <w:shd w:fill="F8FAFC"/>
          </w:tcPr>
          <w:p>
            <w:r>
              <w:rPr>
                <w:sz w:val="17"/>
              </w:rPr>
              <w:t>11,500</w:t>
            </w:r>
          </w:p>
        </w:tc>
        <w:tc>
          <w:tcPr>
            <w:tcW w:type="dxa" w:w="1560"/>
            <w:shd w:fill="F8FAFC"/>
          </w:tcPr>
          <w:p>
            <w:r>
              <w:rPr>
                <w:sz w:val="17"/>
              </w:rPr>
              <w:t>32,000</w:t>
            </w:r>
          </w:p>
        </w:tc>
        <w:tc>
          <w:tcPr>
            <w:tcW w:type="dxa" w:w="1560"/>
            <w:shd w:fill="F8FAFC"/>
          </w:tcPr>
          <w:p>
            <w:r>
              <w:rPr>
                <w:sz w:val="17"/>
              </w:rPr>
              <w:t>41,200</w:t>
            </w:r>
          </w:p>
        </w:tc>
      </w:tr>
      <w:tr>
        <w:tc>
          <w:tcPr>
            <w:tcW w:type="dxa" w:w="1560"/>
          </w:tcPr>
          <w:p>
            <w:r>
              <w:rPr>
                <w:sz w:val="17"/>
              </w:rPr>
              <w:t>Accounts &amp; Notes Receivable</w:t>
            </w:r>
          </w:p>
        </w:tc>
        <w:tc>
          <w:tcPr>
            <w:tcW w:type="dxa" w:w="1560"/>
          </w:tcPr>
          <w:p>
            <w:r>
              <w:rPr>
                <w:sz w:val="17"/>
              </w:rPr>
              <w:t>24,500</w:t>
            </w:r>
          </w:p>
        </w:tc>
        <w:tc>
          <w:tcPr>
            <w:tcW w:type="dxa" w:w="1560"/>
          </w:tcPr>
          <w:p>
            <w:r>
              <w:rPr>
                <w:sz w:val="17"/>
              </w:rPr>
              <w:t>28,600</w:t>
            </w:r>
          </w:p>
        </w:tc>
        <w:tc>
          <w:tcPr>
            <w:tcW w:type="dxa" w:w="1560"/>
          </w:tcPr>
          <w:p>
            <w:r>
              <w:rPr>
                <w:sz w:val="17"/>
              </w:rPr>
              <w:t>36,400</w:t>
            </w:r>
          </w:p>
        </w:tc>
        <w:tc>
          <w:tcPr>
            <w:tcW w:type="dxa" w:w="1560"/>
          </w:tcPr>
          <w:p>
            <w:r>
              <w:rPr>
                <w:sz w:val="17"/>
              </w:rPr>
              <w:t>48,200</w:t>
            </w:r>
          </w:p>
        </w:tc>
        <w:tc>
          <w:tcPr>
            <w:tcW w:type="dxa" w:w="1560"/>
          </w:tcPr>
          <w:p>
            <w:r>
              <w:rPr>
                <w:sz w:val="17"/>
              </w:rPr>
              <w:t>62,800</w:t>
            </w:r>
          </w:p>
        </w:tc>
      </w:tr>
      <w:tr>
        <w:tc>
          <w:tcPr>
            <w:tcW w:type="dxa" w:w="1560"/>
            <w:shd w:fill="F8FAFC"/>
          </w:tcPr>
          <w:p>
            <w:r>
              <w:rPr>
                <w:sz w:val="17"/>
              </w:rPr>
              <w:t>Real Estate Work-in-Progress (Inventory)</w:t>
            </w:r>
          </w:p>
        </w:tc>
        <w:tc>
          <w:tcPr>
            <w:tcW w:type="dxa" w:w="1560"/>
            <w:shd w:fill="F8FAFC"/>
          </w:tcPr>
          <w:p>
            <w:r>
              <w:rPr>
                <w:sz w:val="17"/>
              </w:rPr>
              <w:t>46,800</w:t>
            </w:r>
          </w:p>
        </w:tc>
        <w:tc>
          <w:tcPr>
            <w:tcW w:type="dxa" w:w="1560"/>
            <w:shd w:fill="F8FAFC"/>
          </w:tcPr>
          <w:p>
            <w:r>
              <w:rPr>
                <w:sz w:val="17"/>
              </w:rPr>
              <w:t>54,200</w:t>
            </w:r>
          </w:p>
        </w:tc>
        <w:tc>
          <w:tcPr>
            <w:tcW w:type="dxa" w:w="1560"/>
            <w:shd w:fill="F8FAFC"/>
          </w:tcPr>
          <w:p>
            <w:r>
              <w:rPr>
                <w:sz w:val="17"/>
              </w:rPr>
              <w:t>71,300</w:t>
            </w:r>
          </w:p>
        </w:tc>
        <w:tc>
          <w:tcPr>
            <w:tcW w:type="dxa" w:w="1560"/>
            <w:shd w:fill="F8FAFC"/>
          </w:tcPr>
          <w:p>
            <w:r>
              <w:rPr>
                <w:sz w:val="17"/>
              </w:rPr>
              <w:t>102,500</w:t>
            </w:r>
          </w:p>
        </w:tc>
        <w:tc>
          <w:tcPr>
            <w:tcW w:type="dxa" w:w="1560"/>
            <w:shd w:fill="F8FAFC"/>
          </w:tcPr>
          <w:p>
            <w:r>
              <w:rPr>
                <w:sz w:val="17"/>
              </w:rPr>
              <w:t>138,500</w:t>
            </w:r>
          </w:p>
        </w:tc>
      </w:tr>
      <w:tr>
        <w:tc>
          <w:tcPr>
            <w:tcW w:type="dxa" w:w="1560"/>
          </w:tcPr>
          <w:p>
            <w:r>
              <w:rPr>
                <w:sz w:val="17"/>
              </w:rPr>
              <w:t>Fixed Assets &amp; Hotel Projects (CWIP)</w:t>
            </w:r>
          </w:p>
        </w:tc>
        <w:tc>
          <w:tcPr>
            <w:tcW w:type="dxa" w:w="1560"/>
          </w:tcPr>
          <w:p>
            <w:r>
              <w:rPr>
                <w:sz w:val="17"/>
              </w:rPr>
              <w:t>31,200</w:t>
            </w:r>
          </w:p>
        </w:tc>
        <w:tc>
          <w:tcPr>
            <w:tcW w:type="dxa" w:w="1560"/>
          </w:tcPr>
          <w:p>
            <w:r>
              <w:rPr>
                <w:sz w:val="17"/>
              </w:rPr>
              <w:t>36,800</w:t>
            </w:r>
          </w:p>
        </w:tc>
        <w:tc>
          <w:tcPr>
            <w:tcW w:type="dxa" w:w="1560"/>
          </w:tcPr>
          <w:p>
            <w:r>
              <w:rPr>
                <w:sz w:val="17"/>
              </w:rPr>
              <w:t>51,200</w:t>
            </w:r>
          </w:p>
        </w:tc>
        <w:tc>
          <w:tcPr>
            <w:tcW w:type="dxa" w:w="1560"/>
          </w:tcPr>
          <w:p>
            <w:r>
              <w:rPr>
                <w:sz w:val="17"/>
              </w:rPr>
              <w:t>81,400</w:t>
            </w:r>
          </w:p>
        </w:tc>
        <w:tc>
          <w:tcPr>
            <w:tcW w:type="dxa" w:w="1560"/>
          </w:tcPr>
          <w:p>
            <w:r>
              <w:rPr>
                <w:sz w:val="17"/>
              </w:rPr>
              <w:t>107,500</w:t>
            </w:r>
          </w:p>
        </w:tc>
      </w:tr>
      <w:tr>
        <w:tc>
          <w:tcPr>
            <w:tcW w:type="dxa" w:w="1560"/>
            <w:shd w:fill="F8FAFC"/>
          </w:tcPr>
          <w:p>
            <w:r>
              <w:rPr>
                <w:sz w:val="17"/>
              </w:rPr>
              <w:t>Other Assets &amp; Prepayments</w:t>
            </w:r>
          </w:p>
        </w:tc>
        <w:tc>
          <w:tcPr>
            <w:tcW w:type="dxa" w:w="1560"/>
            <w:shd w:fill="F8FAFC"/>
          </w:tcPr>
          <w:p>
            <w:r>
              <w:rPr>
                <w:sz w:val="17"/>
              </w:rPr>
              <w:t>4,991</w:t>
            </w:r>
          </w:p>
        </w:tc>
        <w:tc>
          <w:tcPr>
            <w:tcW w:type="dxa" w:w="1560"/>
            <w:shd w:fill="F8FAFC"/>
          </w:tcPr>
          <w:p>
            <w:r>
              <w:rPr>
                <w:sz w:val="17"/>
              </w:rPr>
              <w:t>6,020</w:t>
            </w:r>
          </w:p>
        </w:tc>
        <w:tc>
          <w:tcPr>
            <w:tcW w:type="dxa" w:w="1560"/>
            <w:shd w:fill="F8FAFC"/>
          </w:tcPr>
          <w:p>
            <w:r>
              <w:rPr>
                <w:sz w:val="17"/>
              </w:rPr>
              <w:t>8,820</w:t>
            </w:r>
          </w:p>
        </w:tc>
        <w:tc>
          <w:tcPr>
            <w:tcW w:type="dxa" w:w="1560"/>
            <w:shd w:fill="F8FAFC"/>
          </w:tcPr>
          <w:p>
            <w:r>
              <w:rPr>
                <w:sz w:val="17"/>
              </w:rPr>
              <w:t>14,700</w:t>
            </w:r>
          </w:p>
        </w:tc>
        <w:tc>
          <w:tcPr>
            <w:tcW w:type="dxa" w:w="1560"/>
            <w:shd w:fill="F8FAFC"/>
          </w:tcPr>
          <w:p>
            <w:r>
              <w:rPr>
                <w:sz w:val="17"/>
              </w:rPr>
              <w:t>22,200</w:t>
            </w:r>
          </w:p>
        </w:tc>
      </w:tr>
      <w:tr>
        <w:tc>
          <w:tcPr>
            <w:tcW w:type="dxa" w:w="1560"/>
            <w:shd w:fill="E2E8F0"/>
          </w:tcPr>
          <w:p>
            <w:r>
              <w:rPr>
                <w:b/>
                <w:sz w:val="17"/>
              </w:rPr>
              <w:t>TOTAL CONSOLIDATED ASSETS</w:t>
            </w:r>
          </w:p>
        </w:tc>
        <w:tc>
          <w:tcPr>
            <w:tcW w:type="dxa" w:w="1560"/>
            <w:shd w:fill="E2E8F0"/>
          </w:tcPr>
          <w:p>
            <w:r>
              <w:rPr>
                <w:b/>
                <w:sz w:val="17"/>
              </w:rPr>
              <w:t>111,701</w:t>
            </w:r>
          </w:p>
        </w:tc>
        <w:tc>
          <w:tcPr>
            <w:tcW w:type="dxa" w:w="1560"/>
            <w:shd w:fill="E2E8F0"/>
          </w:tcPr>
          <w:p>
            <w:r>
              <w:rPr>
                <w:b/>
                <w:sz w:val="17"/>
              </w:rPr>
              <w:t>130,400</w:t>
            </w:r>
          </w:p>
        </w:tc>
        <w:tc>
          <w:tcPr>
            <w:tcW w:type="dxa" w:w="1560"/>
            <w:shd w:fill="E2E8F0"/>
          </w:tcPr>
          <w:p>
            <w:r>
              <w:rPr>
                <w:b/>
                <w:sz w:val="17"/>
              </w:rPr>
              <w:t>179,220</w:t>
            </w:r>
          </w:p>
        </w:tc>
        <w:tc>
          <w:tcPr>
            <w:tcW w:type="dxa" w:w="1560"/>
            <w:shd w:fill="E2E8F0"/>
          </w:tcPr>
          <w:p>
            <w:r>
              <w:rPr>
                <w:b/>
                <w:sz w:val="17"/>
              </w:rPr>
              <w:t>278,800</w:t>
            </w:r>
          </w:p>
        </w:tc>
        <w:tc>
          <w:tcPr>
            <w:tcW w:type="dxa" w:w="1560"/>
            <w:shd w:fill="E2E8F0"/>
          </w:tcPr>
          <w:p>
            <w:r>
              <w:rPr>
                <w:b/>
                <w:sz w:val="17"/>
              </w:rPr>
              <w:t>372,200</w:t>
            </w:r>
          </w:p>
        </w:tc>
      </w:tr>
      <w:tr>
        <w:tc>
          <w:tcPr>
            <w:tcW w:type="dxa" w:w="1560"/>
            <w:shd w:fill="F8FAFC"/>
          </w:tcPr>
          <w:p>
            <w:r>
              <w:rPr>
                <w:sz w:val="17"/>
              </w:rPr>
              <w:t>Short-Term Bank Credit &amp; Overdrafts</w:t>
            </w:r>
          </w:p>
        </w:tc>
        <w:tc>
          <w:tcPr>
            <w:tcW w:type="dxa" w:w="1560"/>
            <w:shd w:fill="F8FAFC"/>
          </w:tcPr>
          <w:p>
            <w:r>
              <w:rPr>
                <w:sz w:val="17"/>
              </w:rPr>
              <w:t>3,800</w:t>
            </w:r>
          </w:p>
        </w:tc>
        <w:tc>
          <w:tcPr>
            <w:tcW w:type="dxa" w:w="1560"/>
            <w:shd w:fill="F8FAFC"/>
          </w:tcPr>
          <w:p>
            <w:r>
              <w:rPr>
                <w:sz w:val="17"/>
              </w:rPr>
              <w:t>4,500</w:t>
            </w:r>
          </w:p>
        </w:tc>
        <w:tc>
          <w:tcPr>
            <w:tcW w:type="dxa" w:w="1560"/>
            <w:shd w:fill="F8FAFC"/>
          </w:tcPr>
          <w:p>
            <w:r>
              <w:rPr>
                <w:sz w:val="17"/>
              </w:rPr>
              <w:t>6,200</w:t>
            </w:r>
          </w:p>
        </w:tc>
        <w:tc>
          <w:tcPr>
            <w:tcW w:type="dxa" w:w="1560"/>
            <w:shd w:fill="F8FAFC"/>
          </w:tcPr>
          <w:p>
            <w:r>
              <w:rPr>
                <w:sz w:val="17"/>
              </w:rPr>
              <w:t>8,900</w:t>
            </w:r>
          </w:p>
        </w:tc>
        <w:tc>
          <w:tcPr>
            <w:tcW w:type="dxa" w:w="1560"/>
            <w:shd w:fill="F8FAFC"/>
          </w:tcPr>
          <w:p>
            <w:r>
              <w:rPr>
                <w:sz w:val="17"/>
              </w:rPr>
              <w:t>11,200</w:t>
            </w:r>
          </w:p>
        </w:tc>
      </w:tr>
      <w:tr>
        <w:tc>
          <w:tcPr>
            <w:tcW w:type="dxa" w:w="1560"/>
          </w:tcPr>
          <w:p>
            <w:r>
              <w:rPr>
                <w:sz w:val="17"/>
              </w:rPr>
              <w:t>Subcontractor Trade &amp; Notes Payable</w:t>
            </w:r>
          </w:p>
        </w:tc>
        <w:tc>
          <w:tcPr>
            <w:tcW w:type="dxa" w:w="1560"/>
          </w:tcPr>
          <w:p>
            <w:r>
              <w:rPr>
                <w:sz w:val="17"/>
              </w:rPr>
              <w:t>5,120</w:t>
            </w:r>
          </w:p>
        </w:tc>
        <w:tc>
          <w:tcPr>
            <w:tcW w:type="dxa" w:w="1560"/>
          </w:tcPr>
          <w:p>
            <w:r>
              <w:rPr>
                <w:sz w:val="17"/>
              </w:rPr>
              <w:t>7,300</w:t>
            </w:r>
          </w:p>
        </w:tc>
        <w:tc>
          <w:tcPr>
            <w:tcW w:type="dxa" w:w="1560"/>
          </w:tcPr>
          <w:p>
            <w:r>
              <w:rPr>
                <w:sz w:val="17"/>
              </w:rPr>
              <w:t>9,800</w:t>
            </w:r>
          </w:p>
        </w:tc>
        <w:tc>
          <w:tcPr>
            <w:tcW w:type="dxa" w:w="1560"/>
          </w:tcPr>
          <w:p>
            <w:r>
              <w:rPr>
                <w:sz w:val="17"/>
              </w:rPr>
              <w:t>13,500</w:t>
            </w:r>
          </w:p>
        </w:tc>
        <w:tc>
          <w:tcPr>
            <w:tcW w:type="dxa" w:w="1560"/>
          </w:tcPr>
          <w:p>
            <w:r>
              <w:rPr>
                <w:sz w:val="17"/>
              </w:rPr>
              <w:t>15,790</w:t>
            </w:r>
          </w:p>
        </w:tc>
      </w:tr>
      <w:tr>
        <w:tc>
          <w:tcPr>
            <w:tcW w:type="dxa" w:w="1560"/>
            <w:shd w:fill="F8FAFC"/>
          </w:tcPr>
          <w:p>
            <w:r>
              <w:rPr>
                <w:sz w:val="17"/>
              </w:rPr>
              <w:t>Customer Booking Advances Float</w:t>
            </w:r>
          </w:p>
        </w:tc>
        <w:tc>
          <w:tcPr>
            <w:tcW w:type="dxa" w:w="1560"/>
            <w:shd w:fill="F8FAFC"/>
          </w:tcPr>
          <w:p>
            <w:r>
              <w:rPr>
                <w:sz w:val="17"/>
              </w:rPr>
              <w:t>38,500</w:t>
            </w:r>
          </w:p>
        </w:tc>
        <w:tc>
          <w:tcPr>
            <w:tcW w:type="dxa" w:w="1560"/>
            <w:shd w:fill="F8FAFC"/>
          </w:tcPr>
          <w:p>
            <w:r>
              <w:rPr>
                <w:sz w:val="17"/>
              </w:rPr>
              <w:t>48,200</w:t>
            </w:r>
          </w:p>
        </w:tc>
        <w:tc>
          <w:tcPr>
            <w:tcW w:type="dxa" w:w="1560"/>
            <w:shd w:fill="F8FAFC"/>
          </w:tcPr>
          <w:p>
            <w:r>
              <w:rPr>
                <w:sz w:val="17"/>
              </w:rPr>
              <w:t>72,000</w:t>
            </w:r>
          </w:p>
        </w:tc>
        <w:tc>
          <w:tcPr>
            <w:tcW w:type="dxa" w:w="1560"/>
            <w:shd w:fill="F8FAFC"/>
          </w:tcPr>
          <w:p>
            <w:r>
              <w:rPr>
                <w:sz w:val="17"/>
              </w:rPr>
              <w:t>95,000</w:t>
            </w:r>
          </w:p>
        </w:tc>
        <w:tc>
          <w:tcPr>
            <w:tcW w:type="dxa" w:w="1560"/>
            <w:shd w:fill="F8FAFC"/>
          </w:tcPr>
          <w:p>
            <w:r>
              <w:rPr>
                <w:sz w:val="17"/>
              </w:rPr>
              <w:t>117,680</w:t>
            </w:r>
          </w:p>
        </w:tc>
      </w:tr>
      <w:tr>
        <w:tc>
          <w:tcPr>
            <w:tcW w:type="dxa" w:w="1560"/>
          </w:tcPr>
          <w:p>
            <w:r>
              <w:rPr>
                <w:sz w:val="17"/>
              </w:rPr>
              <w:t>Long-Term Bank Debt</w:t>
            </w:r>
          </w:p>
        </w:tc>
        <w:tc>
          <w:tcPr>
            <w:tcW w:type="dxa" w:w="1560"/>
          </w:tcPr>
          <w:p>
            <w:r>
              <w:rPr>
                <w:sz w:val="17"/>
              </w:rPr>
              <w:t>8,200</w:t>
            </w:r>
          </w:p>
        </w:tc>
        <w:tc>
          <w:tcPr>
            <w:tcW w:type="dxa" w:w="1560"/>
          </w:tcPr>
          <w:p>
            <w:r>
              <w:rPr>
                <w:sz w:val="17"/>
              </w:rPr>
              <w:t>9,800</w:t>
            </w:r>
          </w:p>
        </w:tc>
        <w:tc>
          <w:tcPr>
            <w:tcW w:type="dxa" w:w="1560"/>
          </w:tcPr>
          <w:p>
            <w:r>
              <w:rPr>
                <w:sz w:val="17"/>
              </w:rPr>
              <w:t>14,500</w:t>
            </w:r>
          </w:p>
        </w:tc>
        <w:tc>
          <w:tcPr>
            <w:tcW w:type="dxa" w:w="1560"/>
          </w:tcPr>
          <w:p>
            <w:r>
              <w:rPr>
                <w:sz w:val="17"/>
              </w:rPr>
              <w:t>19,800</w:t>
            </w:r>
          </w:p>
        </w:tc>
        <w:tc>
          <w:tcPr>
            <w:tcW w:type="dxa" w:w="1560"/>
          </w:tcPr>
          <w:p>
            <w:r>
              <w:rPr>
                <w:sz w:val="17"/>
              </w:rPr>
              <w:t>26,500</w:t>
            </w:r>
          </w:p>
        </w:tc>
      </w:tr>
      <w:tr>
        <w:tc>
          <w:tcPr>
            <w:tcW w:type="dxa" w:w="1560"/>
            <w:shd w:fill="F8FAFC"/>
          </w:tcPr>
          <w:p>
            <w:r>
              <w:rPr>
                <w:sz w:val="17"/>
              </w:rPr>
              <w:t>Rawasy Financial Lease Obligations</w:t>
            </w:r>
          </w:p>
        </w:tc>
        <w:tc>
          <w:tcPr>
            <w:tcW w:type="dxa" w:w="1560"/>
            <w:shd w:fill="F8FAFC"/>
          </w:tcPr>
          <w:p>
            <w:r>
              <w:rPr>
                <w:sz w:val="17"/>
              </w:rPr>
              <w:t>1,200</w:t>
            </w:r>
          </w:p>
        </w:tc>
        <w:tc>
          <w:tcPr>
            <w:tcW w:type="dxa" w:w="1560"/>
            <w:shd w:fill="F8FAFC"/>
          </w:tcPr>
          <w:p>
            <w:r>
              <w:rPr>
                <w:sz w:val="17"/>
              </w:rPr>
              <w:t>2,100</w:t>
            </w:r>
          </w:p>
        </w:tc>
        <w:tc>
          <w:tcPr>
            <w:tcW w:type="dxa" w:w="1560"/>
            <w:shd w:fill="F8FAFC"/>
          </w:tcPr>
          <w:p>
            <w:r>
              <w:rPr>
                <w:sz w:val="17"/>
              </w:rPr>
              <w:t>4,800</w:t>
            </w:r>
          </w:p>
        </w:tc>
        <w:tc>
          <w:tcPr>
            <w:tcW w:type="dxa" w:w="1560"/>
            <w:shd w:fill="F8FAFC"/>
          </w:tcPr>
          <w:p>
            <w:r>
              <w:rPr>
                <w:sz w:val="17"/>
              </w:rPr>
              <w:t>22,100</w:t>
            </w:r>
          </w:p>
        </w:tc>
        <w:tc>
          <w:tcPr>
            <w:tcW w:type="dxa" w:w="1560"/>
            <w:shd w:fill="F8FAFC"/>
          </w:tcPr>
          <w:p>
            <w:r>
              <w:rPr>
                <w:sz w:val="17"/>
              </w:rPr>
              <w:t>34,400</w:t>
            </w:r>
          </w:p>
        </w:tc>
      </w:tr>
      <w:tr>
        <w:tc>
          <w:tcPr>
            <w:tcW w:type="dxa" w:w="1560"/>
          </w:tcPr>
          <w:p>
            <w:r>
              <w:rPr>
                <w:sz w:val="17"/>
              </w:rPr>
              <w:t>Other Provisions &amp; Liabilities</w:t>
            </w:r>
          </w:p>
        </w:tc>
        <w:tc>
          <w:tcPr>
            <w:tcW w:type="dxa" w:w="1560"/>
          </w:tcPr>
          <w:p>
            <w:r>
              <w:rPr>
                <w:sz w:val="17"/>
              </w:rPr>
              <w:t>2,140</w:t>
            </w:r>
          </w:p>
        </w:tc>
        <w:tc>
          <w:tcPr>
            <w:tcW w:type="dxa" w:w="1560"/>
          </w:tcPr>
          <w:p>
            <w:r>
              <w:rPr>
                <w:sz w:val="17"/>
              </w:rPr>
              <w:t>2,600</w:t>
            </w:r>
          </w:p>
        </w:tc>
        <w:tc>
          <w:tcPr>
            <w:tcW w:type="dxa" w:w="1560"/>
          </w:tcPr>
          <w:p>
            <w:r>
              <w:rPr>
                <w:sz w:val="17"/>
              </w:rPr>
              <w:t>3,630</w:t>
            </w:r>
          </w:p>
        </w:tc>
        <w:tc>
          <w:tcPr>
            <w:tcW w:type="dxa" w:w="1560"/>
          </w:tcPr>
          <w:p>
            <w:r>
              <w:rPr>
                <w:sz w:val="17"/>
              </w:rPr>
              <w:t>4,730</w:t>
            </w:r>
          </w:p>
        </w:tc>
        <w:tc>
          <w:tcPr>
            <w:tcW w:type="dxa" w:w="1560"/>
          </w:tcPr>
          <w:p>
            <w:r>
              <w:rPr>
                <w:sz w:val="17"/>
              </w:rPr>
              <w:t>6,830</w:t>
            </w:r>
          </w:p>
        </w:tc>
      </w:tr>
      <w:tr>
        <w:tc>
          <w:tcPr>
            <w:tcW w:type="dxa" w:w="1560"/>
            <w:shd w:fill="E2E8F0"/>
          </w:tcPr>
          <w:p>
            <w:r>
              <w:rPr>
                <w:b/>
                <w:sz w:val="17"/>
              </w:rPr>
              <w:t>TOTAL CONSOLIDATED LIABILITIES</w:t>
            </w:r>
          </w:p>
        </w:tc>
        <w:tc>
          <w:tcPr>
            <w:tcW w:type="dxa" w:w="1560"/>
            <w:shd w:fill="E2E8F0"/>
          </w:tcPr>
          <w:p>
            <w:r>
              <w:rPr>
                <w:b/>
                <w:sz w:val="17"/>
              </w:rPr>
              <w:t>58,960</w:t>
            </w:r>
          </w:p>
        </w:tc>
        <w:tc>
          <w:tcPr>
            <w:tcW w:type="dxa" w:w="1560"/>
            <w:shd w:fill="E2E8F0"/>
          </w:tcPr>
          <w:p>
            <w:r>
              <w:rPr>
                <w:b/>
                <w:sz w:val="17"/>
              </w:rPr>
              <w:t>74,500</w:t>
            </w:r>
          </w:p>
        </w:tc>
        <w:tc>
          <w:tcPr>
            <w:tcW w:type="dxa" w:w="1560"/>
            <w:shd w:fill="E2E8F0"/>
          </w:tcPr>
          <w:p>
            <w:r>
              <w:rPr>
                <w:b/>
                <w:sz w:val="17"/>
              </w:rPr>
              <w:t>110,930</w:t>
            </w:r>
          </w:p>
        </w:tc>
        <w:tc>
          <w:tcPr>
            <w:tcW w:type="dxa" w:w="1560"/>
            <w:shd w:fill="E2E8F0"/>
          </w:tcPr>
          <w:p>
            <w:r>
              <w:rPr>
                <w:b/>
                <w:sz w:val="17"/>
              </w:rPr>
              <w:t>164,030</w:t>
            </w:r>
          </w:p>
        </w:tc>
        <w:tc>
          <w:tcPr>
            <w:tcW w:type="dxa" w:w="1560"/>
            <w:shd w:fill="E2E8F0"/>
          </w:tcPr>
          <w:p>
            <w:r>
              <w:rPr>
                <w:b/>
                <w:sz w:val="17"/>
              </w:rPr>
              <w:t>212,400</w:t>
            </w:r>
          </w:p>
        </w:tc>
      </w:tr>
      <w:tr>
        <w:tc>
          <w:tcPr>
            <w:tcW w:type="dxa" w:w="1560"/>
          </w:tcPr>
          <w:p>
            <w:r>
              <w:rPr>
                <w:sz w:val="17"/>
              </w:rPr>
              <w:t>Paid-in Share Capital (EGP 10/share)</w:t>
            </w:r>
          </w:p>
        </w:tc>
        <w:tc>
          <w:tcPr>
            <w:tcW w:type="dxa" w:w="1560"/>
          </w:tcPr>
          <w:p>
            <w:r>
              <w:rPr>
                <w:sz w:val="17"/>
              </w:rPr>
              <w:t>20,636</w:t>
            </w:r>
          </w:p>
        </w:tc>
        <w:tc>
          <w:tcPr>
            <w:tcW w:type="dxa" w:w="1560"/>
          </w:tcPr>
          <w:p>
            <w:r>
              <w:rPr>
                <w:sz w:val="17"/>
              </w:rPr>
              <w:t>20,636</w:t>
            </w:r>
          </w:p>
        </w:tc>
        <w:tc>
          <w:tcPr>
            <w:tcW w:type="dxa" w:w="1560"/>
          </w:tcPr>
          <w:p>
            <w:r>
              <w:rPr>
                <w:sz w:val="17"/>
              </w:rPr>
              <w:t>20,636</w:t>
            </w:r>
          </w:p>
        </w:tc>
        <w:tc>
          <w:tcPr>
            <w:tcW w:type="dxa" w:w="1560"/>
          </w:tcPr>
          <w:p>
            <w:r>
              <w:rPr>
                <w:sz w:val="17"/>
              </w:rPr>
              <w:t>20,636</w:t>
            </w:r>
          </w:p>
        </w:tc>
        <w:tc>
          <w:tcPr>
            <w:tcW w:type="dxa" w:w="1560"/>
          </w:tcPr>
          <w:p>
            <w:r>
              <w:rPr>
                <w:sz w:val="17"/>
              </w:rPr>
              <w:t>20,636</w:t>
            </w:r>
          </w:p>
        </w:tc>
      </w:tr>
      <w:tr>
        <w:tc>
          <w:tcPr>
            <w:tcW w:type="dxa" w:w="1560"/>
            <w:shd w:fill="F8FAFC"/>
          </w:tcPr>
          <w:p>
            <w:r>
              <w:rPr>
                <w:sz w:val="17"/>
              </w:rPr>
              <w:t>Legal Reserves &amp; Retained Earnings</w:t>
            </w:r>
          </w:p>
        </w:tc>
        <w:tc>
          <w:tcPr>
            <w:tcW w:type="dxa" w:w="1560"/>
            <w:shd w:fill="F8FAFC"/>
          </w:tcPr>
          <w:p>
            <w:r>
              <w:rPr>
                <w:sz w:val="17"/>
              </w:rPr>
              <w:t>32,105</w:t>
            </w:r>
          </w:p>
        </w:tc>
        <w:tc>
          <w:tcPr>
            <w:tcW w:type="dxa" w:w="1560"/>
            <w:shd w:fill="F8FAFC"/>
          </w:tcPr>
          <w:p>
            <w:r>
              <w:rPr>
                <w:sz w:val="17"/>
              </w:rPr>
              <w:t>35,264</w:t>
            </w:r>
          </w:p>
        </w:tc>
        <w:tc>
          <w:tcPr>
            <w:tcW w:type="dxa" w:w="1560"/>
            <w:shd w:fill="F8FAFC"/>
          </w:tcPr>
          <w:p>
            <w:r>
              <w:rPr>
                <w:sz w:val="17"/>
              </w:rPr>
              <w:t>47,654</w:t>
            </w:r>
          </w:p>
        </w:tc>
        <w:tc>
          <w:tcPr>
            <w:tcW w:type="dxa" w:w="1560"/>
            <w:shd w:fill="F8FAFC"/>
          </w:tcPr>
          <w:p>
            <w:r>
              <w:rPr>
                <w:sz w:val="17"/>
              </w:rPr>
              <w:t>60,634</w:t>
            </w:r>
          </w:p>
        </w:tc>
        <w:tc>
          <w:tcPr>
            <w:tcW w:type="dxa" w:w="1560"/>
            <w:shd w:fill="F8FAFC"/>
          </w:tcPr>
          <w:p>
            <w:r>
              <w:rPr>
                <w:sz w:val="17"/>
              </w:rPr>
              <w:t>79,664</w:t>
            </w:r>
          </w:p>
        </w:tc>
      </w:tr>
      <w:tr>
        <w:tc>
          <w:tcPr>
            <w:tcW w:type="dxa" w:w="1560"/>
          </w:tcPr>
          <w:p>
            <w:r>
              <w:rPr>
                <w:sz w:val="17"/>
              </w:rPr>
              <w:t>Non-Controlling Interests (ADQ / ICON)</w:t>
            </w:r>
          </w:p>
        </w:tc>
        <w:tc>
          <w:tcPr>
            <w:tcW w:type="dxa" w:w="1560"/>
          </w:tcPr>
          <w:p>
            <w:r>
              <w:rPr>
                <w:sz w:val="17"/>
              </w:rPr>
              <w:t>0</w:t>
            </w:r>
          </w:p>
        </w:tc>
        <w:tc>
          <w:tcPr>
            <w:tcW w:type="dxa" w:w="1560"/>
          </w:tcPr>
          <w:p>
            <w:r>
              <w:rPr>
                <w:sz w:val="17"/>
              </w:rPr>
              <w:t>0</w:t>
            </w:r>
          </w:p>
        </w:tc>
        <w:tc>
          <w:tcPr>
            <w:tcW w:type="dxa" w:w="1560"/>
          </w:tcPr>
          <w:p>
            <w:r>
              <w:rPr>
                <w:sz w:val="17"/>
              </w:rPr>
              <w:t>0</w:t>
            </w:r>
          </w:p>
        </w:tc>
        <w:tc>
          <w:tcPr>
            <w:tcW w:type="dxa" w:w="1560"/>
          </w:tcPr>
          <w:p>
            <w:r>
              <w:rPr>
                <w:sz w:val="17"/>
              </w:rPr>
              <w:t>33,500</w:t>
            </w:r>
          </w:p>
        </w:tc>
        <w:tc>
          <w:tcPr>
            <w:tcW w:type="dxa" w:w="1560"/>
          </w:tcPr>
          <w:p>
            <w:r>
              <w:rPr>
                <w:sz w:val="17"/>
              </w:rPr>
              <w:t>59,500</w:t>
            </w:r>
          </w:p>
        </w:tc>
      </w:tr>
      <w:tr>
        <w:tc>
          <w:tcPr>
            <w:tcW w:type="dxa" w:w="1560"/>
            <w:shd w:fill="E2E8F0"/>
          </w:tcPr>
          <w:p>
            <w:r>
              <w:rPr>
                <w:b/>
                <w:sz w:val="17"/>
              </w:rPr>
              <w:t>TOTAL SHAREHOLDERS' EQUITY</w:t>
            </w:r>
          </w:p>
        </w:tc>
        <w:tc>
          <w:tcPr>
            <w:tcW w:type="dxa" w:w="1560"/>
            <w:shd w:fill="E2E8F0"/>
          </w:tcPr>
          <w:p>
            <w:r>
              <w:rPr>
                <w:b/>
                <w:sz w:val="17"/>
              </w:rPr>
              <w:t>52,741</w:t>
            </w:r>
          </w:p>
        </w:tc>
        <w:tc>
          <w:tcPr>
            <w:tcW w:type="dxa" w:w="1560"/>
            <w:shd w:fill="E2E8F0"/>
          </w:tcPr>
          <w:p>
            <w:r>
              <w:rPr>
                <w:b/>
                <w:sz w:val="17"/>
              </w:rPr>
              <w:t>55,900</w:t>
            </w:r>
          </w:p>
        </w:tc>
        <w:tc>
          <w:tcPr>
            <w:tcW w:type="dxa" w:w="1560"/>
            <w:shd w:fill="E2E8F0"/>
          </w:tcPr>
          <w:p>
            <w:r>
              <w:rPr>
                <w:b/>
                <w:sz w:val="17"/>
              </w:rPr>
              <w:t>68,290</w:t>
            </w:r>
          </w:p>
        </w:tc>
        <w:tc>
          <w:tcPr>
            <w:tcW w:type="dxa" w:w="1560"/>
            <w:shd w:fill="E2E8F0"/>
          </w:tcPr>
          <w:p>
            <w:r>
              <w:rPr>
                <w:b/>
                <w:sz w:val="17"/>
              </w:rPr>
              <w:t>114,770</w:t>
            </w:r>
          </w:p>
        </w:tc>
        <w:tc>
          <w:tcPr>
            <w:tcW w:type="dxa" w:w="1560"/>
            <w:shd w:fill="E2E8F0"/>
          </w:tcPr>
          <w:p>
            <w:r>
              <w:rPr>
                <w:b/>
                <w:sz w:val="17"/>
              </w:rPr>
              <w:t>159,800</w:t>
            </w:r>
          </w:p>
        </w:tc>
      </w:tr>
      <w:tr>
        <w:tc>
          <w:tcPr>
            <w:tcW w:type="dxa" w:w="1560"/>
            <w:shd w:fill="E2E8F0"/>
          </w:tcPr>
          <w:p>
            <w:r>
              <w:rPr>
                <w:b/>
                <w:sz w:val="17"/>
              </w:rPr>
              <w:t>TOTAL LIABILITIES &amp; EQUITY</w:t>
            </w:r>
          </w:p>
        </w:tc>
        <w:tc>
          <w:tcPr>
            <w:tcW w:type="dxa" w:w="1560"/>
            <w:shd w:fill="E2E8F0"/>
          </w:tcPr>
          <w:p>
            <w:r>
              <w:rPr>
                <w:b/>
                <w:sz w:val="17"/>
              </w:rPr>
              <w:t>111,701</w:t>
            </w:r>
          </w:p>
        </w:tc>
        <w:tc>
          <w:tcPr>
            <w:tcW w:type="dxa" w:w="1560"/>
            <w:shd w:fill="E2E8F0"/>
          </w:tcPr>
          <w:p>
            <w:r>
              <w:rPr>
                <w:b/>
                <w:sz w:val="17"/>
              </w:rPr>
              <w:t>130,400</w:t>
            </w:r>
          </w:p>
        </w:tc>
        <w:tc>
          <w:tcPr>
            <w:tcW w:type="dxa" w:w="1560"/>
            <w:shd w:fill="E2E8F0"/>
          </w:tcPr>
          <w:p>
            <w:r>
              <w:rPr>
                <w:b/>
                <w:sz w:val="17"/>
              </w:rPr>
              <w:t>179,220</w:t>
            </w:r>
          </w:p>
        </w:tc>
        <w:tc>
          <w:tcPr>
            <w:tcW w:type="dxa" w:w="1560"/>
            <w:shd w:fill="E2E8F0"/>
          </w:tcPr>
          <w:p>
            <w:r>
              <w:rPr>
                <w:b/>
                <w:sz w:val="17"/>
              </w:rPr>
              <w:t>278,800</w:t>
            </w:r>
          </w:p>
        </w:tc>
        <w:tc>
          <w:tcPr>
            <w:tcW w:type="dxa" w:w="1560"/>
            <w:shd w:fill="E2E8F0"/>
          </w:tcPr>
          <w:p>
            <w:r>
              <w:rPr>
                <w:b/>
                <w:sz w:val="17"/>
              </w:rPr>
              <w:t>372,200</w:t>
            </w:r>
          </w:p>
        </w:tc>
      </w:tr>
      <w:tr>
        <w:tc>
          <w:tcPr>
            <w:tcW w:type="dxa" w:w="1560"/>
            <w:shd w:fill="E2E8F0"/>
          </w:tcPr>
          <w:p>
            <w:r>
              <w:rPr>
                <w:b/>
                <w:color w:val="047857"/>
                <w:sz w:val="17"/>
              </w:rPr>
              <w:t>ACCOUNTING PARITY RESIDUAL (A - [L+E])</w:t>
            </w:r>
          </w:p>
        </w:tc>
        <w:tc>
          <w:tcPr>
            <w:tcW w:type="dxa" w:w="1560"/>
            <w:shd w:fill="E2E8F0"/>
          </w:tcPr>
          <w:p>
            <w:r>
              <w:rPr>
                <w:b/>
                <w:color w:val="047857"/>
                <w:sz w:val="17"/>
              </w:rPr>
              <w:t>0.00</w:t>
            </w:r>
          </w:p>
        </w:tc>
        <w:tc>
          <w:tcPr>
            <w:tcW w:type="dxa" w:w="1560"/>
            <w:shd w:fill="E2E8F0"/>
          </w:tcPr>
          <w:p>
            <w:r>
              <w:rPr>
                <w:b/>
                <w:color w:val="047857"/>
                <w:sz w:val="17"/>
              </w:rPr>
              <w:t>0.00</w:t>
            </w:r>
          </w:p>
        </w:tc>
        <w:tc>
          <w:tcPr>
            <w:tcW w:type="dxa" w:w="1560"/>
            <w:shd w:fill="E2E8F0"/>
          </w:tcPr>
          <w:p>
            <w:r>
              <w:rPr>
                <w:b/>
                <w:color w:val="047857"/>
                <w:sz w:val="17"/>
              </w:rPr>
              <w:t>0.00</w:t>
            </w:r>
          </w:p>
        </w:tc>
        <w:tc>
          <w:tcPr>
            <w:tcW w:type="dxa" w:w="1560"/>
            <w:shd w:fill="E2E8F0"/>
          </w:tcPr>
          <w:p>
            <w:r>
              <w:rPr>
                <w:b/>
                <w:color w:val="047857"/>
                <w:sz w:val="17"/>
              </w:rPr>
              <w:t>0.00</w:t>
            </w:r>
          </w:p>
        </w:tc>
        <w:tc>
          <w:tcPr>
            <w:tcW w:type="dxa" w:w="1560"/>
            <w:shd w:fill="E2E8F0"/>
          </w:tcPr>
          <w:p>
            <w:r>
              <w:rPr>
                <w:b/>
                <w:color w:val="047857"/>
                <w:sz w:val="17"/>
              </w:rPr>
              <w:t>0.00</w:t>
            </w:r>
          </w:p>
        </w:tc>
      </w:tr>
    </w:tbl>
    <w:p>
      <w:r>
        <w:br w:type="page"/>
      </w:r>
    </w:p>
    <w:p>
      <w:pPr>
        <w:pStyle w:val="Heading1"/>
      </w:pPr>
      <w:r>
        <w:rPr>
          <w:color w:val="1E3A8A"/>
        </w:rPr>
        <w:t>3. Strategic TOWS Roadmap &amp; Advisory Action Plan</w:t>
      </w:r>
    </w:p>
    <w:p>
      <w:r>
        <w:rPr>
          <w:b/>
          <w:color w:val="0284C7"/>
        </w:rPr>
        <w:t>[SO-1: SO (Maxi-Maxi)] Leverage Landbank for Asset-Light Growth</w:t>
        <w:br/>
      </w:r>
      <w:r>
        <w:rPr>
          <w:sz w:val="19"/>
        </w:rPr>
        <w:t>Action: High Priority</w:t>
        <w:br/>
        <w:t xml:space="preserve">Target KPI: Unlocks multi-billion EGP infrastructure, lake, and pool subcontracting packages. | Executive Owner: </w:t>
      </w:r>
    </w:p>
    <w:p>
      <w:r>
        <w:rPr>
          <w:b/>
          <w:color w:val="0284C7"/>
        </w:rPr>
        <w:t>[SO-2: SO (Maxi-Maxi)] Monetize Icon Hotel FX Cash Flows</w:t>
        <w:br/>
      </w:r>
      <w:r>
        <w:rPr>
          <w:sz w:val="19"/>
        </w:rPr>
        <w:t>Action: High Priority</w:t>
        <w:br/>
        <w:t xml:space="preserve">Target KPI: TMG possesses abundant USD liquidity in offshore/hotel arms but keeps it segregated. | Executive Owner: </w:t>
      </w:r>
    </w:p>
    <w:p>
      <w:r>
        <w:rPr>
          <w:b/>
          <w:color w:val="0284C7"/>
        </w:rPr>
        <w:t>[SO-3: SO (Maxi-Maxi)] Scale Commercial Leasing Portfolio</w:t>
        <w:br/>
      </w:r>
      <w:r>
        <w:rPr>
          <w:sz w:val="19"/>
        </w:rPr>
        <w:t>Action: Medium Priority</w:t>
        <w:br/>
        <w:t xml:space="preserve">Target KPI: Steady recurring cash streams strengthen developer balance sheet long-term. | Executive Owner: </w:t>
      </w:r>
    </w:p>
    <w:p>
      <w:r>
        <w:rPr>
          <w:b/>
          <w:color w:val="0284C7"/>
        </w:rPr>
        <w:t>[ST-1: ST (Maxi-Mini)] Centralized Bulk Material Hedging</w:t>
        <w:br/>
      </w:r>
      <w:r>
        <w:rPr>
          <w:sz w:val="19"/>
        </w:rPr>
        <w:t>Action: High Priority</w:t>
        <w:br/>
        <w:t xml:space="preserve">Target KPI: TMG strips material supply margin from contractors, turning them into pure labor/MEP installers. | Executive Owner: </w:t>
      </w:r>
    </w:p>
    <w:p>
      <w:r>
        <w:rPr>
          <w:b/>
          <w:color w:val="0284C7"/>
        </w:rPr>
        <w:t>[ST-2: ST (Maxi-Mini)] FX Debt &amp; Revenue Matching</w:t>
        <w:br/>
      </w:r>
      <w:r>
        <w:rPr>
          <w:sz w:val="19"/>
        </w:rPr>
        <w:t>Action: High Priority</w:t>
        <w:br/>
        <w:t xml:space="preserve">Target KPI: Isolates hotel assets while real estate operations absorb local inflation. | Executive Owner: </w:t>
      </w:r>
    </w:p>
    <w:p>
      <w:r>
        <w:rPr>
          <w:b/>
          <w:color w:val="0284C7"/>
        </w:rPr>
        <w:t>[ST-3: ST (Maxi-Mini)] Flexible Customer Financing</w:t>
        <w:br/>
      </w:r>
      <w:r>
        <w:rPr>
          <w:sz w:val="19"/>
        </w:rPr>
        <w:t>Action: Medium Priority</w:t>
        <w:br/>
        <w:t xml:space="preserve">Target KPI: Stretches collection cycle; increases reliance on contractor working capital float. | Executive Owner: </w:t>
      </w:r>
    </w:p>
    <w:p>
      <w:r>
        <w:rPr>
          <w:b/>
          <w:color w:val="0284C7"/>
        </w:rPr>
        <w:t>[WO-1: WO (Mini-Maxi)] Refinance High-Cost EGP Debt</w:t>
        <w:br/>
      </w:r>
      <w:r>
        <w:rPr>
          <w:sz w:val="19"/>
        </w:rPr>
        <w:t>Action: High Priority</w:t>
        <w:br/>
        <w:t xml:space="preserve">Target KPI: Reduces interest burn (currently EGP 4.56B), releasing cash flow for site execution. | Executive Owner: </w:t>
      </w:r>
    </w:p>
    <w:p>
      <w:r>
        <w:rPr>
          <w:b/>
          <w:color w:val="0284C7"/>
        </w:rPr>
        <w:t>[WO-2: WO (Mini-Maxi)] Accelerate Cash Conversion via Asset Monetization</w:t>
        <w:br/>
      </w:r>
      <w:r>
        <w:rPr>
          <w:sz w:val="19"/>
        </w:rPr>
        <w:t>Action: High Priority</w:t>
        <w:br/>
        <w:t xml:space="preserve">Target KPI: Securitization injections provide non-recourse liquidity for ongoing construction. | Executive Owner: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