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aps/>
          <w:color w:val="B11F4B"/>
          <w:sz w:val="18"/>
          <w:szCs w:val="18"/>
        </w:rPr>
        <w:t xml:space="preserve">DUBAI AIRPORTS YOUTH COUNCIL</w:t>
      </w:r>
    </w:p>
    <w:p>
      <w:pPr>
        <w:pBdr>
          <w:bottom w:val="single" w:color="B11F4B" w:sz="12" w:space="4"/>
        </w:pBdr>
        <w:spacing w:after="40"/>
      </w:pPr>
      <w:r>
        <w:rPr>
          <w:b/>
          <w:bCs/>
          <w:color w:val="242424"/>
          <w:sz w:val="40"/>
          <w:szCs w:val="40"/>
        </w:rPr>
        <w:t xml:space="preserve">Future Travel Experience</w:t>
      </w:r>
    </w:p>
    <w:p>
      <w:pPr>
        <w:spacing w:after="180"/>
      </w:pPr>
      <w:r>
        <w:rPr>
          <w:color w:val="595959"/>
          <w:sz w:val="20"/>
          <w:szCs w:val="20"/>
        </w:rPr>
        <w:t xml:space="preserve">Project Brief  ·  Quarterly Leadership Review  ·  Q2 2026</w:t>
      </w:r>
    </w:p>
    <w:p>
      <w:pPr>
        <w:pStyle w:val="Heading1"/>
      </w:pPr>
      <w:r>
        <w:t xml:space="preserve">Executive Summary</w:t>
      </w:r>
    </w:p>
    <w:p>
      <w:pPr>
        <w:spacing w:after="120" w:line="276"/>
      </w:pPr>
      <w:r>
        <w:t xml:space="preserve">The Youth Council proposes the Future Travel Experience initiative to improve the journey for young and first-time travellers at Dubai International (DXB) and to launch the inaugural Youth Innovation Summit 2026. We request AED 250,000 to fund the summit (AED 150,000) and three operational pilots (AED 100,000): smart wayfinding, a youth lounge corner, and a sustainability nudge programme. H1 2026 passenger-pulse data shows overall satisfaction rising to 4.1 out of 5, with wayfinding the clearest opportunity to improve. We are seeking three decisions from leadership: approve the budget, endorse the November 2026 summit date, and assign an executive sponsor.</w:t>
      </w:r>
    </w:p>
    <w:p>
      <w:pPr>
        <w:pStyle w:val="Heading1"/>
      </w:pPr>
      <w:r>
        <w:t xml:space="preserve">Background &amp; Context</w:t>
      </w:r>
    </w:p>
    <w:p>
      <w:pPr>
        <w:pStyle w:val="ListParagraph"/>
        <w:numPr>
          <w:ilvl w:val="0"/>
          <w:numId w:val="2"/>
        </w:numPr>
        <w:spacing w:after="60"/>
      </w:pPr>
      <w:r>
        <w:t xml:space="preserve">DXB serves 90M+ passengers a year, and the share of young and first-time travellers continues to grow.</w:t>
      </w:r>
    </w:p>
    <w:p>
      <w:pPr>
        <w:pStyle w:val="ListParagraph"/>
        <w:numPr>
          <w:ilvl w:val="0"/>
          <w:numId w:val="2"/>
        </w:numPr>
        <w:spacing w:after="60"/>
      </w:pPr>
      <w:r>
        <w:t xml:space="preserve">Young flyers navigate the airport differently — they are digital-first, value speed and clarity, and expect sustainable, social experiences.</w:t>
      </w:r>
    </w:p>
    <w:p>
      <w:pPr>
        <w:pStyle w:val="ListParagraph"/>
        <w:numPr>
          <w:ilvl w:val="0"/>
          <w:numId w:val="2"/>
        </w:numPr>
        <w:spacing w:after="60"/>
      </w:pPr>
      <w:r>
        <w:t xml:space="preserve">The Youth Council was established to bring this generation’s perspective into the traveller experience, and the Future Travel Experience initiative is its flagship programme for 2026.</w:t>
      </w:r>
    </w:p>
    <w:p>
      <w:pPr>
        <w:pStyle w:val="Heading1"/>
      </w:pPr>
      <w:r>
        <w:t xml:space="preserve">Objectives</w:t>
      </w:r>
    </w:p>
    <w:p>
      <w:pPr>
        <w:pStyle w:val="ListParagraph"/>
        <w:numPr>
          <w:ilvl w:val="0"/>
          <w:numId w:val="2"/>
        </w:numPr>
        <w:spacing w:after="60"/>
      </w:pPr>
      <w:r>
        <w:t xml:space="preserve">Make the journey simpler and more intuitive for young and first-time travellers, starting at Terminal 3.</w:t>
      </w:r>
    </w:p>
    <w:p>
      <w:pPr>
        <w:pStyle w:val="ListParagraph"/>
        <w:numPr>
          <w:ilvl w:val="0"/>
          <w:numId w:val="2"/>
        </w:numPr>
        <w:spacing w:after="60"/>
      </w:pPr>
      <w:r>
        <w:t xml:space="preserve">Pilot three low-cost, high-visibility improvements that can scale if successful.</w:t>
      </w:r>
    </w:p>
    <w:p>
      <w:pPr>
        <w:pStyle w:val="ListParagraph"/>
        <w:numPr>
          <w:ilvl w:val="0"/>
          <w:numId w:val="2"/>
        </w:numPr>
        <w:spacing w:after="60"/>
      </w:pPr>
      <w:r>
        <w:t xml:space="preserve">Launch a recurring Youth Innovation Summit that surfaces traveller ideas and builds Dubai Airports’ talent pipeline.</w:t>
      </w:r>
    </w:p>
    <w:p>
      <w:pPr>
        <w:pStyle w:val="Heading1"/>
      </w:pPr>
      <w:r>
        <w:t xml:space="preserve">Current Status</w:t>
      </w:r>
    </w:p>
    <w:p>
      <w:pPr>
        <w:pStyle w:val="ListParagraph"/>
        <w:numPr>
          <w:ilvl w:val="0"/>
          <w:numId w:val="2"/>
        </w:numPr>
        <w:spacing w:after="60"/>
      </w:pPr>
      <w:r>
        <w:t xml:space="preserve">Six months of passenger-pulse data collected across eight touchpoints, mostly at Terminal 3.</w:t>
      </w:r>
    </w:p>
    <w:p>
      <w:pPr>
        <w:pStyle w:val="ListParagraph"/>
        <w:numPr>
          <w:ilvl w:val="0"/>
          <w:numId w:val="2"/>
        </w:numPr>
        <w:spacing w:after="60"/>
      </w:pPr>
      <w:r>
        <w:t xml:space="preserve">Three pilots scoped and costed with Operations and Commercial input.</w:t>
      </w:r>
    </w:p>
    <w:p>
      <w:pPr>
        <w:pStyle w:val="ListParagraph"/>
        <w:numPr>
          <w:ilvl w:val="0"/>
          <w:numId w:val="2"/>
        </w:numPr>
        <w:spacing w:after="60"/>
      </w:pPr>
      <w:r>
        <w:t xml:space="preserve">Summit concept defined; Terminal 3 innovation space identified as the venue, pending a confirmed date and executive sponsor.</w:t>
      </w:r>
    </w:p>
    <w:p>
      <w:pPr>
        <w:pStyle w:val="Heading1"/>
      </w:pPr>
      <w:r>
        <w:t xml:space="preserve">Survey Highlights</w:t>
      </w:r>
    </w:p>
    <w:p>
      <w:pPr>
        <w:pStyle w:val="ListParagraph"/>
        <w:numPr>
          <w:ilvl w:val="0"/>
          <w:numId w:val="2"/>
        </w:numPr>
        <w:spacing w:after="60"/>
      </w:pPr>
      <w:r>
        <w:rPr>
          <w:b/>
          <w:bCs/>
          <w:color w:val="B11F4B"/>
        </w:rPr>
        <w:t xml:space="preserve">Overall satisfaction is 4.1 / 5 and rising </w:t>
      </w:r>
      <w:r>
        <w:t xml:space="preserve">month over month through H1 2026.</w:t>
      </w:r>
    </w:p>
    <w:p>
      <w:pPr>
        <w:pStyle w:val="ListParagraph"/>
        <w:numPr>
          <w:ilvl w:val="0"/>
          <w:numId w:val="2"/>
        </w:numPr>
        <w:spacing w:after="60"/>
      </w:pPr>
      <w:r>
        <w:rPr>
          <w:b/>
          <w:bCs/>
          <w:color w:val="B11F4B"/>
        </w:rPr>
        <w:t xml:space="preserve">Wayfinding is the weakest touchpoint at ~3.4 </w:t>
      </w:r>
      <w:r>
        <w:t xml:space="preserve">— the clearest improvement opportunity and the basis for the smart-wayfinding pilot.</w:t>
      </w:r>
    </w:p>
    <w:p>
      <w:pPr>
        <w:pStyle w:val="ListParagraph"/>
        <w:numPr>
          <w:ilvl w:val="0"/>
          <w:numId w:val="2"/>
        </w:numPr>
        <w:spacing w:after="60"/>
      </w:pPr>
      <w:r>
        <w:rPr>
          <w:b/>
          <w:bCs/>
          <w:color w:val="B11F4B"/>
        </w:rPr>
        <w:t xml:space="preserve">Digital Services is the strongest at ~4.6, </w:t>
      </w:r>
      <w:r>
        <w:t xml:space="preserve">confirming young travellers’ digital-first preference.</w:t>
      </w:r>
    </w:p>
    <w:p>
      <w:pPr>
        <w:pStyle w:val="ListParagraph"/>
        <w:numPr>
          <w:ilvl w:val="0"/>
          <w:numId w:val="2"/>
        </w:numPr>
        <w:spacing w:after="60"/>
      </w:pPr>
      <w:r>
        <w:rPr>
          <w:b/>
          <w:bCs/>
          <w:color w:val="B11F4B"/>
        </w:rPr>
        <w:t xml:space="preserve">Overall Net Promoter Score is +38, </w:t>
      </w:r>
      <w:r>
        <w:t xml:space="preserve">a healthy base to build on.</w:t>
      </w:r>
    </w:p>
    <w:p>
      <w:pPr>
        <w:pStyle w:val="Heading1"/>
      </w:pPr>
      <w:r>
        <w:t xml:space="preserve">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D9C2CB" w:sz="1"/>
              <w:left w:val="single" w:color="D9C2CB" w:sz="1"/>
              <w:bottom w:val="single" w:color="D9C2CB" w:sz="1"/>
              <w:right w:val="single" w:color="D9C2CB" w:sz="1"/>
            </w:tcBorders>
            <w:shd w:fill="B11F4B" w:val="clear"/>
            <w:tcMar>
              <w:top w:type="dxa" w:w="60"/>
              <w:left w:type="dxa" w:w="120"/>
              <w:bottom w:type="dxa" w:w="60"/>
              <w:right w:type="dxa" w:w="120"/>
            </w:tcMar>
          </w:tcPr>
          <w:p>
            <w:pPr>
              <w:jc w:val="left"/>
            </w:pPr>
            <w:r>
              <w:rPr>
                <w:b/>
                <w:bCs/>
                <w:color w:val="FFFFFF"/>
              </w:rPr>
              <w:t xml:space="preserve">Risk</w:t>
            </w:r>
          </w:p>
        </w:tc>
        <w:tc>
          <w:tcPr>
            <w:tcW w:type="dxa" w:w="2400"/>
            <w:tcBorders>
              <w:top w:val="single" w:color="D9C2CB" w:sz="1"/>
              <w:left w:val="single" w:color="D9C2CB" w:sz="1"/>
              <w:bottom w:val="single" w:color="D9C2CB" w:sz="1"/>
              <w:right w:val="single" w:color="D9C2CB" w:sz="1"/>
            </w:tcBorders>
            <w:shd w:fill="B11F4B" w:val="clear"/>
            <w:tcMar>
              <w:top w:type="dxa" w:w="60"/>
              <w:left w:type="dxa" w:w="120"/>
              <w:bottom w:type="dxa" w:w="60"/>
              <w:right w:type="dxa" w:w="120"/>
            </w:tcMar>
          </w:tcPr>
          <w:p>
            <w:pPr>
              <w:jc w:val="left"/>
            </w:pPr>
            <w:r>
              <w:rPr>
                <w:b/>
                <w:bCs/>
                <w:color w:val="FFFFFF"/>
              </w:rPr>
              <w:t xml:space="preserve">Impact</w:t>
            </w:r>
          </w:p>
        </w:tc>
        <w:tc>
          <w:tcPr>
            <w:tcW w:type="dxa" w:w="4360"/>
            <w:tcBorders>
              <w:top w:val="single" w:color="D9C2CB" w:sz="1"/>
              <w:left w:val="single" w:color="D9C2CB" w:sz="1"/>
              <w:bottom w:val="single" w:color="D9C2CB" w:sz="1"/>
              <w:right w:val="single" w:color="D9C2CB" w:sz="1"/>
            </w:tcBorders>
            <w:shd w:fill="B11F4B" w:val="clear"/>
            <w:tcMar>
              <w:top w:type="dxa" w:w="60"/>
              <w:left w:type="dxa" w:w="120"/>
              <w:bottom w:type="dxa" w:w="60"/>
              <w:right w:type="dxa" w:w="120"/>
            </w:tcMar>
          </w:tcPr>
          <w:p>
            <w:pPr>
              <w:jc w:val="left"/>
            </w:pPr>
            <w:r>
              <w:rPr>
                <w:b/>
                <w:bCs/>
                <w:color w:val="FFFFFF"/>
              </w:rPr>
              <w:t xml:space="preserve">Mitigation</w:t>
            </w:r>
          </w:p>
        </w:tc>
      </w:tr>
      <w:tr>
        <w:tc>
          <w:tcPr>
            <w:tcW w:type="dxa" w:w="26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bCs/>
                <w:color w:val="242424"/>
              </w:rPr>
              <w:t xml:space="preserve">Budget timing</w:t>
            </w:r>
          </w:p>
        </w:tc>
        <w:tc>
          <w:tcPr>
            <w:tcW w:type="dxa" w:w="24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Funds may not clear before pilots begin</w:t>
            </w:r>
          </w:p>
        </w:tc>
        <w:tc>
          <w:tcPr>
            <w:tcW w:type="dxa" w:w="436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Confirm cost-centre split with Finance by 30 June; phase spend so pilots start on approved tranches</w:t>
            </w:r>
          </w:p>
        </w:tc>
      </w:tr>
      <w:tr>
        <w:tc>
          <w:tcPr>
            <w:tcW w:type="dxa" w:w="26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bCs/>
                <w:color w:val="242424"/>
              </w:rPr>
              <w:t xml:space="preserve">Volunteer availability in peak season</w:t>
            </w:r>
          </w:p>
        </w:tc>
        <w:tc>
          <w:tcPr>
            <w:tcW w:type="dxa" w:w="24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Summer and Q4 travel peaks limit youth volunteer hours</w:t>
            </w:r>
          </w:p>
        </w:tc>
        <w:tc>
          <w:tcPr>
            <w:tcW w:type="dxa" w:w="436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Recruit early, build a rota with backups, and keep summit tasks modular</w:t>
            </w:r>
          </w:p>
        </w:tc>
      </w:tr>
      <w:tr>
        <w:tc>
          <w:tcPr>
            <w:tcW w:type="dxa" w:w="26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bCs/>
                <w:color w:val="242424"/>
              </w:rPr>
              <w:t xml:space="preserve">Cross-department coordination</w:t>
            </w:r>
          </w:p>
        </w:tc>
        <w:tc>
          <w:tcPr>
            <w:tcW w:type="dxa" w:w="24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Operations, Commercial and IT must align on pilots</w:t>
            </w:r>
          </w:p>
        </w:tc>
        <w:tc>
          <w:tcPr>
            <w:tcW w:type="dxa" w:w="436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Assign an executive sponsor and a single point of contact per pilot</w:t>
            </w:r>
          </w:p>
        </w:tc>
      </w:tr>
    </w:tbl>
    <w:p>
      <w:pPr>
        <w:spacing w:after="120"/>
      </w:pPr>
    </w:p>
    <w:p>
      <w:pPr>
        <w:pStyle w:val="Heading1"/>
      </w:pPr>
      <w:r>
        <w:t xml:space="preserve">Budget Request</w:t>
      </w:r>
    </w:p>
    <w:p>
      <w:pPr>
        <w:spacing w:after="120" w:line="276"/>
      </w:pPr>
      <w:r>
        <w:t xml:space="preserve">We request AED 250,000, to be split across two cost centres per Finance guidance — the summit (AED 150,000) under the Experience &amp; Events centre and the three pilots (AED 100,000) under the Operations Innovation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160"/>
        <w:gridCol w:w="1800"/>
      </w:tblGrid>
      <w:tr>
        <w:tc>
          <w:tcPr>
            <w:tcW w:type="dxa" w:w="3400"/>
            <w:tcBorders>
              <w:top w:val="single" w:color="D9C2CB" w:sz="1"/>
              <w:left w:val="single" w:color="D9C2CB" w:sz="1"/>
              <w:bottom w:val="single" w:color="D9C2CB" w:sz="1"/>
              <w:right w:val="single" w:color="D9C2CB" w:sz="1"/>
            </w:tcBorders>
            <w:shd w:fill="B11F4B" w:val="clear"/>
            <w:tcMar>
              <w:top w:type="dxa" w:w="60"/>
              <w:left w:type="dxa" w:w="120"/>
              <w:bottom w:type="dxa" w:w="60"/>
              <w:right w:type="dxa" w:w="120"/>
            </w:tcMar>
          </w:tcPr>
          <w:p>
            <w:pPr>
              <w:jc w:val="left"/>
            </w:pPr>
            <w:r>
              <w:rPr>
                <w:b/>
                <w:bCs/>
                <w:color w:val="FFFFFF"/>
              </w:rPr>
              <w:t xml:space="preserve">Item</w:t>
            </w:r>
          </w:p>
        </w:tc>
        <w:tc>
          <w:tcPr>
            <w:tcW w:type="dxa" w:w="4160"/>
            <w:tcBorders>
              <w:top w:val="single" w:color="D9C2CB" w:sz="1"/>
              <w:left w:val="single" w:color="D9C2CB" w:sz="1"/>
              <w:bottom w:val="single" w:color="D9C2CB" w:sz="1"/>
              <w:right w:val="single" w:color="D9C2CB" w:sz="1"/>
            </w:tcBorders>
            <w:shd w:fill="B11F4B" w:val="clear"/>
            <w:tcMar>
              <w:top w:type="dxa" w:w="60"/>
              <w:left w:type="dxa" w:w="120"/>
              <w:bottom w:type="dxa" w:w="60"/>
              <w:right w:type="dxa" w:w="120"/>
            </w:tcMar>
          </w:tcPr>
          <w:p>
            <w:pPr>
              <w:jc w:val="left"/>
            </w:pPr>
            <w:r>
              <w:rPr>
                <w:b/>
                <w:bCs/>
                <w:color w:val="FFFFFF"/>
              </w:rPr>
              <w:t xml:space="preserve">Description</w:t>
            </w:r>
          </w:p>
        </w:tc>
        <w:tc>
          <w:tcPr>
            <w:tcW w:type="dxa" w:w="1800"/>
            <w:tcBorders>
              <w:top w:val="single" w:color="D9C2CB" w:sz="1"/>
              <w:left w:val="single" w:color="D9C2CB" w:sz="1"/>
              <w:bottom w:val="single" w:color="D9C2CB" w:sz="1"/>
              <w:right w:val="single" w:color="D9C2CB" w:sz="1"/>
            </w:tcBorders>
            <w:shd w:fill="B11F4B" w:val="clear"/>
            <w:tcMar>
              <w:top w:type="dxa" w:w="60"/>
              <w:left w:type="dxa" w:w="120"/>
              <w:bottom w:type="dxa" w:w="60"/>
              <w:right w:type="dxa" w:w="120"/>
            </w:tcMar>
          </w:tcPr>
          <w:p>
            <w:pPr>
              <w:jc w:val="right"/>
            </w:pPr>
            <w:r>
              <w:rPr>
                <w:b/>
                <w:bCs/>
                <w:color w:val="FFFFFF"/>
              </w:rPr>
              <w:t xml:space="preserve">Amount (AED)</w:t>
            </w:r>
          </w:p>
        </w:tc>
      </w:tr>
      <w:tr>
        <w:tc>
          <w:tcPr>
            <w:tcW w:type="dxa" w:w="34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Youth Innovation Summit 2026</w:t>
            </w:r>
          </w:p>
        </w:tc>
        <w:tc>
          <w:tcPr>
            <w:tcW w:type="dxa" w:w="416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Venue fit-out, speakers, youth bursaries, catering, content production</w:t>
            </w:r>
          </w:p>
        </w:tc>
        <w:tc>
          <w:tcPr>
            <w:tcW w:type="dxa" w:w="18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right"/>
            </w:pPr>
            <w:r>
              <w:rPr>
                <w:b w:val="false"/>
                <w:bCs w:val="false"/>
                <w:color w:val="242424"/>
              </w:rPr>
              <w:t xml:space="preserve">150,000</w:t>
            </w:r>
          </w:p>
        </w:tc>
      </w:tr>
      <w:tr>
        <w:tc>
          <w:tcPr>
            <w:tcW w:type="dxa" w:w="34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Pilot — Smart wayfinding</w:t>
            </w:r>
          </w:p>
        </w:tc>
        <w:tc>
          <w:tcPr>
            <w:tcW w:type="dxa" w:w="416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Digital signage trial and intuitive directional cues at T3</w:t>
            </w:r>
          </w:p>
        </w:tc>
        <w:tc>
          <w:tcPr>
            <w:tcW w:type="dxa" w:w="18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right"/>
            </w:pPr>
            <w:r>
              <w:rPr>
                <w:b w:val="false"/>
                <w:bCs w:val="false"/>
                <w:color w:val="242424"/>
              </w:rPr>
              <w:t xml:space="preserve">45,000</w:t>
            </w:r>
          </w:p>
        </w:tc>
      </w:tr>
      <w:tr>
        <w:tc>
          <w:tcPr>
            <w:tcW w:type="dxa" w:w="34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Pilot — Youth lounge corner</w:t>
            </w:r>
          </w:p>
        </w:tc>
        <w:tc>
          <w:tcPr>
            <w:tcW w:type="dxa" w:w="416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Dedicated rest-and-charge space for young and first-time flyers</w:t>
            </w:r>
          </w:p>
        </w:tc>
        <w:tc>
          <w:tcPr>
            <w:tcW w:type="dxa" w:w="18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right"/>
            </w:pPr>
            <w:r>
              <w:rPr>
                <w:b w:val="false"/>
                <w:bCs w:val="false"/>
                <w:color w:val="242424"/>
              </w:rPr>
              <w:t xml:space="preserve">35,000</w:t>
            </w:r>
          </w:p>
        </w:tc>
      </w:tr>
      <w:tr>
        <w:tc>
          <w:tcPr>
            <w:tcW w:type="dxa" w:w="34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Pilot — Sustainability nudge</w:t>
            </w:r>
          </w:p>
        </w:tc>
        <w:tc>
          <w:tcPr>
            <w:tcW w:type="dxa" w:w="416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Behavioural prompts encouraging greener traveller choices</w:t>
            </w:r>
          </w:p>
        </w:tc>
        <w:tc>
          <w:tcPr>
            <w:tcW w:type="dxa" w:w="18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right"/>
            </w:pPr>
            <w:r>
              <w:rPr>
                <w:b w:val="false"/>
                <w:bCs w:val="false"/>
                <w:color w:val="242424"/>
              </w:rPr>
              <w:t xml:space="preserve">20,000</w:t>
            </w:r>
          </w:p>
        </w:tc>
      </w:tr>
      <w:tr>
        <w:tc>
          <w:tcPr>
            <w:tcW w:type="dxa" w:w="34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bCs/>
                <w:color w:val="242424"/>
              </w:rPr>
              <w:t xml:space="preserve">Total requested</w:t>
            </w:r>
          </w:p>
        </w:tc>
        <w:tc>
          <w:tcPr>
            <w:tcW w:type="dxa" w:w="416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left"/>
            </w:pPr>
            <w:r>
              <w:rPr>
                <w:b w:val="false"/>
                <w:bCs w:val="false"/>
                <w:color w:val="242424"/>
              </w:rPr>
              <w:t xml:space="preserve">Summit (AED 150,000) + three pilots (AED 100,000)</w:t>
            </w:r>
          </w:p>
        </w:tc>
        <w:tc>
          <w:tcPr>
            <w:tcW w:type="dxa" w:w="1800"/>
            <w:tcBorders>
              <w:top w:val="single" w:color="D9C2CB" w:sz="1"/>
              <w:left w:val="single" w:color="D9C2CB" w:sz="1"/>
              <w:bottom w:val="single" w:color="D9C2CB" w:sz="1"/>
              <w:right w:val="single" w:color="D9C2CB" w:sz="1"/>
            </w:tcBorders>
            <w:shd w:fill="FFFFFF" w:val="clear"/>
            <w:tcMar>
              <w:top w:type="dxa" w:w="60"/>
              <w:left w:type="dxa" w:w="120"/>
              <w:bottom w:type="dxa" w:w="60"/>
              <w:right w:type="dxa" w:w="120"/>
            </w:tcMar>
          </w:tcPr>
          <w:p>
            <w:pPr>
              <w:jc w:val="right"/>
            </w:pPr>
            <w:r>
              <w:rPr>
                <w:b/>
                <w:bCs/>
                <w:color w:val="242424"/>
              </w:rPr>
              <w:t xml:space="preserve">250,000</w:t>
            </w:r>
          </w:p>
        </w:tc>
      </w:tr>
    </w:tbl>
    <w:p>
      <w:pPr>
        <w:spacing w:after="120"/>
      </w:pPr>
    </w:p>
    <w:p>
      <w:pPr>
        <w:pStyle w:val="Heading1"/>
      </w:pPr>
      <w:r>
        <w:t xml:space="preserve">Decisions Required</w:t>
      </w:r>
    </w:p>
    <w:p>
      <w:pPr>
        <w:pStyle w:val="ListParagraph"/>
        <w:numPr>
          <w:ilvl w:val="0"/>
          <w:numId w:val="2"/>
        </w:numPr>
        <w:spacing w:after="60"/>
      </w:pPr>
      <w:r>
        <w:rPr>
          <w:b/>
          <w:bCs/>
          <w:color w:val="B11F4B"/>
        </w:rPr>
        <w:t xml:space="preserve">Approve the budget </w:t>
      </w:r>
      <w:r>
        <w:t xml:space="preserve">of AED 250,000 (summit plus three pilots).</w:t>
      </w:r>
    </w:p>
    <w:p>
      <w:pPr>
        <w:pStyle w:val="ListParagraph"/>
        <w:numPr>
          <w:ilvl w:val="0"/>
          <w:numId w:val="2"/>
        </w:numPr>
        <w:spacing w:after="60"/>
      </w:pPr>
      <w:r>
        <w:rPr>
          <w:b/>
          <w:bCs/>
          <w:color w:val="B11F4B"/>
        </w:rPr>
        <w:t xml:space="preserve">Endorse the date </w:t>
      </w:r>
      <w:r>
        <w:t xml:space="preserve">— the Youth Innovation Summit 2026 in November 2026 (final date to be confirmed in the late-November window to avoid the scheduled systems upgrade).</w:t>
      </w:r>
    </w:p>
    <w:p>
      <w:pPr>
        <w:pStyle w:val="ListParagraph"/>
        <w:numPr>
          <w:ilvl w:val="0"/>
          <w:numId w:val="2"/>
        </w:numPr>
        <w:spacing w:after="60"/>
      </w:pPr>
      <w:r>
        <w:rPr>
          <w:b/>
          <w:bCs/>
          <w:color w:val="B11F4B"/>
        </w:rPr>
        <w:t xml:space="preserve">Assign an executive sponsor </w:t>
      </w:r>
      <w:r>
        <w:t xml:space="preserve">to champion the initiative and unblock cross-department coordination.</w:t>
      </w:r>
    </w:p>
    <w:p>
      <w:pPr>
        <w:pStyle w:val="Heading1"/>
      </w:pPr>
      <w:r>
        <w:t xml:space="preserve">Next Steps</w:t>
      </w:r>
    </w:p>
    <w:p>
      <w:pPr>
        <w:pStyle w:val="ListParagraph"/>
        <w:numPr>
          <w:ilvl w:val="0"/>
          <w:numId w:val="2"/>
        </w:numPr>
        <w:spacing w:after="60"/>
      </w:pPr>
      <w:r>
        <w:t xml:space="preserve">By Thursday 25 June: circulate the final one-page brief, budget and proposed date to the sponsor group.</w:t>
      </w:r>
    </w:p>
    <w:p>
      <w:pPr>
        <w:pStyle w:val="ListParagraph"/>
        <w:numPr>
          <w:ilvl w:val="0"/>
          <w:numId w:val="2"/>
        </w:numPr>
        <w:spacing w:after="60"/>
      </w:pPr>
      <w:r>
        <w:t xml:space="preserve">By 30 June: confirm the cost-centre split with Finance.</w:t>
      </w:r>
    </w:p>
    <w:p>
      <w:pPr>
        <w:pStyle w:val="ListParagraph"/>
        <w:numPr>
          <w:ilvl w:val="0"/>
          <w:numId w:val="2"/>
        </w:numPr>
        <w:spacing w:after="60"/>
      </w:pPr>
      <w:r>
        <w:t xml:space="preserve">Mid-July: confirm the executive sponsor and place a firm hold on the Terminal 3 innovation space.</w:t>
      </w:r>
    </w:p>
    <w:p>
      <w:pPr>
        <w:pStyle w:val="ListParagraph"/>
        <w:numPr>
          <w:ilvl w:val="0"/>
          <w:numId w:val="2"/>
        </w:numPr>
        <w:spacing w:after="60"/>
      </w:pPr>
      <w:r>
        <w:t xml:space="preserve">September–October 2026: open the call for youth submissions and run the three pilots.</w:t>
      </w:r>
    </w:p>
    <w:p>
      <w:pPr>
        <w:pStyle w:val="ListParagraph"/>
        <w:numPr>
          <w:ilvl w:val="0"/>
          <w:numId w:val="2"/>
        </w:numPr>
        <w:spacing w:after="60"/>
      </w:pPr>
      <w:r>
        <w:t xml:space="preserve">November 2026: deliver the inaugural Youth Innovation Summit at Terminal 3.</w:t>
      </w:r>
    </w:p>
    <w:sectPr>
      <w:footerReference w:type="default" r:id="rId6"/>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Dubai Airports Youth Council  ·  Future Travel Experience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B11F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4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00"/>
      <w:outlineLvl w:val="0"/>
    </w:pPr>
    <w:rPr>
      <w:rFonts w:ascii="Calibri" w:cs="Calibri" w:eastAsia="Calibri" w:hAnsi="Calibri"/>
      <w:b/>
      <w:bCs/>
      <w:color w:val="B11F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2026-06-22T07:34:39.694Z</dcterms:created>
  <dcterms:modified xsi:type="dcterms:W3CDTF">2026-06-22T07:34:39.699Z</dcterms:modified>
</cp:coreProperties>
</file>

<file path=docProps/custom.xml><?xml version="1.0" encoding="utf-8"?>
<Properties xmlns="http://schemas.openxmlformats.org/officeDocument/2006/custom-properties" xmlns:vt="http://schemas.openxmlformats.org/officeDocument/2006/docPropsVTypes"/>
</file>