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40"/>
        <w:jc w:val="center"/>
      </w:pPr>
      <w:r>
        <w:rPr>
          <w:b w:val="0"/>
          <w:i w:val="0"/>
          <w:smallCaps w:val="0"/>
          <w:sz w:val="48"/>
        </w:rPr>
        <w:t>Hardware-Aware AI-Assisted Beam Training, Tracking, and Channel Estimation for RIS-Assisted mmWave UAV Links</w:t>
      </w:r>
    </w:p>
    <w:p>
      <w:pPr>
        <w:keepNext w:val="0"/>
        <w:spacing w:before="0" w:after="0"/>
        <w:jc w:val="center"/>
      </w:pPr>
      <w:r>
        <w:rPr>
          <w:b w:val="0"/>
          <w:i w:val="0"/>
          <w:smallCaps w:val="0"/>
          <w:sz w:val="22"/>
        </w:rPr>
        <w:t>Maavia</w:t>
      </w:r>
    </w:p>
    <w:p>
      <w:pPr>
        <w:keepNext w:val="0"/>
        <w:spacing w:before="0" w:after="0"/>
        <w:jc w:val="center"/>
      </w:pPr>
      <w:r>
        <w:rPr>
          <w:b w:val="0"/>
          <w:i/>
          <w:smallCaps w:val="0"/>
          <w:sz w:val="20"/>
        </w:rPr>
        <w:t>Department of Computer Science</w:t>
      </w:r>
    </w:p>
    <w:p>
      <w:pPr>
        <w:keepNext w:val="0"/>
        <w:spacing w:before="0" w:after="0"/>
        <w:jc w:val="center"/>
      </w:pPr>
      <w:r>
        <w:rPr>
          <w:b w:val="0"/>
          <w:i/>
          <w:smallCaps w:val="0"/>
          <w:sz w:val="20"/>
        </w:rPr>
        <w:t>Institute of Space Technology (IST)</w:t>
      </w:r>
    </w:p>
    <w:p>
      <w:pPr>
        <w:keepNext w:val="0"/>
        <w:spacing w:before="0" w:after="360"/>
        <w:jc w:val="center"/>
      </w:pPr>
      <w:r>
        <w:rPr>
          <w:b w:val="0"/>
          <w:i/>
          <w:smallCaps w:val="0"/>
          <w:sz w:val="20"/>
        </w:rPr>
        <w:t>Islamabad, Pakistan</w:t>
      </w:r>
    </w:p>
    <w:p>
      <w:pPr>
        <w:sectPr>
          <w:pgSz w:w="12240" w:h="15840"/>
          <w:pgMar w:top="1080" w:right="900" w:bottom="1440" w:left="900" w:header="720" w:footer="720" w:gutter="0"/>
          <w:cols w:space="360" w:num="1"/>
          <w:docGrid w:linePitch="360"/>
        </w:sectPr>
      </w:pPr>
    </w:p>
    <w:p>
      <w:pPr>
        <w:keepNext w:val="0"/>
        <w:spacing w:before="0" w:after="120"/>
        <w:ind w:firstLine="288"/>
        <w:jc w:val="both"/>
      </w:pPr>
      <w:r>
        <w:rPr>
          <w:b/>
          <w:i/>
          <w:smallCaps w:val="0"/>
          <w:sz w:val="18"/>
        </w:rPr>
        <w:t>Abstract—</w:t>
      </w:r>
      <w:r>
        <w:rPr>
          <w:b/>
          <w:i w:val="0"/>
          <w:smallCaps w:val="0"/>
          <w:sz w:val="18"/>
        </w:rPr>
        <w:t>Millimetre-wave (mmWave) and sub-terahertz links can give unmanned aerial vehicles (UAVs) multi-gigabit connectivity, but narrow beams, high path loss and UAV mobility make beam management costly, and practical hardware departs from the ideal models most reconfigurable intelligent surface (RIS) studies assume. We present a hardware-aware framework for an RIS-assisted 60 GHz UAV link that models transmitter power-amplifier (PA) distortion through the Bussgang decomposition, RIS phase quantization, phase noise, amplitude–phase coupling and antenna mismatch, together with ITU-R P.676-13 gaseous absorption. On this model we show that (i) impairments cost 7.8 dB of SNDR, dominated by amplitude–phase coupling, so a realistic RIS needs about 2.25× more elements than an ideal one for full coverage of a 300 m flight; (ii) a position-parametric channel estimator reaches within 0.15 dB of perfect channel knowledge with 64× fewer pilots than per-element LMMSE, and needs no pilots when a 100 ms Kalman prediction is available; and (iii) predictive tracking delivers 99.3% of the ideal array gain at 500 ms latency, whereas persistence delivers 63%. On real 60 GHz measurements (DeepSense 6G Scenario 23) we show that exact blind beam prediction is bounded at 79% top-1 by measurement noise, and propose an AI-assisted reduced beam training scheme with a learned beam-tie graph. At a 140 ms horizon it selects the exact optimal beam 99.3% of the time (macro-F1 0.961 over all 56 beam classes) with 0.55 ms of beam training, 9× less than a full sweep; at a 0.4 s horizon it reaches 99.1% exact top-1 and macro-F1 0.974 over beams with at least five samples, under sequence-level nested cross-validation.</w:t>
      </w:r>
    </w:p>
    <w:p>
      <w:pPr>
        <w:keepNext w:val="0"/>
        <w:spacing w:before="0" w:after="120"/>
        <w:ind w:firstLine="288"/>
        <w:jc w:val="both"/>
      </w:pPr>
      <w:r>
        <w:rPr>
          <w:b/>
          <w:i/>
          <w:smallCaps w:val="0"/>
          <w:sz w:val="18"/>
        </w:rPr>
        <w:t>Index Terms—</w:t>
      </w:r>
      <w:r>
        <w:rPr>
          <w:b/>
          <w:i w:val="0"/>
          <w:smallCaps w:val="0"/>
          <w:sz w:val="18"/>
        </w:rPr>
        <w:t>mmWave, sub-THz, UAV, reconfigurable intelligent surface, beam training, beam tracking, channel estimation, hardware impairments, deep learning.</w:t>
      </w:r>
    </w:p>
    <w:p>
      <w:pPr>
        <w:keepNext/>
        <w:spacing w:before="160" w:after="80"/>
        <w:jc w:val="center"/>
      </w:pPr>
      <w:r>
        <w:rPr>
          <w:b w:val="0"/>
          <w:i w:val="0"/>
          <w:smallCaps/>
          <w:sz w:val="20"/>
        </w:rPr>
        <w:t>I. Introduction</w:t>
      </w:r>
    </w:p>
    <w:p>
      <w:pPr>
        <w:keepNext w:val="0"/>
        <w:spacing w:before="0" w:after="0"/>
        <w:ind w:firstLine="288"/>
        <w:jc w:val="both"/>
      </w:pPr>
      <w:r>
        <w:rPr>
          <w:b w:val="0"/>
          <w:i w:val="0"/>
          <w:smallCaps w:val="0"/>
          <w:sz w:val="20"/>
        </w:rPr>
        <w:t>Sixth-generation (6G) systems target mmWave and sub-THz bands for their large bandwidths [1], [2]. UAVs benefit directly, as aerial base stations, relays and sensing platforms, but high-frequency links depend on narrow beams that a moving UAV quickly leaves. Exhaustive beam sweeping costs time that a fast link cannot spare, which has motivated learning-based beam prediction from position and vision [3], [4]. Reconfigurable intelligent surfaces (RISs) add a programmable reflection path when the direct link is blocked [14], but real RIS hardware and transceivers are not ideal: transceiver distortion and RIS phase noise change both performance and the optimal configuration [5], [6], and a practical RIS element couples its reflection amplitude to its phase [15].</w:t>
      </w:r>
    </w:p>
    <w:p>
      <w:pPr>
        <w:keepNext w:val="0"/>
        <w:spacing w:before="0" w:after="0"/>
        <w:ind w:firstLine="288"/>
        <w:jc w:val="both"/>
      </w:pPr>
      <w:r>
        <w:rPr>
          <w:b w:val="0"/>
          <w:i w:val="0"/>
          <w:smallCaps w:val="0"/>
          <w:sz w:val="20"/>
        </w:rPr>
        <w:t>Three gaps motivate this work. First, RIS–UAV studies often pair idealised hardware with idealised link budgets, which hides the hardware cost. Second, phase-tracking studies frequently score controllers by per-element phase error, a metric that, as we show, says nothing about received power. Third, beam prediction results on public datasets are easy to overstate: in the dataset we use, the ground-truth beam is the argmax of the same power sweep often used as input, and consecutive samples are nearly identical, so random splits leak.</w:t>
      </w:r>
    </w:p>
    <w:p>
      <w:pPr>
        <w:keepNext w:val="0"/>
        <w:spacing w:before="0" w:after="0"/>
        <w:ind w:firstLine="288"/>
        <w:jc w:val="both"/>
      </w:pPr>
      <w:r>
        <w:rPr>
          <w:b/>
          <w:i w:val="0"/>
          <w:smallCaps w:val="0"/>
          <w:sz w:val="20"/>
        </w:rPr>
        <w:t>Contributions.</w:t>
      </w:r>
    </w:p>
    <w:p>
      <w:pPr>
        <w:keepNext w:val="0"/>
        <w:tabs>
          <w:tab w:pos="648" w:val="left"/>
        </w:tabs>
        <w:spacing w:before="0" w:after="0"/>
        <w:ind w:left="648" w:hanging="360"/>
        <w:jc w:val="both"/>
      </w:pPr>
      <w:r>
        <w:rPr>
          <w:b w:val="0"/>
          <w:i w:val="0"/>
          <w:smallCaps w:val="0"/>
          <w:sz w:val="20"/>
        </w:rPr>
        <w:t>1)</w:t>
        <w:tab/>
        <w:t>A hardware-aware RIS–UAV link model with transmitter PA distortion (Bussgang SNDR), RIS phase quantization, phase noise, amplitude–phase coupling and S11 mismatch, on a full ITU-R P.676-13 absorption model, with an impairment ablation and an RIS sizing rule (Sec. II, VI-A).</w:t>
      </w:r>
    </w:p>
    <w:p>
      <w:pPr>
        <w:keepNext w:val="0"/>
        <w:tabs>
          <w:tab w:pos="648" w:val="left"/>
        </w:tabs>
        <w:spacing w:before="0" w:after="0"/>
        <w:ind w:left="648" w:hanging="360"/>
        <w:jc w:val="both"/>
      </w:pPr>
      <w:r>
        <w:rPr>
          <w:b w:val="0"/>
          <w:i w:val="0"/>
          <w:smallCaps w:val="0"/>
          <w:sz w:val="20"/>
        </w:rPr>
        <w:t>2)</w:t>
        <w:tab/>
        <w:t>Hardware-aware control and estimation: a coupling-aware discrete phase search, an LMMSE estimator that inverts the hardware's realised training patterns, and a position-parametric estimator with an adaptive pilot budget (Sec. III, VI-B).</w:t>
      </w:r>
    </w:p>
    <w:p>
      <w:pPr>
        <w:keepNext w:val="0"/>
        <w:tabs>
          <w:tab w:pos="648" w:val="left"/>
        </w:tabs>
        <w:spacing w:before="0" w:after="0"/>
        <w:ind w:left="648" w:hanging="360"/>
        <w:jc w:val="both"/>
      </w:pPr>
      <w:r>
        <w:rPr>
          <w:b w:val="0"/>
          <w:i w:val="0"/>
          <w:smallCaps w:val="0"/>
          <w:sz w:val="20"/>
        </w:rPr>
        <w:t>3)</w:t>
        <w:tab/>
        <w:t>A predictive tracking study scored by delivered array gain, showing that position-based RIS control works at realistic sensor precision once the right metric is used (Sec. IV, VI-C).</w:t>
      </w:r>
    </w:p>
    <w:p>
      <w:pPr>
        <w:keepNext w:val="0"/>
        <w:tabs>
          <w:tab w:pos="648" w:val="left"/>
        </w:tabs>
        <w:spacing w:before="0" w:after="0"/>
        <w:ind w:left="648" w:hanging="360"/>
        <w:jc w:val="both"/>
      </w:pPr>
      <w:r>
        <w:rPr>
          <w:b w:val="0"/>
          <w:i w:val="0"/>
          <w:smallCaps w:val="0"/>
          <w:sz w:val="20"/>
        </w:rPr>
        <w:t>4)</w:t>
        <w:tab/>
        <w:t>On real 60 GHz measurements, a proof that exact blind beam prediction is noise-limited, a GRU trained on a soft power target, a learned beam-tie graph, and an AI-assisted reduced beam training scheme meeting ≥ 95% exact top-1 and macro-F1 at sub-millisecond beam-training latency, evaluated with sequence-level nested cross-validation and bootstrap confidence intervals (Sec. V, VI-D).</w:t>
      </w:r>
    </w:p>
    <w:p>
      <w:pPr>
        <w:keepNext/>
        <w:spacing w:before="160" w:after="80"/>
        <w:jc w:val="center"/>
      </w:pPr>
      <w:r>
        <w:rPr>
          <w:b w:val="0"/>
          <w:i w:val="0"/>
          <w:smallCaps/>
          <w:sz w:val="20"/>
        </w:rPr>
        <w:t>II. System Model</w:t>
      </w:r>
    </w:p>
    <w:p>
      <w:pPr>
        <w:keepNext/>
        <w:spacing w:before="80" w:after="40"/>
        <w:jc w:val="left"/>
      </w:pPr>
      <w:r>
        <w:rPr>
          <w:b w:val="0"/>
          <w:i/>
          <w:smallCaps w:val="0"/>
          <w:sz w:val="20"/>
        </w:rPr>
        <w:t>A. Geometry</w:t>
      </w:r>
    </w:p>
    <w:p>
      <w:pPr>
        <w:keepNext w:val="0"/>
        <w:spacing w:before="0" w:after="0"/>
        <w:ind w:firstLine="288"/>
        <w:jc w:val="both"/>
      </w:pPr>
      <w:r>
        <w:rPr>
          <w:b w:val="0"/>
          <w:i w:val="0"/>
          <w:smallCaps w:val="0"/>
          <w:sz w:val="20"/>
        </w:rPr>
        <w:t>A fixed base station (BS) at (25, −15, 10) m serves a UAV through an N-element RIS whose direct path is blocked. The RIS is a 32×32 uniform planar array with λ/2 spacing (8 cm aperture at 60 GHz), mounted on a facade at (0, 0, 20) m with outward normal +x; it serves only the half-space in front of it. The UAV flies at 10 m/s; trajectories cover straight, diagonal, climbing, descending, circular, helical and waypoint paths, all in front of the panel.</w:t>
      </w:r>
    </w:p>
    <w:p>
      <w:pPr>
        <w:keepNext/>
        <w:spacing w:before="80" w:after="40"/>
        <w:jc w:val="left"/>
      </w:pPr>
      <w:r>
        <w:rPr>
          <w:b w:val="0"/>
          <w:i/>
          <w:smallCaps w:val="0"/>
          <w:sz w:val="20"/>
        </w:rPr>
        <w:t>B. Channel</w:t>
      </w:r>
    </w:p>
    <w:p>
      <w:pPr>
        <w:keepNext w:val="0"/>
        <w:spacing w:before="0" w:after="0"/>
        <w:ind w:firstLine="288"/>
        <w:jc w:val="both"/>
      </w:pPr>
      <w:r>
        <w:rPr>
          <w:b w:val="0"/>
          <w:i w:val="0"/>
          <w:smallCaps w:val="0"/>
          <w:sz w:val="20"/>
        </w:rPr>
        <w:t>For element n at distance d, the BS→RIS and RIS→UAV coefficients are</w:t>
      </w:r>
    </w:p>
    <w:p>
      <w:pPr>
        <w:keepNext w:val="0"/>
        <w:tabs>
          <w:tab w:pos="2520" w:val="center"/>
          <w:tab w:pos="5040" w:val="right"/>
        </w:tabs>
        <w:spacing w:before="80" w:after="0"/>
        <w:jc w:val="left"/>
      </w:pPr>
      <w:r>
        <w:rPr>
          <w:b w:val="0"/>
          <w:i w:val="0"/>
          <w:smallCaps w:val="0"/>
          <w:sz w:val="20"/>
        </w:rPr>
        <w:tab/>
        <w:t>h₁[n] = √G</w:t>
      </w:r>
      <w:r>
        <w:rPr>
          <w:b w:val="0"/>
          <w:i w:val="0"/>
          <w:smallCaps w:val="0"/>
          <w:sz w:val="20"/>
          <w:vertAlign w:val="subscript"/>
        </w:rPr>
        <w:t>BS</w:t>
      </w:r>
      <w:r>
        <w:rPr>
          <w:b w:val="0"/>
          <w:i w:val="0"/>
          <w:smallCaps w:val="0"/>
          <w:sz w:val="20"/>
        </w:rPr>
        <w:t xml:space="preserve"> · (λ / 4πd₁ₙ) · e</w:t>
      </w:r>
      <w:r>
        <w:rPr>
          <w:b w:val="0"/>
          <w:i w:val="0"/>
          <w:smallCaps w:val="0"/>
          <w:sz w:val="20"/>
          <w:vertAlign w:val="superscript"/>
        </w:rPr>
        <w:t>−j2πd₁ₙ/λ</w:t>
      </w:r>
      <w:r>
        <w:rPr>
          <w:b w:val="0"/>
          <w:i w:val="0"/>
          <w:smallCaps w:val="0"/>
          <w:sz w:val="20"/>
        </w:rPr>
        <w:tab/>
        <w:t>(1)</w:t>
      </w:r>
    </w:p>
    <w:p>
      <w:pPr>
        <w:keepNext w:val="0"/>
        <w:tabs>
          <w:tab w:pos="2520" w:val="center"/>
          <w:tab w:pos="5040" w:val="right"/>
        </w:tabs>
        <w:spacing w:before="0" w:after="80"/>
        <w:jc w:val="left"/>
      </w:pPr>
      <w:r>
        <w:rPr>
          <w:b w:val="0"/>
          <w:i w:val="0"/>
          <w:smallCaps w:val="0"/>
          <w:sz w:val="20"/>
        </w:rPr>
        <w:tab/>
        <w:t>· a(d₁ₙ) · √(G</w:t>
      </w:r>
      <w:r>
        <w:rPr>
          <w:b w:val="0"/>
          <w:i w:val="0"/>
          <w:smallCaps w:val="0"/>
          <w:sz w:val="20"/>
          <w:vertAlign w:val="subscript"/>
        </w:rPr>
        <w:t>e</w:t>
      </w:r>
      <w:r>
        <w:rPr>
          <w:b w:val="0"/>
          <w:i w:val="0"/>
          <w:smallCaps w:val="0"/>
          <w:sz w:val="20"/>
        </w:rPr>
        <w:t xml:space="preserve"> cos</w:t>
      </w:r>
      <w:r>
        <w:rPr>
          <w:b w:val="0"/>
          <w:i w:val="0"/>
          <w:smallCaps w:val="0"/>
          <w:sz w:val="20"/>
          <w:vertAlign w:val="superscript"/>
        </w:rPr>
        <w:t>q</w:t>
      </w:r>
      <w:r>
        <w:rPr>
          <w:b w:val="0"/>
          <w:i w:val="0"/>
          <w:smallCaps w:val="0"/>
          <w:sz w:val="20"/>
        </w:rPr>
        <w:t xml:space="preserve"> θ₁ₙ),</w:t>
      </w:r>
    </w:p>
    <w:p>
      <w:pPr>
        <w:keepNext w:val="0"/>
        <w:spacing w:before="0" w:after="0"/>
        <w:ind w:firstLine="288"/>
        <w:jc w:val="both"/>
      </w:pPr>
      <w:r>
        <w:rPr>
          <w:b w:val="0"/>
          <w:i w:val="0"/>
          <w:smallCaps w:val="0"/>
          <w:sz w:val="20"/>
        </w:rPr>
        <w:t>and likewise h₂[n] with the UAV gain G</w:t>
      </w:r>
      <w:r>
        <w:rPr>
          <w:b w:val="0"/>
          <w:i w:val="0"/>
          <w:smallCaps w:val="0"/>
          <w:sz w:val="20"/>
          <w:vertAlign w:val="subscript"/>
        </w:rPr>
        <w:t>UAV</w:t>
      </w:r>
      <w:r>
        <w:rPr>
          <w:b w:val="0"/>
          <w:i w:val="0"/>
          <w:smallCaps w:val="0"/>
          <w:sz w:val="20"/>
        </w:rPr>
        <w:t>, where a(d) = 10</w:t>
      </w:r>
      <w:r>
        <w:rPr>
          <w:b w:val="0"/>
          <w:i w:val="0"/>
          <w:smallCaps w:val="0"/>
          <w:sz w:val="20"/>
          <w:vertAlign w:val="superscript"/>
        </w:rPr>
        <w:t>−γd/20</w:t>
      </w:r>
      <w:r>
        <w:rPr>
          <w:b w:val="0"/>
          <w:i w:val="0"/>
          <w:smallCaps w:val="0"/>
          <w:sz w:val="20"/>
        </w:rPr>
        <w:t xml:space="preserve"> is the gaseous-absorption amplitude with γ from the ITU-R P.676-13 line-by-line model (44 O₂ and 35 H₂O lines) at 1013.25 hPa, 288.15 K and 7.5 g/m³ [8]; γ = 14.6 dB/km at 60 GHz. G</w:t>
      </w:r>
      <w:r>
        <w:rPr>
          <w:b w:val="0"/>
          <w:i w:val="0"/>
          <w:smallCaps w:val="0"/>
          <w:sz w:val="20"/>
          <w:vertAlign w:val="subscript"/>
        </w:rPr>
        <w:t>e</w:t>
      </w:r>
      <w:r>
        <w:rPr>
          <w:b w:val="0"/>
          <w:i w:val="0"/>
          <w:smallCaps w:val="0"/>
          <w:sz w:val="20"/>
        </w:rPr>
        <w:t xml:space="preserve"> = π is the gain of a (λ/2)² element [16], θ is measured from the panel normal, q = 1.5, and the pattern is zero behind the panel. G</w:t>
      </w:r>
      <w:r>
        <w:rPr>
          <w:b w:val="0"/>
          <w:i w:val="0"/>
          <w:smallCaps w:val="0"/>
          <w:sz w:val="20"/>
          <w:vertAlign w:val="subscript"/>
        </w:rPr>
        <w:t>BS</w:t>
      </w:r>
      <w:r>
        <w:rPr>
          <w:b w:val="0"/>
          <w:i w:val="0"/>
          <w:smallCaps w:val="0"/>
          <w:sz w:val="20"/>
        </w:rPr>
        <w:t xml:space="preserve"> = 25 dBi and G</w:t>
      </w:r>
      <w:r>
        <w:rPr>
          <w:b w:val="0"/>
          <w:i w:val="0"/>
          <w:smallCaps w:val="0"/>
          <w:sz w:val="20"/>
          <w:vertAlign w:val="subscript"/>
        </w:rPr>
        <w:t>UAV</w:t>
      </w:r>
      <w:r>
        <w:rPr>
          <w:b w:val="0"/>
          <w:i w:val="0"/>
          <w:smallCaps w:val="0"/>
          <w:sz w:val="20"/>
        </w:rPr>
        <w:t xml:space="preserve"> = 10 dBi; the transmit power is 20 dBm and the receiver noise is kTB·NF = −87 dBm (B = 100 MHz, NF = 7 dB).</w:t>
      </w:r>
    </w:p>
    <w:p>
      <w:pPr>
        <w:keepNext w:val="0"/>
        <w:spacing w:before="0" w:after="0"/>
        <w:ind w:firstLine="288"/>
        <w:jc w:val="both"/>
      </w:pPr>
      <w:r>
        <w:rPr>
          <w:b w:val="0"/>
          <w:i w:val="0"/>
          <w:smallCaps w:val="0"/>
          <w:sz w:val="20"/>
        </w:rPr>
        <w:t>The received signal with reflection coefficients Γₙ is</w:t>
      </w:r>
    </w:p>
    <w:p>
      <w:pPr>
        <w:keepNext w:val="0"/>
        <w:tabs>
          <w:tab w:pos="2520" w:val="center"/>
          <w:tab w:pos="5040" w:val="right"/>
        </w:tabs>
        <w:spacing w:before="80" w:after="80"/>
        <w:jc w:val="left"/>
      </w:pPr>
      <w:r>
        <w:rPr>
          <w:b w:val="0"/>
          <w:i w:val="0"/>
          <w:smallCaps w:val="0"/>
          <w:sz w:val="20"/>
        </w:rPr>
        <w:tab/>
        <w:t>y = Σₙ h₂[n] Γₙ h₁[n] · x + w.</w:t>
      </w:r>
      <w:r>
        <w:rPr>
          <w:b w:val="0"/>
          <w:i w:val="0"/>
          <w:smallCaps w:val="0"/>
          <w:sz w:val="20"/>
        </w:rPr>
        <w:tab/>
        <w:t>(2)</w:t>
      </w:r>
    </w:p>
    <w:p>
      <w:pPr>
        <w:keepNext w:val="0"/>
        <w:spacing w:before="0" w:after="0"/>
        <w:ind w:firstLine="288"/>
        <w:jc w:val="both"/>
      </w:pPr>
      <w:r>
        <w:rPr>
          <w:b w:val="0"/>
          <w:i w:val="0"/>
          <w:smallCaps w:val="0"/>
          <w:sz w:val="20"/>
        </w:rPr>
        <w:t>With ideal hardware the optimal phases are φₙ = −∠(h₁[n] h₂[n]) and the array gain grows as N² (verified: +12.04 dB per quadrupling of N).</w:t>
      </w:r>
    </w:p>
    <w:p>
      <w:pPr>
        <w:keepNext/>
        <w:spacing w:before="80" w:after="40"/>
        <w:jc w:val="left"/>
      </w:pPr>
      <w:r>
        <w:rPr>
          <w:b w:val="0"/>
          <w:i/>
          <w:smallCaps w:val="0"/>
          <w:sz w:val="20"/>
        </w:rPr>
        <w:t>C. Hardware Impairments</w:t>
      </w:r>
    </w:p>
    <w:p>
      <w:pPr>
        <w:keepNext w:val="0"/>
        <w:spacing w:before="0" w:after="0"/>
        <w:ind w:firstLine="288"/>
        <w:jc w:val="both"/>
      </w:pPr>
      <w:r>
        <w:rPr>
          <w:b/>
          <w:i w:val="0"/>
          <w:smallCaps w:val="0"/>
          <w:sz w:val="20"/>
        </w:rPr>
        <w:t>Transmitter PA.</w:t>
      </w:r>
      <w:r>
        <w:rPr>
          <w:b w:val="0"/>
          <w:i w:val="0"/>
          <w:smallCaps w:val="0"/>
          <w:sz w:val="20"/>
        </w:rPr>
        <w:t xml:space="preserve"> A passive RIS has no amplifier; the PA sits at the BS. We apply Saleh's AM/AM and AM/PM model [9] (α = 2.1587, β = 1.1517, α</w:t>
      </w:r>
      <w:r>
        <w:rPr>
          <w:b w:val="0"/>
          <w:i w:val="0"/>
          <w:smallCaps w:val="0"/>
          <w:sz w:val="20"/>
          <w:vertAlign w:val="subscript"/>
        </w:rPr>
        <w:t>φ</w:t>
      </w:r>
      <w:r>
        <w:rPr>
          <w:b w:val="0"/>
          <w:i w:val="0"/>
          <w:smallCaps w:val="0"/>
          <w:sz w:val="20"/>
        </w:rPr>
        <w:t xml:space="preserve"> = 4.0033, β</w:t>
      </w:r>
      <w:r>
        <w:rPr>
          <w:b w:val="0"/>
          <w:i w:val="0"/>
          <w:smallCaps w:val="0"/>
          <w:sz w:val="20"/>
          <w:vertAlign w:val="subscript"/>
        </w:rPr>
        <w:t>φ</w:t>
      </w:r>
      <w:r>
        <w:rPr>
          <w:b w:val="0"/>
          <w:i w:val="0"/>
          <w:smallCaps w:val="0"/>
          <w:sz w:val="20"/>
        </w:rPr>
        <w:t xml:space="preserve"> = 9.1040) to a complex Gaussian (OFDM-like) input at 6 dB input back-off. By the Bussgang decomposition [17] the output is K·x + d, with d uncorrelated with x, so a fraction ρ</w:t>
      </w:r>
      <w:r>
        <w:rPr>
          <w:b w:val="0"/>
          <w:i w:val="0"/>
          <w:smallCaps w:val="0"/>
          <w:sz w:val="20"/>
          <w:vertAlign w:val="subscript"/>
        </w:rPr>
        <w:t>d</w:t>
      </w:r>
      <w:r>
        <w:rPr>
          <w:b w:val="0"/>
          <w:i w:val="0"/>
          <w:smallCaps w:val="0"/>
          <w:sz w:val="20"/>
        </w:rPr>
        <w:t xml:space="preserve"> of the output power is distortion that travels through the channel with the signal [18]:</w:t>
      </w:r>
    </w:p>
    <w:p>
      <w:pPr>
        <w:keepNext w:val="0"/>
        <w:tabs>
          <w:tab w:pos="2520" w:val="center"/>
          <w:tab w:pos="5040" w:val="right"/>
        </w:tabs>
        <w:spacing w:before="80" w:after="80"/>
        <w:jc w:val="left"/>
      </w:pPr>
      <w:r>
        <w:rPr>
          <w:b w:val="0"/>
          <w:i w:val="0"/>
          <w:smallCaps w:val="0"/>
          <w:sz w:val="20"/>
        </w:rPr>
        <w:tab/>
        <w:t>SNDR = ρ</w:t>
      </w:r>
      <w:r>
        <w:rPr>
          <w:b w:val="0"/>
          <w:i w:val="0"/>
          <w:smallCaps w:val="0"/>
          <w:sz w:val="20"/>
          <w:vertAlign w:val="subscript"/>
        </w:rPr>
        <w:t>u</w:t>
      </w:r>
      <w:r>
        <w:rPr>
          <w:b w:val="0"/>
          <w:i w:val="0"/>
          <w:smallCaps w:val="0"/>
          <w:sz w:val="20"/>
        </w:rPr>
        <w:t xml:space="preserve"> P|h|² / (ρ</w:t>
      </w:r>
      <w:r>
        <w:rPr>
          <w:b w:val="0"/>
          <w:i w:val="0"/>
          <w:smallCaps w:val="0"/>
          <w:sz w:val="20"/>
          <w:vertAlign w:val="subscript"/>
        </w:rPr>
        <w:t>d</w:t>
      </w:r>
      <w:r>
        <w:rPr>
          <w:b w:val="0"/>
          <w:i w:val="0"/>
          <w:smallCaps w:val="0"/>
          <w:sz w:val="20"/>
        </w:rPr>
        <w:t xml:space="preserve"> P|h|² + σ²).</w:t>
      </w:r>
      <w:r>
        <w:rPr>
          <w:b w:val="0"/>
          <w:i w:val="0"/>
          <w:smallCaps w:val="0"/>
          <w:sz w:val="20"/>
        </w:rPr>
        <w:tab/>
        <w:t>(3)</w:t>
      </w:r>
    </w:p>
    <w:p>
      <w:pPr>
        <w:keepNext w:val="0"/>
        <w:spacing w:before="0" w:after="0"/>
        <w:ind w:firstLine="288"/>
        <w:jc w:val="both"/>
      </w:pPr>
      <w:r>
        <w:rPr>
          <w:b w:val="0"/>
          <w:i w:val="0"/>
          <w:smallCaps w:val="0"/>
          <w:sz w:val="20"/>
        </w:rPr>
        <w:t>At 6 dB back-off ρ</w:t>
      </w:r>
      <w:r>
        <w:rPr>
          <w:b w:val="0"/>
          <w:i w:val="0"/>
          <w:smallCaps w:val="0"/>
          <w:sz w:val="20"/>
          <w:vertAlign w:val="subscript"/>
        </w:rPr>
        <w:t>u</w:t>
      </w:r>
      <w:r>
        <w:rPr>
          <w:b w:val="0"/>
          <w:i w:val="0"/>
          <w:smallCaps w:val="0"/>
          <w:sz w:val="20"/>
        </w:rPr>
        <w:t>/ρ</w:t>
      </w:r>
      <w:r>
        <w:rPr>
          <w:b w:val="0"/>
          <w:i w:val="0"/>
          <w:smallCaps w:val="0"/>
          <w:sz w:val="20"/>
          <w:vertAlign w:val="subscript"/>
        </w:rPr>
        <w:t>d</w:t>
      </w:r>
      <w:r>
        <w:rPr>
          <w:b w:val="0"/>
          <w:i w:val="0"/>
          <w:smallCaps w:val="0"/>
          <w:sz w:val="20"/>
        </w:rPr>
        <w:t xml:space="preserve"> gives an SNDR ceiling of 13.3 dB, independent of link strength.</w:t>
      </w:r>
    </w:p>
    <w:p>
      <w:pPr>
        <w:keepNext w:val="0"/>
        <w:spacing w:before="0" w:after="0"/>
        <w:ind w:firstLine="288"/>
        <w:jc w:val="both"/>
      </w:pPr>
      <w:r>
        <w:rPr>
          <w:b/>
          <w:i w:val="0"/>
          <w:smallCaps w:val="0"/>
          <w:sz w:val="20"/>
        </w:rPr>
        <w:t>RIS.</w:t>
      </w:r>
      <w:r>
        <w:rPr>
          <w:b w:val="0"/>
          <w:i w:val="0"/>
          <w:smallCaps w:val="0"/>
          <w:sz w:val="20"/>
        </w:rPr>
        <w:t xml:space="preserve"> Commanded phases are quantized to b = 2 bits, perturbed by Gaussian phase noise (σ = 5°), and realised with the phase-dependent amplitude of a practical element [15]:</w:t>
      </w:r>
    </w:p>
    <w:p>
      <w:pPr>
        <w:keepNext w:val="0"/>
        <w:tabs>
          <w:tab w:pos="2520" w:val="center"/>
          <w:tab w:pos="5040" w:val="right"/>
        </w:tabs>
        <w:spacing w:before="80" w:after="0"/>
        <w:jc w:val="left"/>
      </w:pPr>
      <w:r>
        <w:rPr>
          <w:b w:val="0"/>
          <w:i w:val="0"/>
          <w:smallCaps w:val="0"/>
          <w:sz w:val="20"/>
        </w:rPr>
        <w:tab/>
        <w:t>β(φ) = (1 − β</w:t>
      </w:r>
      <w:r>
        <w:rPr>
          <w:b w:val="0"/>
          <w:i w:val="0"/>
          <w:smallCaps w:val="0"/>
          <w:sz w:val="20"/>
          <w:vertAlign w:val="subscript"/>
        </w:rPr>
        <w:t>min</w:t>
      </w:r>
      <w:r>
        <w:rPr>
          <w:b w:val="0"/>
          <w:i w:val="0"/>
          <w:smallCaps w:val="0"/>
          <w:sz w:val="20"/>
        </w:rPr>
        <w:t>) · ((sin(φ − ϕ) + 1)/2)</w:t>
      </w:r>
      <w:r>
        <w:rPr>
          <w:b w:val="0"/>
          <w:i w:val="0"/>
          <w:smallCaps w:val="0"/>
          <w:sz w:val="20"/>
          <w:vertAlign w:val="superscript"/>
        </w:rPr>
        <w:t>κ</w:t>
      </w:r>
      <w:r>
        <w:rPr>
          <w:b w:val="0"/>
          <w:i w:val="0"/>
          <w:smallCaps w:val="0"/>
          <w:sz w:val="20"/>
        </w:rPr>
        <w:t xml:space="preserve"> + β</w:t>
      </w:r>
      <w:r>
        <w:rPr>
          <w:b w:val="0"/>
          <w:i w:val="0"/>
          <w:smallCaps w:val="0"/>
          <w:sz w:val="20"/>
          <w:vertAlign w:val="subscript"/>
        </w:rPr>
        <w:t>min</w:t>
      </w:r>
      <w:r>
        <w:rPr>
          <w:b w:val="0"/>
          <w:i w:val="0"/>
          <w:smallCaps w:val="0"/>
          <w:sz w:val="20"/>
        </w:rPr>
        <w:t>,</w:t>
      </w:r>
      <w:r>
        <w:rPr>
          <w:b w:val="0"/>
          <w:i w:val="0"/>
          <w:smallCaps w:val="0"/>
          <w:sz w:val="20"/>
        </w:rPr>
        <w:tab/>
        <w:t>(4)</w:t>
      </w:r>
    </w:p>
    <w:p>
      <w:pPr>
        <w:keepNext w:val="0"/>
        <w:tabs>
          <w:tab w:pos="2520" w:val="center"/>
          <w:tab w:pos="5040" w:val="right"/>
        </w:tabs>
        <w:spacing w:before="0" w:after="80"/>
        <w:jc w:val="left"/>
      </w:pPr>
      <w:r>
        <w:rPr>
          <w:b w:val="0"/>
          <w:i w:val="0"/>
          <w:smallCaps w:val="0"/>
          <w:sz w:val="20"/>
        </w:rPr>
        <w:tab/>
        <w:t>β</w:t>
      </w:r>
      <w:r>
        <w:rPr>
          <w:b w:val="0"/>
          <w:i w:val="0"/>
          <w:smallCaps w:val="0"/>
          <w:sz w:val="20"/>
          <w:vertAlign w:val="subscript"/>
        </w:rPr>
        <w:t>min</w:t>
      </w:r>
      <w:r>
        <w:rPr>
          <w:b w:val="0"/>
          <w:i w:val="0"/>
          <w:smallCaps w:val="0"/>
          <w:sz w:val="20"/>
        </w:rPr>
        <w:t xml:space="preserve"> = 0.2, ϕ = 0.43π, κ = 1.6,</w:t>
      </w:r>
    </w:p>
    <w:p>
      <w:pPr>
        <w:keepNext w:val="0"/>
        <w:spacing w:before="0" w:after="0"/>
        <w:ind w:firstLine="288"/>
        <w:jc w:val="both"/>
      </w:pPr>
      <w:r>
        <w:rPr>
          <w:b w:val="0"/>
          <w:i w:val="0"/>
          <w:smallCaps w:val="0"/>
          <w:sz w:val="20"/>
        </w:rPr>
        <w:t>scaled by a reflection efficiency of 0.85.</w:t>
      </w:r>
    </w:p>
    <w:p>
      <w:pPr>
        <w:keepNext w:val="0"/>
        <w:spacing w:before="0" w:after="0"/>
        <w:ind w:firstLine="288"/>
        <w:jc w:val="both"/>
      </w:pPr>
      <w:r>
        <w:rPr>
          <w:b/>
          <w:i w:val="0"/>
          <w:smallCaps w:val="0"/>
          <w:sz w:val="20"/>
        </w:rPr>
        <w:t>Antenna mismatch.</w:t>
      </w:r>
      <w:r>
        <w:rPr>
          <w:b w:val="0"/>
          <w:i w:val="0"/>
          <w:smallCaps w:val="0"/>
          <w:sz w:val="20"/>
        </w:rPr>
        <w:t xml:space="preserve"> S11 = −10 dB at the BS and UAV ports gives a power transfer of 1 − |S11|² each.</w:t>
      </w:r>
    </w:p>
    <w:p>
      <w:pPr>
        <w:keepNext w:val="0"/>
        <w:spacing w:before="0" w:after="0"/>
        <w:ind w:firstLine="288"/>
        <w:jc w:val="both"/>
      </w:pPr>
      <w:r>
        <w:rPr>
          <w:b w:val="0"/>
          <w:i w:val="0"/>
          <w:smallCaps w:val="0"/>
          <w:sz w:val="20"/>
        </w:rPr>
        <w:t>Each impairment is switchable, so ideal and hardware-aware links are compared on identical geometry.</w:t>
      </w:r>
    </w:p>
    <w:p>
      <w:pPr>
        <w:keepNext/>
        <w:spacing w:before="160" w:after="80"/>
        <w:jc w:val="center"/>
      </w:pPr>
      <w:r>
        <w:rPr>
          <w:b w:val="0"/>
          <w:i w:val="0"/>
          <w:smallCaps/>
          <w:sz w:val="20"/>
        </w:rPr>
        <w:t>III. Hardware-Aware Control and Channel Estimation</w:t>
      </w:r>
    </w:p>
    <w:p>
      <w:pPr>
        <w:keepNext/>
        <w:spacing w:before="80" w:after="40"/>
        <w:jc w:val="left"/>
      </w:pPr>
      <w:r>
        <w:rPr>
          <w:b w:val="0"/>
          <w:i/>
          <w:smallCaps w:val="0"/>
          <w:sz w:val="20"/>
        </w:rPr>
        <w:t>A. Coupling-Aware Phase Selection</w:t>
      </w:r>
    </w:p>
    <w:p>
      <w:pPr>
        <w:keepNext w:val="0"/>
        <w:spacing w:before="0" w:after="0"/>
        <w:ind w:firstLine="288"/>
        <w:jc w:val="both"/>
      </w:pPr>
      <w:r>
        <w:rPr>
          <w:b w:val="0"/>
          <w:i w:val="0"/>
          <w:smallCaps w:val="0"/>
          <w:sz w:val="20"/>
        </w:rPr>
        <w:t>Because (4) ties amplitude to phase, the ideal phases are no longer optimal. For a common output phase ψ the best realisable level for element n maximises Re(cₙ Γ(level) e</w:t>
      </w:r>
      <w:r>
        <w:rPr>
          <w:b w:val="0"/>
          <w:i w:val="0"/>
          <w:smallCaps w:val="0"/>
          <w:sz w:val="20"/>
          <w:vertAlign w:val="superscript"/>
        </w:rPr>
        <w:t>−jψ</w:t>
      </w:r>
      <w:r>
        <w:rPr>
          <w:b w:val="0"/>
          <w:i w:val="0"/>
          <w:smallCaps w:val="0"/>
          <w:sz w:val="20"/>
        </w:rPr>
        <w:t>), with cₙ = h₁[n]h₂[n]; we sweep 64 values of ψ and keep the best. The search is fully vectorised (≈3 ms for N = 1024).</w:t>
      </w:r>
    </w:p>
    <w:p>
      <w:pPr>
        <w:keepNext/>
        <w:spacing w:before="80" w:after="40"/>
        <w:jc w:val="left"/>
      </w:pPr>
      <w:r>
        <w:rPr>
          <w:b w:val="0"/>
          <w:i/>
          <w:smallCaps w:val="0"/>
          <w:sz w:val="20"/>
        </w:rPr>
        <w:t>B. Per-Element Estimation: LS vs Hardware-Aware LMMSE</w:t>
      </w:r>
    </w:p>
    <w:p>
      <w:pPr>
        <w:keepNext w:val="0"/>
        <w:spacing w:before="0" w:after="0"/>
        <w:ind w:firstLine="288"/>
        <w:jc w:val="both"/>
      </w:pPr>
      <w:r>
        <w:rPr>
          <w:b w:val="0"/>
          <w:i w:val="0"/>
          <w:smallCaps w:val="0"/>
          <w:sz w:val="20"/>
        </w:rPr>
        <w:t xml:space="preserve">The RIS cycles through N Hadamard training patterns, each held for L pilot symbols. The </w:t>
      </w:r>
      <w:r>
        <w:rPr>
          <w:b w:val="0"/>
          <w:i/>
          <w:smallCaps w:val="0"/>
          <w:sz w:val="20"/>
        </w:rPr>
        <w:t>naive</w:t>
      </w:r>
      <w:r>
        <w:rPr>
          <w:b w:val="0"/>
          <w:i w:val="0"/>
          <w:smallCaps w:val="0"/>
          <w:sz w:val="20"/>
        </w:rPr>
        <w:t xml:space="preserve"> LS estimator assumes the commanded 0/π states were realised exactly. Under (4) the two states have amplitudes 0.19 and 0.91, which biases LS. The </w:t>
      </w:r>
      <w:r>
        <w:rPr>
          <w:b w:val="0"/>
          <w:i/>
          <w:smallCaps w:val="0"/>
          <w:sz w:val="20"/>
        </w:rPr>
        <w:t>hardware-aware</w:t>
      </w:r>
      <w:r>
        <w:rPr>
          <w:b w:val="0"/>
          <w:i w:val="0"/>
          <w:smallCaps w:val="0"/>
          <w:sz w:val="20"/>
        </w:rPr>
        <w:t xml:space="preserve"> estimator trains on the antipodal state pair with the largest reflected energy, models the realised coefficients through (4), and applies LMMSE with an i.i.d. prior; because PA distortion is signal-dependent, only its average power enters the noise model.</w:t>
      </w:r>
    </w:p>
    <w:p>
      <w:pPr>
        <w:keepNext/>
        <w:spacing w:before="80" w:after="40"/>
        <w:jc w:val="left"/>
      </w:pPr>
      <w:r>
        <w:rPr>
          <w:b w:val="0"/>
          <w:i/>
          <w:smallCaps w:val="0"/>
          <w:sz w:val="20"/>
        </w:rPr>
        <w:t>C. Position-Parametric Estimation</w:t>
      </w:r>
    </w:p>
    <w:p>
      <w:pPr>
        <w:keepNext w:val="0"/>
        <w:spacing w:before="0" w:after="0"/>
        <w:ind w:firstLine="288"/>
        <w:jc w:val="both"/>
      </w:pPr>
      <w:r>
        <w:rPr>
          <w:b w:val="0"/>
          <w:i w:val="0"/>
          <w:smallCaps w:val="0"/>
          <w:sz w:val="20"/>
        </w:rPr>
        <w:t>The BS and RIS are fixed, so c(p) = h₁ ⊙ h₂(p) depends only on the UAV position p. Beyond the Fresnel distance (≈5 m here) the pilots constrain the direction of p sharply and its range weakly. Starting from a prior p₀, the RIS transmits M random realisable patterns A, and the receiver estimates the direction by maximising the likelihood under an unknown complex gain,</w:t>
      </w:r>
    </w:p>
    <w:p>
      <w:pPr>
        <w:keepNext w:val="0"/>
        <w:tabs>
          <w:tab w:pos="2520" w:val="center"/>
          <w:tab w:pos="5040" w:val="right"/>
        </w:tabs>
        <w:spacing w:before="80" w:after="80"/>
        <w:jc w:val="left"/>
      </w:pPr>
      <w:r>
        <w:rPr>
          <w:b w:val="0"/>
          <w:i w:val="0"/>
          <w:smallCaps w:val="0"/>
          <w:sz w:val="20"/>
        </w:rPr>
        <w:tab/>
        <w:t>p̂ = argmax</w:t>
      </w:r>
      <w:r>
        <w:rPr>
          <w:b w:val="0"/>
          <w:i w:val="0"/>
          <w:smallCaps w:val="0"/>
          <w:sz w:val="20"/>
          <w:vertAlign w:val="subscript"/>
        </w:rPr>
        <w:t>p</w:t>
      </w:r>
      <w:r>
        <w:rPr>
          <w:b w:val="0"/>
          <w:i w:val="0"/>
          <w:smallCaps w:val="0"/>
          <w:sz w:val="20"/>
        </w:rPr>
        <w:t xml:space="preserve"> |yᴴ A c(p)|² / ‖A c(p)‖²,</w:t>
      </w:r>
      <w:r>
        <w:rPr>
          <w:b w:val="0"/>
          <w:i w:val="0"/>
          <w:smallCaps w:val="0"/>
          <w:sz w:val="20"/>
        </w:rPr>
        <w:tab/>
        <w:t>(5)</w:t>
      </w:r>
    </w:p>
    <w:p>
      <w:pPr>
        <w:keepNext w:val="0"/>
        <w:spacing w:before="0" w:after="0"/>
        <w:ind w:firstLine="288"/>
        <w:jc w:val="both"/>
      </w:pPr>
      <w:r>
        <w:rPr>
          <w:b w:val="0"/>
          <w:i w:val="0"/>
          <w:smallCaps w:val="0"/>
          <w:sz w:val="20"/>
        </w:rPr>
        <w:t>over direction cosines on a coarse grid finer than the beam width, then a fine grid. The RIS is then configured from c(p̂) with the search of Sec. III-A.</w:t>
      </w:r>
    </w:p>
    <w:p>
      <w:pPr>
        <w:keepNext w:val="0"/>
        <w:spacing w:before="0" w:after="0"/>
        <w:ind w:firstLine="288"/>
        <w:jc w:val="both"/>
      </w:pPr>
      <w:r>
        <w:rPr>
          <w:b/>
          <w:i w:val="0"/>
          <w:smallCaps w:val="0"/>
          <w:sz w:val="20"/>
        </w:rPr>
        <w:t>Adaptive pilot budget.</w:t>
      </w:r>
      <w:r>
        <w:rPr>
          <w:b w:val="0"/>
          <w:i w:val="0"/>
          <w:smallCaps w:val="0"/>
          <w:sz w:val="20"/>
        </w:rPr>
        <w:t xml:space="preserve"> The search succeeds when the matched-filter pilot SNR M·L·SNR</w:t>
      </w:r>
      <w:r>
        <w:rPr>
          <w:b w:val="0"/>
          <w:i w:val="0"/>
          <w:smallCaps w:val="0"/>
          <w:sz w:val="20"/>
          <w:vertAlign w:val="subscript"/>
        </w:rPr>
        <w:t>coh</w:t>
      </w:r>
      <w:r>
        <w:rPr>
          <w:b w:val="0"/>
          <w:i w:val="0"/>
          <w:smallCaps w:val="0"/>
          <w:sz w:val="20"/>
        </w:rPr>
        <w:t>/N exceeds a threshold; SNR</w:t>
      </w:r>
      <w:r>
        <w:rPr>
          <w:b w:val="0"/>
          <w:i w:val="0"/>
          <w:smallCaps w:val="0"/>
          <w:sz w:val="20"/>
          <w:vertAlign w:val="subscript"/>
        </w:rPr>
        <w:t>coh</w:t>
      </w:r>
      <w:r>
        <w:rPr>
          <w:b w:val="0"/>
          <w:i w:val="0"/>
          <w:smallCaps w:val="0"/>
          <w:sz w:val="20"/>
        </w:rPr>
        <w:t xml:space="preserve"> is predicted from p₀ and the known geometry. With M = 64 we choose L to reach a threshold of 128, selected on random seeds separate from those reported. If the prior's angular uncertainty is already below one eighth of the beam width, no pilots are sent.</w:t>
      </w:r>
    </w:p>
    <w:p>
      <w:pPr>
        <w:keepNext/>
        <w:spacing w:before="160" w:after="80"/>
        <w:jc w:val="center"/>
      </w:pPr>
      <w:r>
        <w:rPr>
          <w:b w:val="0"/>
          <w:i w:val="0"/>
          <w:smallCaps/>
          <w:sz w:val="20"/>
        </w:rPr>
        <w:t>IV. Predictive RIS Tracking</w:t>
      </w:r>
    </w:p>
    <w:p>
      <w:pPr>
        <w:keepNext w:val="0"/>
        <w:spacing w:before="0" w:after="0"/>
        <w:ind w:firstLine="288"/>
        <w:jc w:val="both"/>
      </w:pPr>
      <w:r>
        <w:rPr>
          <w:b w:val="0"/>
          <w:i w:val="0"/>
          <w:smallCaps w:val="0"/>
          <w:sz w:val="20"/>
        </w:rPr>
        <w:t>The RIS must be configured for where the UAV will be once measurement, computation and control latency have passed. We predict the position h steps ahead (h·10 ms, h ∈ {1, 10, 50}) from RTK-class position measurements (σ = 2 cm per axis) with four predictors: persistence, constant-velocity extrapolation, a constant-velocity Kalman filter [13] whose acceleration PSD is tuned on training trajectories, and a ridge regressor on an 8-sample window trained on 60 random trajectories. All predictors see the same noisy measurements, and the nine designed trajectories are held out.</w:t>
      </w:r>
    </w:p>
    <w:p>
      <w:pPr>
        <w:keepNext w:val="0"/>
        <w:spacing w:before="0" w:after="0"/>
        <w:ind w:firstLine="288"/>
        <w:jc w:val="both"/>
      </w:pPr>
      <w:r>
        <w:rPr>
          <w:b/>
          <w:i w:val="0"/>
          <w:smallCaps w:val="0"/>
          <w:sz w:val="20"/>
        </w:rPr>
        <w:t>Metric.</w:t>
      </w:r>
      <w:r>
        <w:rPr>
          <w:b w:val="0"/>
          <w:i w:val="0"/>
          <w:smallCaps w:val="0"/>
          <w:sz w:val="20"/>
        </w:rPr>
        <w:t xml:space="preserve"> Mean absolute per-element phase error counts a phase offset common to all elements as error, but such an offset leaves |Σₙ cₙ e</w:t>
      </w:r>
      <w:r>
        <w:rPr>
          <w:b w:val="0"/>
          <w:i w:val="0"/>
          <w:smallCaps w:val="0"/>
          <w:sz w:val="20"/>
          <w:vertAlign w:val="superscript"/>
        </w:rPr>
        <w:t>jφ̂ₙ</w:t>
      </w:r>
      <w:r>
        <w:rPr>
          <w:b w:val="0"/>
          <w:i w:val="0"/>
          <w:smallCaps w:val="0"/>
          <w:sz w:val="20"/>
        </w:rPr>
        <w:t>| unchanged. We therefore score the fraction of the ideal coherent gain delivered at the true position:</w:t>
      </w:r>
    </w:p>
    <w:p>
      <w:pPr>
        <w:keepNext w:val="0"/>
        <w:tabs>
          <w:tab w:pos="2520" w:val="center"/>
          <w:tab w:pos="5040" w:val="right"/>
        </w:tabs>
        <w:spacing w:before="80" w:after="80"/>
        <w:jc w:val="left"/>
      </w:pPr>
      <w:r>
        <w:rPr>
          <w:b w:val="0"/>
          <w:i w:val="0"/>
          <w:smallCaps w:val="0"/>
          <w:sz w:val="20"/>
        </w:rPr>
        <w:tab/>
        <w:t>G = |Σₙ cₙ e</w:t>
      </w:r>
      <w:r>
        <w:rPr>
          <w:b w:val="0"/>
          <w:i w:val="0"/>
          <w:smallCaps w:val="0"/>
          <w:sz w:val="20"/>
          <w:vertAlign w:val="superscript"/>
        </w:rPr>
        <w:t>jφ̂ₙ</w:t>
      </w:r>
      <w:r>
        <w:rPr>
          <w:b w:val="0"/>
          <w:i w:val="0"/>
          <w:smallCaps w:val="0"/>
          <w:sz w:val="20"/>
        </w:rPr>
        <w:t>|² / (Σₙ |cₙ|)².</w:t>
      </w:r>
      <w:r>
        <w:rPr>
          <w:b w:val="0"/>
          <w:i w:val="0"/>
          <w:smallCaps w:val="0"/>
          <w:sz w:val="20"/>
        </w:rPr>
        <w:tab/>
        <w:t>(6)</w:t>
      </w:r>
    </w:p>
    <w:p>
      <w:pPr>
        <w:keepNext/>
        <w:spacing w:before="160" w:after="80"/>
        <w:jc w:val="center"/>
      </w:pPr>
      <w:r>
        <w:rPr>
          <w:b w:val="0"/>
          <w:i w:val="0"/>
          <w:smallCaps/>
          <w:sz w:val="20"/>
        </w:rPr>
        <w:t>V. AI Beam Prediction on Real Measurements</w:t>
      </w:r>
    </w:p>
    <w:p>
      <w:pPr>
        <w:keepNext/>
        <w:spacing w:before="80" w:after="40"/>
        <w:jc w:val="left"/>
      </w:pPr>
      <w:r>
        <w:rPr>
          <w:b w:val="0"/>
          <w:i/>
          <w:smallCaps w:val="0"/>
          <w:sz w:val="20"/>
        </w:rPr>
        <w:t>A. Dataset and Evaluation Protocol</w:t>
      </w:r>
    </w:p>
    <w:p>
      <w:pPr>
        <w:keepNext w:val="0"/>
        <w:spacing w:before="0" w:after="0"/>
        <w:ind w:firstLine="288"/>
        <w:jc w:val="both"/>
      </w:pPr>
      <w:r>
        <w:rPr>
          <w:b w:val="0"/>
          <w:i w:val="0"/>
          <w:smallCaps w:val="0"/>
          <w:sz w:val="20"/>
        </w:rPr>
        <w:t>DeepSense 6G Scenario 23 [10] provides 11,387 samples of 64-beam received-power sweeps at 60 GHz from a drone flight campaign, organised into 35 flight sequences, with the optimal-beam index as label (56 classes in use). Three properties of the data shape the protocol:</w:t>
      </w:r>
    </w:p>
    <w:p>
      <w:pPr>
        <w:keepNext w:val="0"/>
        <w:tabs>
          <w:tab w:pos="648" w:val="left"/>
        </w:tabs>
        <w:spacing w:before="0" w:after="0"/>
        <w:ind w:left="648" w:hanging="360"/>
        <w:jc w:val="both"/>
      </w:pPr>
      <w:r>
        <w:rPr>
          <w:b w:val="0"/>
          <w:i w:val="0"/>
          <w:smallCaps w:val="0"/>
          <w:sz w:val="20"/>
        </w:rPr>
        <w:t>1)</w:t>
        <w:tab/>
      </w:r>
      <w:r>
        <w:rPr>
          <w:b/>
          <w:i w:val="0"/>
          <w:smallCaps w:val="0"/>
          <w:sz w:val="20"/>
        </w:rPr>
        <w:t>The label is the argmax of the sweep</w:t>
      </w:r>
      <w:r>
        <w:rPr>
          <w:b w:val="0"/>
          <w:i w:val="0"/>
          <w:smallCaps w:val="0"/>
          <w:sz w:val="20"/>
        </w:rPr>
        <w:t xml:space="preserve"> for all 11,387 samples, so predicting the current beam from the current sweep is trivial (100% by argmax). Every task below predicts the beam at time t + h from sweeps up to time t.</w:t>
      </w:r>
    </w:p>
    <w:p>
      <w:pPr>
        <w:keepNext w:val="0"/>
        <w:tabs>
          <w:tab w:pos="648" w:val="left"/>
        </w:tabs>
        <w:spacing w:before="0" w:after="0"/>
        <w:ind w:left="648" w:hanging="360"/>
        <w:jc w:val="both"/>
      </w:pPr>
      <w:r>
        <w:rPr>
          <w:b w:val="0"/>
          <w:i w:val="0"/>
          <w:smallCaps w:val="0"/>
          <w:sz w:val="20"/>
        </w:rPr>
        <w:t>2)</w:t>
        <w:tab/>
      </w:r>
      <w:r>
        <w:rPr>
          <w:b/>
          <w:i w:val="0"/>
          <w:smallCaps w:val="0"/>
          <w:sz w:val="20"/>
        </w:rPr>
        <w:t>Consecutive samples are near-duplicates</w:t>
      </w:r>
      <w:r>
        <w:rPr>
          <w:b w:val="0"/>
          <w:i w:val="0"/>
          <w:smallCaps w:val="0"/>
          <w:sz w:val="20"/>
        </w:rPr>
        <w:t xml:space="preserve"> (≈7 Hz). All models are evaluated with GroupKFold(5) over flight sequences, so a test sequence is never seen in training.</w:t>
      </w:r>
    </w:p>
    <w:p>
      <w:pPr>
        <w:keepNext w:val="0"/>
        <w:tabs>
          <w:tab w:pos="648" w:val="left"/>
        </w:tabs>
        <w:spacing w:before="0" w:after="0"/>
        <w:ind w:left="648" w:hanging="360"/>
        <w:jc w:val="both"/>
      </w:pPr>
      <w:r>
        <w:rPr>
          <w:b w:val="0"/>
          <w:i w:val="0"/>
          <w:smallCaps w:val="0"/>
          <w:sz w:val="20"/>
        </w:rPr>
        <w:t>3)</w:t>
        <w:tab/>
      </w:r>
      <w:r>
        <w:rPr>
          <w:b/>
          <w:i w:val="0"/>
          <w:smallCaps w:val="0"/>
          <w:sz w:val="20"/>
        </w:rPr>
        <w:t>Near-ties are noise.</w:t>
      </w:r>
      <w:r>
        <w:rPr>
          <w:b w:val="0"/>
          <w:i w:val="0"/>
          <w:smallCaps w:val="0"/>
          <w:sz w:val="20"/>
        </w:rPr>
        <w:t xml:space="preserve"> In 75.3% of sweeps the best and second-best beams are within 0.25 dB (they are adjacent in 90.6%), while the same beam's power changes by a median 0.18 dB between consecutive sweeps.</w:t>
      </w:r>
    </w:p>
    <w:p>
      <w:pPr>
        <w:keepNext/>
        <w:spacing w:before="80" w:after="40"/>
        <w:jc w:val="left"/>
      </w:pPr>
      <w:r>
        <w:rPr>
          <w:b w:val="0"/>
          <w:i/>
          <w:smallCaps w:val="0"/>
          <w:sz w:val="20"/>
        </w:rPr>
        <w:t>B. Blind Prediction</w:t>
      </w:r>
    </w:p>
    <w:p>
      <w:pPr>
        <w:keepNext w:val="0"/>
        <w:spacing w:before="0" w:after="0"/>
        <w:ind w:firstLine="288"/>
        <w:jc w:val="both"/>
      </w:pPr>
      <w:r>
        <w:rPr>
          <w:b w:val="0"/>
          <w:i w:val="0"/>
          <w:smallCaps w:val="0"/>
          <w:sz w:val="20"/>
        </w:rPr>
        <w:t xml:space="preserve">A two-layer GRU (hidden size 128) reads the last 8 sweeps (dB relative to peak) and the sampling gaps, and outputs beam logits added to a learned multiple of the last sweep, so that it learns a residual over persistence. Because near-tied labels are noise, we train against a </w:t>
      </w:r>
      <w:r>
        <w:rPr>
          <w:b/>
          <w:i w:val="0"/>
          <w:smallCaps w:val="0"/>
          <w:sz w:val="20"/>
        </w:rPr>
        <w:t>soft target</w:t>
      </w:r>
      <w:r>
        <w:rPr>
          <w:b w:val="0"/>
          <w:i w:val="0"/>
          <w:smallCaps w:val="0"/>
          <w:sz w:val="20"/>
        </w:rPr>
        <w:t>, softmax(P</w:t>
      </w:r>
      <w:r>
        <w:rPr>
          <w:b w:val="0"/>
          <w:i w:val="0"/>
          <w:smallCaps w:val="0"/>
          <w:sz w:val="20"/>
          <w:vertAlign w:val="subscript"/>
        </w:rPr>
        <w:t>t+h</w:t>
      </w:r>
      <w:r>
        <w:rPr>
          <w:b w:val="0"/>
          <w:i w:val="0"/>
          <w:smallCaps w:val="0"/>
          <w:sz w:val="20"/>
        </w:rPr>
        <w:t xml:space="preserve">/0.5 dB), the measured power of the future sweep, rather than its argmax; a hard-label GRU is the ablation. Early stopping uses held-out training sequences. Our final predictor averages the log-probabilities of three such GRUs (different seeds) trained with </w:t>
      </w:r>
      <w:r>
        <w:rPr>
          <w:b/>
          <w:i w:val="0"/>
          <w:smallCaps w:val="0"/>
          <w:sz w:val="20"/>
        </w:rPr>
        <w:t>beam-axis augmentation</w:t>
      </w:r>
      <w:r>
        <w:rPr>
          <w:b w:val="0"/>
          <w:i w:val="0"/>
          <w:smallCaps w:val="0"/>
          <w:sz w:val="20"/>
        </w:rPr>
        <w:t>: each batch is shifted by up to ±3 beams and mirrored with probability 0.5, identically for history, last sweep and target, with vacated edge beams set to the row's floor rather than wrapped. A UAV at a slightly different angle sees a shifted beam pattern, so this adds plausible examples of rarely visited beams. Random-forest and extra-trees baselines use the last 3 sweeps.</w:t>
      </w:r>
    </w:p>
    <w:p>
      <w:pPr>
        <w:keepNext w:val="0"/>
        <w:spacing w:before="0" w:after="0"/>
        <w:ind w:firstLine="288"/>
        <w:jc w:val="both"/>
      </w:pPr>
      <w:r>
        <w:rPr>
          <w:b/>
          <w:i w:val="0"/>
          <w:smallCaps w:val="0"/>
          <w:sz w:val="20"/>
        </w:rPr>
        <w:t>Noise ceiling.</w:t>
      </w:r>
      <w:r>
        <w:rPr>
          <w:b w:val="0"/>
          <w:i w:val="0"/>
          <w:smallCaps w:val="0"/>
          <w:sz w:val="20"/>
        </w:rPr>
        <w:t xml:space="preserve"> As an upper bound for any causal predictor of the exact label, a non-causal oracle that averages the sweeps </w:t>
      </w:r>
      <w:r>
        <w:rPr>
          <w:b w:val="0"/>
          <w:i/>
          <w:smallCaps w:val="0"/>
          <w:sz w:val="20"/>
        </w:rPr>
        <w:t>before and after</w:t>
      </w:r>
      <w:r>
        <w:rPr>
          <w:b w:val="0"/>
          <w:i w:val="0"/>
          <w:smallCaps w:val="0"/>
          <w:sz w:val="20"/>
        </w:rPr>
        <w:t xml:space="preserve"> the target sweep reaches only </w:t>
      </w:r>
      <w:r>
        <w:rPr>
          <w:b/>
          <w:i w:val="0"/>
          <w:smallCaps w:val="0"/>
          <w:sz w:val="20"/>
        </w:rPr>
        <w:t>79.0% exact top-1 and 0.59 macro-F1</w:t>
      </w:r>
      <w:r>
        <w:rPr>
          <w:b w:val="0"/>
          <w:i w:val="0"/>
          <w:smallCaps w:val="0"/>
          <w:sz w:val="20"/>
        </w:rPr>
        <w:t>.</w:t>
      </w:r>
    </w:p>
    <w:p>
      <w:pPr>
        <w:keepNext/>
        <w:spacing w:before="80" w:after="40"/>
        <w:jc w:val="left"/>
      </w:pPr>
      <w:r>
        <w:rPr>
          <w:b w:val="0"/>
          <w:i/>
          <w:smallCaps w:val="0"/>
          <w:sz w:val="20"/>
        </w:rPr>
        <w:t>C. AI-Assisted Reduced Beam Training</w:t>
      </w:r>
    </w:p>
    <w:p>
      <w:pPr>
        <w:keepNext w:val="0"/>
        <w:spacing w:before="0" w:after="0"/>
        <w:ind w:firstLine="288"/>
        <w:jc w:val="both"/>
      </w:pPr>
      <w:r>
        <w:rPr>
          <w:b w:val="0"/>
          <w:i w:val="0"/>
          <w:smallCaps w:val="0"/>
          <w:sz w:val="20"/>
        </w:rPr>
        <w:t xml:space="preserve">A deployed link does not have to choose blind: it can measure a few candidate beams at time t + h and keep the strongest. The predictor ranks the beams; the system measures the top K and keeps the best; the result is scored against the </w:t>
      </w:r>
      <w:r>
        <w:rPr>
          <w:b/>
          <w:i w:val="0"/>
          <w:smallCaps w:val="0"/>
          <w:sz w:val="20"/>
        </w:rPr>
        <w:t>full 64-beam ground truth</w:t>
      </w:r>
      <w:r>
        <w:rPr>
          <w:b w:val="0"/>
          <w:i w:val="0"/>
          <w:smallCaps w:val="0"/>
          <w:sz w:val="20"/>
        </w:rPr>
        <w:t xml:space="preserve"> on exact top-1 and macro-F1, with an overhead of K/64 of a full sweep. Shortlists are produced from out-of-fold GRU scores and compared with non-learned rankings (the last sweep's strongest beams; a window around the last best beam). The fused ranking adds the z-scored GRU log-probabilities to the z-scored last sweep with equal weight. An adaptive variant measures the smallest set whose GRU probability reaches τ.</w:t>
      </w:r>
    </w:p>
    <w:p>
      <w:pPr>
        <w:keepNext w:val="0"/>
        <w:spacing w:before="0" w:after="0"/>
        <w:ind w:firstLine="288"/>
        <w:jc w:val="both"/>
      </w:pPr>
      <w:r>
        <w:rPr>
          <w:b/>
          <w:i w:val="0"/>
          <w:smallCaps w:val="0"/>
          <w:sz w:val="20"/>
        </w:rPr>
        <w:t>Learned tie graph.</w:t>
      </w:r>
      <w:r>
        <w:rPr>
          <w:b w:val="0"/>
          <w:i w:val="0"/>
          <w:smallCaps w:val="0"/>
          <w:sz w:val="20"/>
        </w:rPr>
        <w:t xml:space="preserve"> The strong beams of this codebook are not contiguous: beams 27, 28, 32, 33 and 38 are often within 0.1 dB of each other, so a search around the last best beam misses the true best. For each beam b, the training flights give the beams most often within 1 dB of the best when b was the best. Two schemes use it, following the coarse/refine split of 3GPP beam management. </w:t>
      </w:r>
      <w:r>
        <w:rPr>
          <w:b w:val="0"/>
          <w:i/>
          <w:smallCaps w:val="0"/>
          <w:sz w:val="20"/>
        </w:rPr>
        <w:t>Two-round</w:t>
      </w:r>
      <w:r>
        <w:rPr>
          <w:b w:val="0"/>
          <w:i w:val="0"/>
          <w:smallCaps w:val="0"/>
          <w:sz w:val="20"/>
        </w:rPr>
        <w:t xml:space="preserve">: measure the first K₁ ranked beams, then the M top graph partners of the measured winner; if the best measured power is still more than 3 dB below the last sweep's peak, the beam is treated as lost and the remaining beams are swept. </w:t>
      </w:r>
      <w:r>
        <w:rPr>
          <w:b w:val="0"/>
          <w:i/>
          <w:smallCaps w:val="0"/>
          <w:sz w:val="20"/>
        </w:rPr>
        <w:t>Burst</w:t>
      </w:r>
      <w:r>
        <w:rPr>
          <w:b w:val="0"/>
          <w:i w:val="0"/>
          <w:smallCaps w:val="0"/>
          <w:sz w:val="20"/>
        </w:rPr>
        <w:t xml:space="preserve">: append the graph partners of the two </w:t>
      </w:r>
      <w:r>
        <w:rPr>
          <w:b w:val="0"/>
          <w:i/>
          <w:smallCaps w:val="0"/>
          <w:sz w:val="20"/>
        </w:rPr>
        <w:t>predicted</w:t>
      </w:r>
      <w:r>
        <w:rPr>
          <w:b w:val="0"/>
          <w:i w:val="0"/>
          <w:smallCaps w:val="0"/>
          <w:sz w:val="20"/>
        </w:rPr>
        <w:t xml:space="preserve"> best beams to the first K ranked beams and measure them all at once, avoiding a report round trip.</w:t>
      </w:r>
    </w:p>
    <w:p>
      <w:pPr>
        <w:keepNext w:val="0"/>
        <w:spacing w:before="0" w:after="0"/>
        <w:ind w:firstLine="288"/>
        <w:jc w:val="both"/>
      </w:pPr>
      <w:r>
        <w:rPr>
          <w:b/>
          <w:i w:val="0"/>
          <w:smallCaps w:val="0"/>
          <w:sz w:val="20"/>
        </w:rPr>
        <w:t>Latency model.</w:t>
      </w:r>
      <w:r>
        <w:rPr>
          <w:b w:val="0"/>
          <w:i w:val="0"/>
          <w:smallCaps w:val="0"/>
          <w:sz w:val="20"/>
        </w:rPr>
        <w:t xml:space="preserve"> We use 5G NR FR2 timing at 120 kHz subcarrier spacing, where up to 64 SSB beams fit in a 5 ms half-frame [22]: 78 µs per beam measurement, plus 1 ms for each extra report round trip. A full sweep costs 5 ms. GRU inference (0.5 ms for one model and 1.4 ms for the 3-model ensemble at batch size 1 on a laptop CPU) is not on the critical path: the shortlist for t + h is computed from sweep t, during the ≈140 ms before t + h.</w:t>
      </w:r>
    </w:p>
    <w:p>
      <w:pPr>
        <w:keepNext w:val="0"/>
        <w:spacing w:before="0" w:after="0"/>
        <w:ind w:firstLine="288"/>
        <w:jc w:val="both"/>
      </w:pPr>
      <w:r>
        <w:rPr>
          <w:b/>
          <w:i w:val="0"/>
          <w:smallCaps w:val="0"/>
          <w:sz w:val="20"/>
        </w:rPr>
        <w:t>Operating points by nested cross-validation.</w:t>
      </w:r>
      <w:r>
        <w:rPr>
          <w:b w:val="0"/>
          <w:i w:val="0"/>
          <w:smallCaps w:val="0"/>
          <w:sz w:val="20"/>
        </w:rPr>
        <w:t xml:space="preserve"> For each held-out fold, the setting (K, τ, or K₁, M and the fallback) is the lowest-latency one meeting 95% on both exact top-1 and all-class macro-F1 over the other four folds, and is then applied unchanged to the held-out fold. The tie graph is always fitted on folds other than those it is scored on, including inside this selection. 95% confidence intervals come from 500 bootstrap resamples of whole flight sequences.</w:t>
      </w:r>
    </w:p>
    <w:p>
      <w:pPr>
        <w:keepNext/>
        <w:spacing w:before="160" w:after="80"/>
        <w:jc w:val="center"/>
      </w:pPr>
      <w:r>
        <w:rPr>
          <w:b w:val="0"/>
          <w:i w:val="0"/>
          <w:smallCaps/>
          <w:sz w:val="20"/>
        </w:rPr>
        <w:t>VI. Results</w:t>
      </w:r>
    </w:p>
    <w:p>
      <w:pPr>
        <w:keepNext/>
        <w:spacing w:before="80" w:after="40"/>
        <w:jc w:val="left"/>
      </w:pPr>
      <w:r>
        <w:rPr>
          <w:b w:val="0"/>
          <w:i/>
          <w:smallCaps w:val="0"/>
          <w:sz w:val="20"/>
        </w:rPr>
        <w:t>A. Link Budget and Hardware Impairments</w:t>
      </w:r>
    </w:p>
    <w:p>
      <w:pPr>
        <w:keepNext w:val="0"/>
        <w:spacing w:before="0" w:after="0"/>
        <w:ind w:firstLine="288"/>
        <w:jc w:val="both"/>
      </w:pPr>
      <w:r>
        <w:rPr>
          <w:b w:val="0"/>
          <w:i w:val="0"/>
          <w:smallCaps w:val="0"/>
          <w:sz w:val="20"/>
        </w:rPr>
        <w:t xml:space="preserve">With ideal hardware the SNR is 15.8 dB at 20 m and 8.8 dB at 50 m. At 50 m the combined impairments cost </w:t>
      </w:r>
      <w:r>
        <w:rPr>
          <w:b/>
          <w:i w:val="0"/>
          <w:smallCaps w:val="0"/>
          <w:sz w:val="20"/>
        </w:rPr>
        <w:t>7.83 dB</w:t>
      </w:r>
      <w:r>
        <w:rPr>
          <w:b w:val="0"/>
          <w:i w:val="0"/>
          <w:smallCaps w:val="0"/>
          <w:sz w:val="20"/>
        </w:rPr>
        <w:t xml:space="preserve"> (Fig. 1): amplitude–phase coupling 5.51 dB, PA nonlinearity 1.46 dB, S11 mismatch 0.92 dB, 2-bit quantization 0.91 dB and phase noise 0.03 dB.</w:t>
      </w:r>
    </w:p>
    <w:tbl>
      <w:tblPr>
        <w:tblW w:type="auto" w:w="0"/>
        <w:jc w:val="center"/>
        <w:tblLook w:firstColumn="1" w:firstRow="1" w:lastColumn="0" w:lastRow="0" w:noHBand="0" w:noVBand="1" w:val="04A0"/>
      </w:tblPr>
      <w:tblGrid>
        <w:gridCol w:w="10440"/>
      </w:tblGrid>
      <w:tr>
        <w:trPr>
          <w:cantSplit/>
        </w:trPr>
        <w:tc>
          <w:tcPr>
            <w:tcW w:type="dxa" w:w="10440"/>
          </w:tcPr>
          <w:p>
            <w:pPr>
              <w:keepNext w:val="0"/>
              <w:spacing w:before="80" w:after="0"/>
              <w:jc w:val="center"/>
            </w:pPr>
            <w:r>
              <w:drawing>
                <wp:inline xmlns:a="http://schemas.openxmlformats.org/drawingml/2006/main" xmlns:pic="http://schemas.openxmlformats.org/drawingml/2006/picture">
                  <wp:extent cx="3108960" cy="1391545"/>
                  <wp:docPr id="1" name="Picture 1"/>
                  <wp:cNvGraphicFramePr>
                    <a:graphicFrameLocks noChangeAspect="1"/>
                  </wp:cNvGraphicFramePr>
                  <a:graphic>
                    <a:graphicData uri="http://schemas.openxmlformats.org/drawingml/2006/picture">
                      <pic:pic>
                        <pic:nvPicPr>
                          <pic:cNvPr id="0" name="fig_impairment_ablation.png"/>
                          <pic:cNvPicPr/>
                        </pic:nvPicPr>
                        <pic:blipFill>
                          <a:blip r:embed="rId9"/>
                          <a:stretch>
                            <a:fillRect/>
                          </a:stretch>
                        </pic:blipFill>
                        <pic:spPr>
                          <a:xfrm>
                            <a:off x="0" y="0"/>
                            <a:ext cx="3108960" cy="1391545"/>
                          </a:xfrm>
                          <a:prstGeom prst="rect"/>
                        </pic:spPr>
                      </pic:pic>
                    </a:graphicData>
                  </a:graphic>
                </wp:inline>
              </w:drawing>
            </w:r>
          </w:p>
          <w:p>
            <w:pPr>
              <w:keepNext w:val="0"/>
              <w:spacing w:before="0" w:after="120"/>
              <w:jc w:val="center"/>
            </w:pPr>
            <w:r>
              <w:rPr>
                <w:b w:val="0"/>
                <w:i w:val="0"/>
                <w:smallCaps w:val="0"/>
                <w:sz w:val="16"/>
              </w:rPr>
              <w:t xml:space="preserve">Fig. 1. </w:t>
            </w:r>
            <w:r>
              <w:rPr>
                <w:b w:val="0"/>
                <w:i w:val="0"/>
                <w:smallCaps w:val="0"/>
                <w:sz w:val="16"/>
              </w:rPr>
              <w:t>SNDR penalty of each impairment alone and combined, UAV at 50 m.</w:t>
            </w:r>
          </w:p>
        </w:tc>
      </w:tr>
    </w:tbl>
    <w:p>
      <w:pPr>
        <w:keepNext w:val="0"/>
        <w:spacing w:before="0" w:after="40"/>
        <w:jc w:val="both"/>
      </w:pPr>
    </w:p>
    <w:p>
      <w:pPr>
        <w:keepNext w:val="0"/>
        <w:spacing w:before="0" w:after="0"/>
        <w:ind w:firstLine="288"/>
        <w:jc w:val="both"/>
      </w:pPr>
      <w:r>
        <w:rPr>
          <w:b/>
          <w:i w:val="0"/>
          <w:smallCaps w:val="0"/>
          <w:sz w:val="20"/>
        </w:rPr>
        <w:t>Note on the first draft.</w:t>
      </w:r>
      <w:r>
        <w:rPr>
          <w:b w:val="0"/>
          <w:i w:val="0"/>
          <w:smallCaps w:val="0"/>
          <w:sz w:val="20"/>
        </w:rPr>
        <w:t xml:space="preserve"> Without antenna and element gains and with an 8×8 (2 cm) RIS, the SNR is −43.2 dB at 20 m, the value reported in our earlier draft; it reflects missing gains, not sub-THz propagation. The same cause explains the earlier −170 dBm at 140 GHz: with gains included, an 8×8 RIS receives −115.9 dBm at 140 GHz at 50 m, and the N² law holds at both carriers (Table I).</w:t>
      </w:r>
    </w:p>
    <w:p>
      <w:pPr>
        <w:keepNext/>
        <w:spacing w:before="120" w:after="0"/>
        <w:jc w:val="center"/>
      </w:pPr>
      <w:r>
        <w:rPr>
          <w:b w:val="0"/>
          <w:i w:val="0"/>
          <w:smallCaps w:val="0"/>
          <w:sz w:val="16"/>
        </w:rPr>
        <w:t>TABLE I</w:t>
      </w:r>
    </w:p>
    <w:p>
      <w:pPr>
        <w:keepNext/>
        <w:spacing w:before="0" w:after="60"/>
        <w:jc w:val="center"/>
      </w:pPr>
      <w:r>
        <w:rPr>
          <w:b w:val="0"/>
          <w:i w:val="0"/>
          <w:smallCaps/>
          <w:sz w:val="16"/>
        </w:rPr>
        <w:t>Received power at 50 m, ideal hardware (dBm)</w:t>
      </w:r>
    </w:p>
    <w:tbl>
      <w:tblPr>
        <w:tblW w:type="auto" w:w="0"/>
        <w:jc w:val="center"/>
        <w:tblLayout w:type="fixed"/>
        <w:tblLook w:firstColumn="1" w:firstRow="1" w:lastColumn="0" w:lastRow="0" w:noHBand="0" w:noVBand="1" w:val="04A0"/>
        <w:tblBorders>
          <w:top w:val="single" w:sz="8" w:color="000000"/>
          <w:bottom w:val="single" w:sz="8" w:color="000000"/>
        </w:tblBorders>
        <w:tblCellMar>
          <w:left w:w="50" w:type="dxa"/>
          <w:right w:w="50" w:type="dxa"/>
        </w:tblCellMar>
      </w:tblPr>
      <w:tblGrid>
        <w:gridCol w:w="1311"/>
        <w:gridCol w:w="1708"/>
        <w:gridCol w:w="1948"/>
      </w:tblGrid>
      <w:tr>
        <w:tc>
          <w:tcPr>
            <w:tcW w:type="dxa" w:w="1311"/>
            <w:tcBorders>
              <w:bottom w:val="single" w:sz="4" w:color="000000"/>
            </w:tcBorders>
          </w:tcPr>
          <w:p>
            <w:pPr>
              <w:keepNext w:val="0"/>
              <w:spacing w:before="0" w:after="0"/>
              <w:jc w:val="left"/>
            </w:pPr>
            <w:r>
              <w:rPr>
                <w:b/>
                <w:i w:val="0"/>
                <w:smallCaps w:val="0"/>
                <w:sz w:val="16"/>
              </w:rPr>
              <w:t>RIS</w:t>
            </w:r>
          </w:p>
        </w:tc>
        <w:tc>
          <w:tcPr>
            <w:tcW w:type="dxa" w:w="1708"/>
            <w:tcBorders>
              <w:bottom w:val="single" w:sz="4" w:color="000000"/>
            </w:tcBorders>
          </w:tcPr>
          <w:p>
            <w:pPr>
              <w:keepNext w:val="0"/>
              <w:spacing w:before="0" w:after="0"/>
              <w:jc w:val="center"/>
            </w:pPr>
            <w:r>
              <w:rPr>
                <w:b/>
                <w:i w:val="0"/>
                <w:smallCaps w:val="0"/>
                <w:sz w:val="16"/>
              </w:rPr>
              <w:t>60 GHz</w:t>
            </w:r>
          </w:p>
        </w:tc>
        <w:tc>
          <w:tcPr>
            <w:tcW w:type="dxa" w:w="1949"/>
            <w:tcBorders>
              <w:bottom w:val="single" w:sz="4" w:color="000000"/>
            </w:tcBorders>
          </w:tcPr>
          <w:p>
            <w:pPr>
              <w:keepNext w:val="0"/>
              <w:spacing w:before="0" w:after="0"/>
              <w:jc w:val="center"/>
            </w:pPr>
            <w:r>
              <w:rPr>
                <w:b/>
                <w:i w:val="0"/>
                <w:smallCaps w:val="0"/>
                <w:sz w:val="16"/>
              </w:rPr>
              <w:t>140 GHz</w:t>
            </w:r>
          </w:p>
        </w:tc>
      </w:tr>
      <w:tr>
        <w:tc>
          <w:tcPr>
            <w:tcW w:type="dxa" w:w="1311"/>
          </w:tcPr>
          <w:p>
            <w:pPr>
              <w:keepNext w:val="0"/>
              <w:spacing w:before="0" w:after="0"/>
              <w:jc w:val="left"/>
            </w:pPr>
            <w:r>
              <w:rPr>
                <w:b w:val="0"/>
                <w:i w:val="0"/>
                <w:smallCaps w:val="0"/>
                <w:sz w:val="16"/>
              </w:rPr>
              <w:t>8×8</w:t>
            </w:r>
          </w:p>
        </w:tc>
        <w:tc>
          <w:tcPr>
            <w:tcW w:type="dxa" w:w="1708"/>
          </w:tcPr>
          <w:p>
            <w:pPr>
              <w:keepNext w:val="0"/>
              <w:spacing w:before="0" w:after="0"/>
              <w:jc w:val="center"/>
            </w:pPr>
            <w:r>
              <w:rPr>
                <w:b w:val="0"/>
                <w:i w:val="0"/>
                <w:smallCaps w:val="0"/>
                <w:sz w:val="16"/>
              </w:rPr>
              <w:t>−102.3</w:t>
            </w:r>
          </w:p>
        </w:tc>
        <w:tc>
          <w:tcPr>
            <w:tcW w:type="dxa" w:w="1949"/>
          </w:tcPr>
          <w:p>
            <w:pPr>
              <w:keepNext w:val="0"/>
              <w:spacing w:before="0" w:after="0"/>
              <w:jc w:val="center"/>
            </w:pPr>
            <w:r>
              <w:rPr>
                <w:b w:val="0"/>
                <w:i w:val="0"/>
                <w:smallCaps w:val="0"/>
                <w:sz w:val="16"/>
              </w:rPr>
              <w:t>−115.9</w:t>
            </w:r>
          </w:p>
        </w:tc>
      </w:tr>
      <w:tr>
        <w:tc>
          <w:tcPr>
            <w:tcW w:type="dxa" w:w="1311"/>
          </w:tcPr>
          <w:p>
            <w:pPr>
              <w:keepNext w:val="0"/>
              <w:spacing w:before="0" w:after="0"/>
              <w:jc w:val="left"/>
            </w:pPr>
            <w:r>
              <w:rPr>
                <w:b w:val="0"/>
                <w:i w:val="0"/>
                <w:smallCaps w:val="0"/>
                <w:sz w:val="16"/>
              </w:rPr>
              <w:t>16×16</w:t>
            </w:r>
          </w:p>
        </w:tc>
        <w:tc>
          <w:tcPr>
            <w:tcW w:type="dxa" w:w="1708"/>
          </w:tcPr>
          <w:p>
            <w:pPr>
              <w:keepNext w:val="0"/>
              <w:spacing w:before="0" w:after="0"/>
              <w:jc w:val="center"/>
            </w:pPr>
            <w:r>
              <w:rPr>
                <w:b w:val="0"/>
                <w:i w:val="0"/>
                <w:smallCaps w:val="0"/>
                <w:sz w:val="16"/>
              </w:rPr>
              <w:t>−90.2</w:t>
            </w:r>
          </w:p>
        </w:tc>
        <w:tc>
          <w:tcPr>
            <w:tcW w:type="dxa" w:w="1949"/>
          </w:tcPr>
          <w:p>
            <w:pPr>
              <w:keepNext w:val="0"/>
              <w:spacing w:before="0" w:after="0"/>
              <w:jc w:val="center"/>
            </w:pPr>
            <w:r>
              <w:rPr>
                <w:b w:val="0"/>
                <w:i w:val="0"/>
                <w:smallCaps w:val="0"/>
                <w:sz w:val="16"/>
              </w:rPr>
              <w:t>−103.8</w:t>
            </w:r>
          </w:p>
        </w:tc>
      </w:tr>
      <w:tr>
        <w:tc>
          <w:tcPr>
            <w:tcW w:type="dxa" w:w="1311"/>
          </w:tcPr>
          <w:p>
            <w:pPr>
              <w:keepNext w:val="0"/>
              <w:spacing w:before="0" w:after="0"/>
              <w:jc w:val="left"/>
            </w:pPr>
            <w:r>
              <w:rPr>
                <w:b w:val="0"/>
                <w:i w:val="0"/>
                <w:smallCaps w:val="0"/>
                <w:sz w:val="16"/>
              </w:rPr>
              <w:t>32×32</w:t>
            </w:r>
          </w:p>
        </w:tc>
        <w:tc>
          <w:tcPr>
            <w:tcW w:type="dxa" w:w="1708"/>
          </w:tcPr>
          <w:p>
            <w:pPr>
              <w:keepNext w:val="0"/>
              <w:spacing w:before="0" w:after="0"/>
              <w:jc w:val="center"/>
            </w:pPr>
            <w:r>
              <w:rPr>
                <w:b w:val="0"/>
                <w:i w:val="0"/>
                <w:smallCaps w:val="0"/>
                <w:sz w:val="16"/>
              </w:rPr>
              <w:t>−78.2</w:t>
            </w:r>
          </w:p>
        </w:tc>
        <w:tc>
          <w:tcPr>
            <w:tcW w:type="dxa" w:w="1949"/>
          </w:tcPr>
          <w:p>
            <w:pPr>
              <w:keepNext w:val="0"/>
              <w:spacing w:before="0" w:after="0"/>
              <w:jc w:val="center"/>
            </w:pPr>
            <w:r>
              <w:rPr>
                <w:b w:val="0"/>
                <w:i w:val="0"/>
                <w:smallCaps w:val="0"/>
                <w:sz w:val="16"/>
              </w:rPr>
              <w:t>−91.8</w:t>
            </w:r>
          </w:p>
        </w:tc>
      </w:tr>
      <w:tr>
        <w:tc>
          <w:tcPr>
            <w:tcW w:type="dxa" w:w="1311"/>
          </w:tcPr>
          <w:p>
            <w:pPr>
              <w:keepNext w:val="0"/>
              <w:spacing w:before="0" w:after="0"/>
              <w:jc w:val="left"/>
            </w:pPr>
            <w:r>
              <w:rPr>
                <w:b w:val="0"/>
                <w:i w:val="0"/>
                <w:smallCaps w:val="0"/>
                <w:sz w:val="16"/>
              </w:rPr>
              <w:t>64×64</w:t>
            </w:r>
          </w:p>
        </w:tc>
        <w:tc>
          <w:tcPr>
            <w:tcW w:type="dxa" w:w="1708"/>
          </w:tcPr>
          <w:p>
            <w:pPr>
              <w:keepNext w:val="0"/>
              <w:spacing w:before="0" w:after="0"/>
              <w:jc w:val="center"/>
            </w:pPr>
            <w:r>
              <w:rPr>
                <w:b w:val="0"/>
                <w:i w:val="0"/>
                <w:smallCaps w:val="0"/>
                <w:sz w:val="16"/>
              </w:rPr>
              <w:t>−66.2</w:t>
            </w:r>
          </w:p>
        </w:tc>
        <w:tc>
          <w:tcPr>
            <w:tcW w:type="dxa" w:w="1949"/>
          </w:tcPr>
          <w:p>
            <w:pPr>
              <w:keepNext w:val="0"/>
              <w:spacing w:before="0" w:after="0"/>
              <w:jc w:val="center"/>
            </w:pPr>
            <w:r>
              <w:rPr>
                <w:b w:val="0"/>
                <w:i w:val="0"/>
                <w:smallCaps w:val="0"/>
                <w:sz w:val="16"/>
              </w:rPr>
              <w:t>−79.7</w:t>
            </w:r>
          </w:p>
        </w:tc>
      </w:tr>
    </w:tbl>
    <w:p>
      <w:pPr>
        <w:keepNext w:val="0"/>
        <w:spacing w:before="0" w:after="120"/>
        <w:jc w:val="both"/>
      </w:pPr>
    </w:p>
    <w:p>
      <w:pPr>
        <w:keepNext w:val="0"/>
        <w:spacing w:before="0" w:after="0"/>
        <w:ind w:firstLine="288"/>
        <w:jc w:val="both"/>
      </w:pPr>
      <w:r>
        <w:rPr>
          <w:b/>
          <w:i w:val="0"/>
          <w:smallCaps w:val="0"/>
          <w:sz w:val="20"/>
        </w:rPr>
        <w:t>Phase resolution and coupling strength.</w:t>
      </w:r>
      <w:r>
        <w:rPr>
          <w:b w:val="0"/>
          <w:i w:val="0"/>
          <w:smallCaps w:val="0"/>
          <w:sz w:val="20"/>
        </w:rPr>
        <w:t xml:space="preserve"> Coupling-aware selection (Sec. III-A) gains more as more realisable states become available: 0.55, 0.92 and 1.01 dB at 2, 3 and 4 bits, and nothing at 1 bit (−0.06 dB). No measured coupling curve for a 60 GHz element is available to us, so we sweep its strength (Table II). The total penalty ranges from 2.9 dB without coupling to 7.8 dB at β</w:t>
      </w:r>
      <w:r>
        <w:rPr>
          <w:b w:val="0"/>
          <w:i w:val="0"/>
          <w:smallCaps w:val="0"/>
          <w:sz w:val="20"/>
          <w:vertAlign w:val="subscript"/>
        </w:rPr>
        <w:t>min</w:t>
      </w:r>
      <w:r>
        <w:rPr>
          <w:b w:val="0"/>
          <w:i w:val="0"/>
          <w:smallCaps w:val="0"/>
          <w:sz w:val="20"/>
        </w:rPr>
        <w:t xml:space="preserve"> = 0.2; the conclusions below hold across this range, and the gain of coupling-aware control shrinks as coupling weakens.</w:t>
      </w:r>
    </w:p>
    <w:p>
      <w:pPr>
        <w:keepNext/>
        <w:spacing w:before="120" w:after="0"/>
        <w:jc w:val="center"/>
      </w:pPr>
      <w:r>
        <w:rPr>
          <w:b w:val="0"/>
          <w:i w:val="0"/>
          <w:smallCaps w:val="0"/>
          <w:sz w:val="16"/>
        </w:rPr>
        <w:t>TABLE II</w:t>
      </w:r>
    </w:p>
    <w:p>
      <w:pPr>
        <w:keepNext/>
        <w:spacing w:before="0" w:after="60"/>
        <w:jc w:val="center"/>
      </w:pPr>
      <w:r>
        <w:rPr>
          <w:b w:val="0"/>
          <w:i w:val="0"/>
          <w:smallCaps/>
          <w:sz w:val="16"/>
        </w:rPr>
        <w:t>SNDR penalty vs coupling strength, UAV at 50 m, 2-bit phases</w:t>
      </w:r>
    </w:p>
    <w:tbl>
      <w:tblPr>
        <w:tblW w:type="auto" w:w="0"/>
        <w:jc w:val="center"/>
        <w:tblLayout w:type="fixed"/>
        <w:tblLook w:firstColumn="1" w:firstRow="1" w:lastColumn="0" w:lastRow="0" w:noHBand="0" w:noVBand="1" w:val="04A0"/>
        <w:tblBorders>
          <w:top w:val="single" w:sz="8" w:color="000000"/>
          <w:bottom w:val="single" w:sz="8" w:color="000000"/>
        </w:tblBorders>
        <w:tblCellMar>
          <w:left w:w="50" w:type="dxa"/>
          <w:right w:w="50" w:type="dxa"/>
        </w:tblCellMar>
      </w:tblPr>
      <w:tblGrid>
        <w:gridCol w:w="1860"/>
        <w:gridCol w:w="483"/>
        <w:gridCol w:w="483"/>
        <w:gridCol w:w="483"/>
        <w:gridCol w:w="483"/>
        <w:gridCol w:w="1172"/>
      </w:tblGrid>
      <w:tr>
        <w:tc>
          <w:tcPr>
            <w:tcW w:type="dxa" w:w="1860"/>
            <w:tcBorders>
              <w:bottom w:val="single" w:sz="4" w:color="000000"/>
            </w:tcBorders>
          </w:tcPr>
          <w:p>
            <w:pPr>
              <w:keepNext w:val="0"/>
              <w:spacing w:before="0" w:after="0"/>
              <w:jc w:val="left"/>
            </w:pPr>
            <w:r>
              <w:rPr>
                <w:b/>
                <w:i w:val="0"/>
                <w:smallCaps w:val="0"/>
                <w:sz w:val="16"/>
              </w:rPr>
              <w:t>β</w:t>
            </w:r>
            <w:r>
              <w:rPr>
                <w:b/>
                <w:i w:val="0"/>
                <w:smallCaps w:val="0"/>
                <w:sz w:val="16"/>
                <w:vertAlign w:val="subscript"/>
              </w:rPr>
              <w:t>min</w:t>
            </w:r>
          </w:p>
        </w:tc>
        <w:tc>
          <w:tcPr>
            <w:tcW w:type="dxa" w:w="484"/>
            <w:tcBorders>
              <w:bottom w:val="single" w:sz="4" w:color="000000"/>
            </w:tcBorders>
          </w:tcPr>
          <w:p>
            <w:pPr>
              <w:keepNext w:val="0"/>
              <w:spacing w:before="0" w:after="0"/>
              <w:jc w:val="center"/>
            </w:pPr>
            <w:r>
              <w:rPr>
                <w:b/>
                <w:i w:val="0"/>
                <w:smallCaps w:val="0"/>
                <w:sz w:val="16"/>
              </w:rPr>
              <w:t>0.2</w:t>
            </w:r>
          </w:p>
        </w:tc>
        <w:tc>
          <w:tcPr>
            <w:tcW w:type="dxa" w:w="484"/>
            <w:tcBorders>
              <w:bottom w:val="single" w:sz="4" w:color="000000"/>
            </w:tcBorders>
          </w:tcPr>
          <w:p>
            <w:pPr>
              <w:keepNext w:val="0"/>
              <w:spacing w:before="0" w:after="0"/>
              <w:jc w:val="center"/>
            </w:pPr>
            <w:r>
              <w:rPr>
                <w:b/>
                <w:i w:val="0"/>
                <w:smallCaps w:val="0"/>
                <w:sz w:val="16"/>
              </w:rPr>
              <w:t>0.4</w:t>
            </w:r>
          </w:p>
        </w:tc>
        <w:tc>
          <w:tcPr>
            <w:tcW w:type="dxa" w:w="484"/>
            <w:tcBorders>
              <w:bottom w:val="single" w:sz="4" w:color="000000"/>
            </w:tcBorders>
          </w:tcPr>
          <w:p>
            <w:pPr>
              <w:keepNext w:val="0"/>
              <w:spacing w:before="0" w:after="0"/>
              <w:jc w:val="center"/>
            </w:pPr>
            <w:r>
              <w:rPr>
                <w:b/>
                <w:i w:val="0"/>
                <w:smallCaps w:val="0"/>
                <w:sz w:val="16"/>
              </w:rPr>
              <w:t>0.6</w:t>
            </w:r>
          </w:p>
        </w:tc>
        <w:tc>
          <w:tcPr>
            <w:tcW w:type="dxa" w:w="484"/>
            <w:tcBorders>
              <w:bottom w:val="single" w:sz="4" w:color="000000"/>
            </w:tcBorders>
          </w:tcPr>
          <w:p>
            <w:pPr>
              <w:keepNext w:val="0"/>
              <w:spacing w:before="0" w:after="0"/>
              <w:jc w:val="center"/>
            </w:pPr>
            <w:r>
              <w:rPr>
                <w:b/>
                <w:i w:val="0"/>
                <w:smallCaps w:val="0"/>
                <w:sz w:val="16"/>
              </w:rPr>
              <w:t>0.8</w:t>
            </w:r>
          </w:p>
        </w:tc>
        <w:tc>
          <w:tcPr>
            <w:tcW w:type="dxa" w:w="1172"/>
            <w:tcBorders>
              <w:bottom w:val="single" w:sz="4" w:color="000000"/>
            </w:tcBorders>
          </w:tcPr>
          <w:p>
            <w:pPr>
              <w:keepNext w:val="0"/>
              <w:spacing w:before="0" w:after="0"/>
              <w:jc w:val="center"/>
            </w:pPr>
            <w:r>
              <w:rPr>
                <w:b/>
                <w:i w:val="0"/>
                <w:smallCaps w:val="0"/>
                <w:sz w:val="16"/>
              </w:rPr>
              <w:t>1.0 (none)</w:t>
            </w:r>
          </w:p>
        </w:tc>
      </w:tr>
      <w:tr>
        <w:tc>
          <w:tcPr>
            <w:tcW w:type="dxa" w:w="1860"/>
          </w:tcPr>
          <w:p>
            <w:pPr>
              <w:keepNext w:val="0"/>
              <w:spacing w:before="0" w:after="0"/>
              <w:jc w:val="left"/>
            </w:pPr>
            <w:r>
              <w:rPr>
                <w:b w:val="0"/>
                <w:i w:val="0"/>
                <w:smallCaps w:val="0"/>
                <w:sz w:val="16"/>
              </w:rPr>
              <w:t>Naive control (dB)</w:t>
            </w:r>
          </w:p>
        </w:tc>
        <w:tc>
          <w:tcPr>
            <w:tcW w:type="dxa" w:w="484"/>
          </w:tcPr>
          <w:p>
            <w:pPr>
              <w:keepNext w:val="0"/>
              <w:spacing w:before="0" w:after="0"/>
              <w:jc w:val="center"/>
            </w:pPr>
            <w:r>
              <w:rPr>
                <w:b w:val="0"/>
                <w:i w:val="0"/>
                <w:smallCaps w:val="0"/>
                <w:sz w:val="16"/>
              </w:rPr>
              <w:t>7.83</w:t>
            </w:r>
          </w:p>
        </w:tc>
        <w:tc>
          <w:tcPr>
            <w:tcW w:type="dxa" w:w="484"/>
          </w:tcPr>
          <w:p>
            <w:pPr>
              <w:keepNext w:val="0"/>
              <w:spacing w:before="0" w:after="0"/>
              <w:jc w:val="center"/>
            </w:pPr>
            <w:r>
              <w:rPr>
                <w:b w:val="0"/>
                <w:i w:val="0"/>
                <w:smallCaps w:val="0"/>
                <w:sz w:val="16"/>
              </w:rPr>
              <w:t>6.22</w:t>
            </w:r>
          </w:p>
        </w:tc>
        <w:tc>
          <w:tcPr>
            <w:tcW w:type="dxa" w:w="484"/>
          </w:tcPr>
          <w:p>
            <w:pPr>
              <w:keepNext w:val="0"/>
              <w:spacing w:before="0" w:after="0"/>
              <w:jc w:val="center"/>
            </w:pPr>
            <w:r>
              <w:rPr>
                <w:b w:val="0"/>
                <w:i w:val="0"/>
                <w:smallCaps w:val="0"/>
                <w:sz w:val="16"/>
              </w:rPr>
              <w:t>4.92</w:t>
            </w:r>
          </w:p>
        </w:tc>
        <w:tc>
          <w:tcPr>
            <w:tcW w:type="dxa" w:w="484"/>
          </w:tcPr>
          <w:p>
            <w:pPr>
              <w:keepNext w:val="0"/>
              <w:spacing w:before="0" w:after="0"/>
              <w:jc w:val="center"/>
            </w:pPr>
            <w:r>
              <w:rPr>
                <w:b w:val="0"/>
                <w:i w:val="0"/>
                <w:smallCaps w:val="0"/>
                <w:sz w:val="16"/>
              </w:rPr>
              <w:t>3.84</w:t>
            </w:r>
          </w:p>
        </w:tc>
        <w:tc>
          <w:tcPr>
            <w:tcW w:type="dxa" w:w="1172"/>
          </w:tcPr>
          <w:p>
            <w:pPr>
              <w:keepNext w:val="0"/>
              <w:spacing w:before="0" w:after="0"/>
              <w:jc w:val="center"/>
            </w:pPr>
            <w:r>
              <w:rPr>
                <w:b w:val="0"/>
                <w:i w:val="0"/>
                <w:smallCaps w:val="0"/>
                <w:sz w:val="16"/>
              </w:rPr>
              <w:t>2.93</w:t>
            </w:r>
          </w:p>
        </w:tc>
      </w:tr>
      <w:tr>
        <w:tc>
          <w:tcPr>
            <w:tcW w:type="dxa" w:w="1860"/>
          </w:tcPr>
          <w:p>
            <w:pPr>
              <w:keepNext w:val="0"/>
              <w:spacing w:before="0" w:after="0"/>
              <w:jc w:val="left"/>
            </w:pPr>
            <w:r>
              <w:rPr>
                <w:b w:val="0"/>
                <w:i w:val="0"/>
                <w:smallCaps w:val="0"/>
                <w:sz w:val="16"/>
              </w:rPr>
              <w:t>Coupling-aware (dB)</w:t>
            </w:r>
          </w:p>
        </w:tc>
        <w:tc>
          <w:tcPr>
            <w:tcW w:type="dxa" w:w="484"/>
          </w:tcPr>
          <w:p>
            <w:pPr>
              <w:keepNext w:val="0"/>
              <w:spacing w:before="0" w:after="0"/>
              <w:jc w:val="center"/>
            </w:pPr>
            <w:r>
              <w:rPr>
                <w:b w:val="0"/>
                <w:i w:val="0"/>
                <w:smallCaps w:val="0"/>
                <w:sz w:val="16"/>
              </w:rPr>
              <w:t>7.28</w:t>
            </w:r>
          </w:p>
        </w:tc>
        <w:tc>
          <w:tcPr>
            <w:tcW w:type="dxa" w:w="484"/>
          </w:tcPr>
          <w:p>
            <w:pPr>
              <w:keepNext w:val="0"/>
              <w:spacing w:before="0" w:after="0"/>
              <w:jc w:val="center"/>
            </w:pPr>
            <w:r>
              <w:rPr>
                <w:b w:val="0"/>
                <w:i w:val="0"/>
                <w:smallCaps w:val="0"/>
                <w:sz w:val="16"/>
              </w:rPr>
              <w:t>5.98</w:t>
            </w:r>
          </w:p>
        </w:tc>
        <w:tc>
          <w:tcPr>
            <w:tcW w:type="dxa" w:w="484"/>
          </w:tcPr>
          <w:p>
            <w:pPr>
              <w:keepNext w:val="0"/>
              <w:spacing w:before="0" w:after="0"/>
              <w:jc w:val="center"/>
            </w:pPr>
            <w:r>
              <w:rPr>
                <w:b w:val="0"/>
                <w:i w:val="0"/>
                <w:smallCaps w:val="0"/>
                <w:sz w:val="16"/>
              </w:rPr>
              <w:t>4.83</w:t>
            </w:r>
          </w:p>
        </w:tc>
        <w:tc>
          <w:tcPr>
            <w:tcW w:type="dxa" w:w="484"/>
          </w:tcPr>
          <w:p>
            <w:pPr>
              <w:keepNext w:val="0"/>
              <w:spacing w:before="0" w:after="0"/>
              <w:jc w:val="center"/>
            </w:pPr>
            <w:r>
              <w:rPr>
                <w:b w:val="0"/>
                <w:i w:val="0"/>
                <w:smallCaps w:val="0"/>
                <w:sz w:val="16"/>
              </w:rPr>
              <w:t>3.80</w:t>
            </w:r>
          </w:p>
        </w:tc>
        <w:tc>
          <w:tcPr>
            <w:tcW w:type="dxa" w:w="1172"/>
          </w:tcPr>
          <w:p>
            <w:pPr>
              <w:keepNext w:val="0"/>
              <w:spacing w:before="0" w:after="0"/>
              <w:jc w:val="center"/>
            </w:pPr>
            <w:r>
              <w:rPr>
                <w:b w:val="0"/>
                <w:i w:val="0"/>
                <w:smallCaps w:val="0"/>
                <w:sz w:val="16"/>
              </w:rPr>
              <w:t>2.90</w:t>
            </w:r>
          </w:p>
        </w:tc>
      </w:tr>
    </w:tbl>
    <w:p>
      <w:pPr>
        <w:keepNext w:val="0"/>
        <w:spacing w:before="0" w:after="120"/>
        <w:jc w:val="both"/>
      </w:pPr>
    </w:p>
    <w:p>
      <w:pPr>
        <w:keepNext w:val="0"/>
        <w:spacing w:before="0" w:after="0"/>
        <w:ind w:firstLine="288"/>
        <w:jc w:val="both"/>
      </w:pPr>
      <w:r>
        <w:rPr>
          <w:b w:val="0"/>
          <w:i w:val="0"/>
          <w:smallCaps w:val="0"/>
          <w:sz w:val="20"/>
        </w:rPr>
        <w:t>Impairments change how large the RIS must be (Fig. 2). Over a 20 → 320 m flight, a 64×64 RIS gives 100% availability (SNDR ≥ 0 dB) with ideal hardware but only 57% with realistic hardware; a 96×96 RIS (24 cm) restores 100%. The hardware cost is therefore about 2.25× in element count.</w:t>
      </w:r>
    </w:p>
    <w:tbl>
      <w:tblPr>
        <w:tblW w:type="auto" w:w="0"/>
        <w:jc w:val="center"/>
        <w:tblLook w:firstColumn="1" w:firstRow="1" w:lastColumn="0" w:lastRow="0" w:noHBand="0" w:noVBand="1" w:val="04A0"/>
      </w:tblPr>
      <w:tblGrid>
        <w:gridCol w:w="10440"/>
      </w:tblGrid>
      <w:tr>
        <w:trPr>
          <w:cantSplit/>
        </w:trPr>
        <w:tc>
          <w:tcPr>
            <w:tcW w:type="dxa" w:w="10440"/>
          </w:tcPr>
          <w:p>
            <w:pPr>
              <w:keepNext w:val="0"/>
              <w:spacing w:before="80" w:after="0"/>
              <w:jc w:val="center"/>
            </w:pPr>
            <w:r>
              <w:drawing>
                <wp:inline xmlns:a="http://schemas.openxmlformats.org/drawingml/2006/main" xmlns:pic="http://schemas.openxmlformats.org/drawingml/2006/picture">
                  <wp:extent cx="3108960" cy="2011179"/>
                  <wp:docPr id="2" name="Picture 2"/>
                  <wp:cNvGraphicFramePr>
                    <a:graphicFrameLocks noChangeAspect="1"/>
                  </wp:cNvGraphicFramePr>
                  <a:graphic>
                    <a:graphicData uri="http://schemas.openxmlformats.org/drawingml/2006/picture">
                      <pic:pic>
                        <pic:nvPicPr>
                          <pic:cNvPr id="0" name="fig_ris_sizing.png"/>
                          <pic:cNvPicPr/>
                        </pic:nvPicPr>
                        <pic:blipFill>
                          <a:blip r:embed="rId10"/>
                          <a:stretch>
                            <a:fillRect/>
                          </a:stretch>
                        </pic:blipFill>
                        <pic:spPr>
                          <a:xfrm>
                            <a:off x="0" y="0"/>
                            <a:ext cx="3108960" cy="2011179"/>
                          </a:xfrm>
                          <a:prstGeom prst="rect"/>
                        </pic:spPr>
                      </pic:pic>
                    </a:graphicData>
                  </a:graphic>
                </wp:inline>
              </w:drawing>
            </w:r>
          </w:p>
          <w:p>
            <w:pPr>
              <w:keepNext w:val="0"/>
              <w:spacing w:before="0" w:after="120"/>
              <w:jc w:val="center"/>
            </w:pPr>
            <w:r>
              <w:rPr>
                <w:b w:val="0"/>
                <w:i w:val="0"/>
                <w:smallCaps w:val="0"/>
                <w:sz w:val="16"/>
              </w:rPr>
              <w:t xml:space="preserve">Fig. 2. </w:t>
            </w:r>
            <w:r>
              <w:rPr>
                <w:b w:val="0"/>
                <w:i w:val="0"/>
                <w:smallCaps w:val="0"/>
                <w:sz w:val="16"/>
              </w:rPr>
              <w:t>Link availability over the flight versus RIS size.</w:t>
            </w:r>
          </w:p>
        </w:tc>
      </w:tr>
    </w:tbl>
    <w:p>
      <w:pPr>
        <w:keepNext w:val="0"/>
        <w:spacing w:before="0" w:after="40"/>
        <w:jc w:val="both"/>
      </w:pPr>
    </w:p>
    <w:p>
      <w:pPr>
        <w:keepNext w:val="0"/>
        <w:spacing w:before="0" w:after="0"/>
        <w:ind w:firstLine="288"/>
        <w:jc w:val="both"/>
      </w:pPr>
      <w:r>
        <w:rPr>
          <w:b/>
          <w:i w:val="0"/>
          <w:smallCaps w:val="0"/>
          <w:sz w:val="20"/>
        </w:rPr>
        <w:t>60 vs 140 GHz at equal aperture.</w:t>
      </w:r>
      <w:r>
        <w:rPr>
          <w:b w:val="0"/>
          <w:i w:val="0"/>
          <w:smallCaps w:val="0"/>
          <w:sz w:val="20"/>
        </w:rPr>
        <w:t xml:space="preserve"> With the same 8 cm panel (32×32 at 60 GHz, 75×75 at 140 GHz) and the same transceiver hardware, 140 GHz performs slightly better (ideal SNR 16.6 vs 15.8 dB at 20 m; 47.5% vs 34.4% availability): it avoids the 60 GHz oxygen line (0.69 vs 14.6 dB/km) and fits 5.5× more elements in the same area. With published D-band hardware (about 20 dBm PA saturation [20], hence 14 dBm average at 6 dB back-off, and an LNA noise figure near 10 dB [21]) the link loses about 9 dB, and the RIS must grow to 32 cm (300×300 elements) for full availability with realistic impairments, against 24 cm at 60 GHz (Table III). At sub-THz, transceiver hardware, not propagation, sets the RIS size.</w:t>
      </w:r>
    </w:p>
    <w:p>
      <w:pPr>
        <w:keepNext/>
        <w:spacing w:before="120" w:after="0"/>
        <w:jc w:val="center"/>
      </w:pPr>
      <w:r>
        <w:rPr>
          <w:b w:val="0"/>
          <w:i w:val="0"/>
          <w:smallCaps w:val="0"/>
          <w:sz w:val="16"/>
        </w:rPr>
        <w:t>TABLE III</w:t>
      </w:r>
    </w:p>
    <w:p>
      <w:pPr>
        <w:keepNext/>
        <w:spacing w:before="0" w:after="60"/>
        <w:jc w:val="center"/>
      </w:pPr>
      <w:r>
        <w:rPr>
          <w:b w:val="0"/>
          <w:i w:val="0"/>
          <w:smallCaps/>
          <w:sz w:val="16"/>
        </w:rPr>
        <w:t>Availability (%) over the flight, 140 GHz with D-band hardware, ideal / realistic RIS</w:t>
      </w:r>
    </w:p>
    <w:tbl>
      <w:tblPr>
        <w:tblW w:type="auto" w:w="0"/>
        <w:jc w:val="center"/>
        <w:tblLayout w:type="fixed"/>
        <w:tblLook w:firstColumn="1" w:firstRow="1" w:lastColumn="0" w:lastRow="0" w:noHBand="0" w:noVBand="1" w:val="04A0"/>
        <w:tblBorders>
          <w:top w:val="single" w:sz="8" w:color="000000"/>
          <w:bottom w:val="single" w:sz="8" w:color="000000"/>
        </w:tblBorders>
        <w:tblCellMar>
          <w:left w:w="50" w:type="dxa"/>
          <w:right w:w="50" w:type="dxa"/>
        </w:tblCellMar>
      </w:tblPr>
      <w:tblGrid>
        <w:gridCol w:w="2091"/>
        <w:gridCol w:w="650"/>
        <w:gridCol w:w="742"/>
        <w:gridCol w:w="742"/>
        <w:gridCol w:w="742"/>
      </w:tblGrid>
      <w:tr>
        <w:tc>
          <w:tcPr>
            <w:tcW w:type="dxa" w:w="2091"/>
            <w:tcBorders>
              <w:bottom w:val="single" w:sz="4" w:color="000000"/>
            </w:tcBorders>
          </w:tcPr>
          <w:p>
            <w:pPr>
              <w:keepNext w:val="0"/>
              <w:spacing w:before="0" w:after="0"/>
              <w:jc w:val="left"/>
            </w:pPr>
            <w:r>
              <w:rPr>
                <w:b/>
                <w:i w:val="0"/>
                <w:smallCaps w:val="0"/>
                <w:sz w:val="16"/>
              </w:rPr>
              <w:t>RIS (aperture)</w:t>
            </w:r>
          </w:p>
        </w:tc>
        <w:tc>
          <w:tcPr>
            <w:tcW w:type="dxa" w:w="651"/>
            <w:tcBorders>
              <w:bottom w:val="single" w:sz="4" w:color="000000"/>
            </w:tcBorders>
          </w:tcPr>
          <w:p>
            <w:pPr>
              <w:keepNext w:val="0"/>
              <w:spacing w:before="0" w:after="0"/>
              <w:jc w:val="center"/>
            </w:pPr>
            <w:r>
              <w:rPr>
                <w:b/>
                <w:i w:val="0"/>
                <w:smallCaps w:val="0"/>
                <w:sz w:val="16"/>
              </w:rPr>
              <w:t>75×75 (8 cm)</w:t>
            </w:r>
          </w:p>
        </w:tc>
        <w:tc>
          <w:tcPr>
            <w:tcW w:type="dxa" w:w="742"/>
            <w:tcBorders>
              <w:bottom w:val="single" w:sz="4" w:color="000000"/>
            </w:tcBorders>
          </w:tcPr>
          <w:p>
            <w:pPr>
              <w:keepNext w:val="0"/>
              <w:spacing w:before="0" w:after="0"/>
              <w:jc w:val="center"/>
            </w:pPr>
            <w:r>
              <w:rPr>
                <w:b/>
                <w:i w:val="0"/>
                <w:smallCaps w:val="0"/>
                <w:sz w:val="16"/>
              </w:rPr>
              <w:t>150×150 (16 cm)</w:t>
            </w:r>
          </w:p>
        </w:tc>
        <w:tc>
          <w:tcPr>
            <w:tcW w:type="dxa" w:w="742"/>
            <w:tcBorders>
              <w:bottom w:val="single" w:sz="4" w:color="000000"/>
            </w:tcBorders>
          </w:tcPr>
          <w:p>
            <w:pPr>
              <w:keepNext w:val="0"/>
              <w:spacing w:before="0" w:after="0"/>
              <w:jc w:val="center"/>
            </w:pPr>
            <w:r>
              <w:rPr>
                <w:b/>
                <w:i w:val="0"/>
                <w:smallCaps w:val="0"/>
                <w:sz w:val="16"/>
              </w:rPr>
              <w:t>225×225 (24 cm)</w:t>
            </w:r>
          </w:p>
        </w:tc>
        <w:tc>
          <w:tcPr>
            <w:tcW w:type="dxa" w:w="742"/>
            <w:tcBorders>
              <w:bottom w:val="single" w:sz="4" w:color="000000"/>
            </w:tcBorders>
          </w:tcPr>
          <w:p>
            <w:pPr>
              <w:keepNext w:val="0"/>
              <w:spacing w:before="0" w:after="0"/>
              <w:jc w:val="center"/>
            </w:pPr>
            <w:r>
              <w:rPr>
                <w:b/>
                <w:i w:val="0"/>
                <w:smallCaps w:val="0"/>
                <w:sz w:val="16"/>
              </w:rPr>
              <w:t>300×300 (32 cm)</w:t>
            </w:r>
          </w:p>
        </w:tc>
      </w:tr>
      <w:tr>
        <w:tc>
          <w:tcPr>
            <w:tcW w:type="dxa" w:w="2091"/>
          </w:tcPr>
          <w:p>
            <w:pPr>
              <w:keepNext w:val="0"/>
              <w:spacing w:before="0" w:after="0"/>
              <w:jc w:val="left"/>
            </w:pPr>
            <w:r>
              <w:rPr>
                <w:b w:val="0"/>
                <w:i w:val="0"/>
                <w:smallCaps w:val="0"/>
                <w:sz w:val="16"/>
              </w:rPr>
              <w:t>Ideal hardware</w:t>
            </w:r>
          </w:p>
        </w:tc>
        <w:tc>
          <w:tcPr>
            <w:tcW w:type="dxa" w:w="651"/>
          </w:tcPr>
          <w:p>
            <w:pPr>
              <w:keepNext w:val="0"/>
              <w:spacing w:before="0" w:after="0"/>
              <w:jc w:val="center"/>
            </w:pPr>
            <w:r>
              <w:rPr>
                <w:b w:val="0"/>
                <w:i w:val="0"/>
                <w:smallCaps w:val="0"/>
                <w:sz w:val="16"/>
              </w:rPr>
              <w:t>13.1</w:t>
            </w:r>
          </w:p>
        </w:tc>
        <w:tc>
          <w:tcPr>
            <w:tcW w:type="dxa" w:w="742"/>
          </w:tcPr>
          <w:p>
            <w:pPr>
              <w:keepNext w:val="0"/>
              <w:spacing w:before="0" w:after="0"/>
              <w:jc w:val="center"/>
            </w:pPr>
            <w:r>
              <w:rPr>
                <w:b w:val="0"/>
                <w:i w:val="0"/>
                <w:smallCaps w:val="0"/>
                <w:sz w:val="16"/>
              </w:rPr>
              <w:t>68.9</w:t>
            </w:r>
          </w:p>
        </w:tc>
        <w:tc>
          <w:tcPr>
            <w:tcW w:type="dxa" w:w="742"/>
          </w:tcPr>
          <w:p>
            <w:pPr>
              <w:keepNext w:val="0"/>
              <w:spacing w:before="0" w:after="0"/>
              <w:jc w:val="center"/>
            </w:pPr>
            <w:r>
              <w:rPr>
                <w:b w:val="0"/>
                <w:i w:val="0"/>
                <w:smallCaps w:val="0"/>
                <w:sz w:val="16"/>
              </w:rPr>
              <w:t>100</w:t>
            </w:r>
          </w:p>
        </w:tc>
        <w:tc>
          <w:tcPr>
            <w:tcW w:type="dxa" w:w="742"/>
          </w:tcPr>
          <w:p>
            <w:pPr>
              <w:keepNext w:val="0"/>
              <w:spacing w:before="0" w:after="0"/>
              <w:jc w:val="center"/>
            </w:pPr>
            <w:r>
              <w:rPr>
                <w:b w:val="0"/>
                <w:i w:val="0"/>
                <w:smallCaps w:val="0"/>
                <w:sz w:val="16"/>
              </w:rPr>
              <w:t>100</w:t>
            </w:r>
          </w:p>
        </w:tc>
      </w:tr>
      <w:tr>
        <w:tc>
          <w:tcPr>
            <w:tcW w:type="dxa" w:w="2091"/>
          </w:tcPr>
          <w:p>
            <w:pPr>
              <w:keepNext w:val="0"/>
              <w:spacing w:before="0" w:after="0"/>
              <w:jc w:val="left"/>
            </w:pPr>
            <w:r>
              <w:rPr>
                <w:b w:val="0"/>
                <w:i w:val="0"/>
                <w:smallCaps w:val="0"/>
                <w:sz w:val="16"/>
              </w:rPr>
              <w:t>Realistic, coupling-aware</w:t>
            </w:r>
          </w:p>
        </w:tc>
        <w:tc>
          <w:tcPr>
            <w:tcW w:type="dxa" w:w="651"/>
          </w:tcPr>
          <w:p>
            <w:pPr>
              <w:keepNext w:val="0"/>
              <w:spacing w:before="0" w:after="0"/>
              <w:jc w:val="center"/>
            </w:pPr>
            <w:r>
              <w:rPr>
                <w:b w:val="0"/>
                <w:i w:val="0"/>
                <w:smallCaps w:val="0"/>
                <w:sz w:val="16"/>
              </w:rPr>
              <w:t>1.6</w:t>
            </w:r>
          </w:p>
        </w:tc>
        <w:tc>
          <w:tcPr>
            <w:tcW w:type="dxa" w:w="742"/>
          </w:tcPr>
          <w:p>
            <w:pPr>
              <w:keepNext w:val="0"/>
              <w:spacing w:before="0" w:after="0"/>
              <w:jc w:val="center"/>
            </w:pPr>
            <w:r>
              <w:rPr>
                <w:b w:val="0"/>
                <w:i w:val="0"/>
                <w:smallCaps w:val="0"/>
                <w:sz w:val="16"/>
              </w:rPr>
              <w:t>27.9</w:t>
            </w:r>
          </w:p>
        </w:tc>
        <w:tc>
          <w:tcPr>
            <w:tcW w:type="dxa" w:w="742"/>
          </w:tcPr>
          <w:p>
            <w:pPr>
              <w:keepNext w:val="0"/>
              <w:spacing w:before="0" w:after="0"/>
              <w:jc w:val="center"/>
            </w:pPr>
            <w:r>
              <w:rPr>
                <w:b w:val="0"/>
                <w:i w:val="0"/>
                <w:smallCaps w:val="0"/>
                <w:sz w:val="16"/>
              </w:rPr>
              <w:t>67.2</w:t>
            </w:r>
          </w:p>
        </w:tc>
        <w:tc>
          <w:tcPr>
            <w:tcW w:type="dxa" w:w="742"/>
          </w:tcPr>
          <w:p>
            <w:pPr>
              <w:keepNext w:val="0"/>
              <w:spacing w:before="0" w:after="0"/>
              <w:jc w:val="center"/>
            </w:pPr>
            <w:r>
              <w:rPr>
                <w:b w:val="0"/>
                <w:i w:val="0"/>
                <w:smallCaps w:val="0"/>
                <w:sz w:val="16"/>
              </w:rPr>
              <w:t>100</w:t>
            </w:r>
          </w:p>
        </w:tc>
      </w:tr>
    </w:tbl>
    <w:p>
      <w:pPr>
        <w:keepNext w:val="0"/>
        <w:spacing w:before="0" w:after="120"/>
        <w:jc w:val="both"/>
      </w:pPr>
    </w:p>
    <w:p>
      <w:pPr>
        <w:keepNext/>
        <w:spacing w:before="80" w:after="40"/>
        <w:jc w:val="left"/>
      </w:pPr>
      <w:r>
        <w:rPr>
          <w:b w:val="0"/>
          <w:i/>
          <w:smallCaps w:val="0"/>
          <w:sz w:val="20"/>
        </w:rPr>
        <w:t>B. Channel Estimation</w:t>
      </w:r>
    </w:p>
    <w:p>
      <w:pPr>
        <w:keepNext w:val="0"/>
        <w:spacing w:before="0" w:after="0"/>
        <w:ind w:firstLine="288"/>
        <w:jc w:val="both"/>
      </w:pPr>
      <w:r>
        <w:rPr>
          <w:b w:val="0"/>
          <w:i w:val="0"/>
          <w:smallCaps w:val="0"/>
          <w:sz w:val="20"/>
        </w:rPr>
        <w:t>Naive LS saturates at about −7.5 dB NMSE because of the coupling bias, whereas hardware-aware LMMSE keeps improving with pilot length (−11.1 dB at 20 m with 4096 symbols per pattern) and is never worse. In closed loop (estimate, configure, measure SNDR), the hardware-aware pipeline beats the naive one at every distance and pilot length, by 0.4–1.2 dB.</w:t>
      </w:r>
    </w:p>
    <w:p>
      <w:pPr>
        <w:keepNext w:val="0"/>
        <w:spacing w:before="0" w:after="0"/>
        <w:ind w:firstLine="288"/>
        <w:jc w:val="both"/>
      </w:pPr>
      <w:r>
        <w:rPr>
          <w:b w:val="0"/>
          <w:i w:val="0"/>
          <w:smallCaps w:val="0"/>
          <w:sz w:val="20"/>
        </w:rPr>
        <w:t>Per-element estimation, however, scales poorly with range. The parametric estimator (Table IV) reaches perfect-CSI SNDR to within 0.15 dB at 20–100 m with 64×1024 = 65k pilot symbols, against 4.2M for per-element LMMSE, which still falls 1.6 dB short at 100 m. A 5 m GPS prior alone is useless (−23 to −31 dB) because its error exceeds the beam width. With the adaptive budget (Table V), the estimator delivers 96.5–100% of perfect-CSI SNR on average at every range and prior, and needs no pilots when the 100 ms Kalman prediction is used as prior.</w:t>
      </w:r>
    </w:p>
    <w:p>
      <w:pPr>
        <w:keepNext/>
        <w:spacing w:before="120" w:after="0"/>
        <w:jc w:val="center"/>
      </w:pPr>
      <w:r>
        <w:rPr>
          <w:b w:val="0"/>
          <w:i w:val="0"/>
          <w:smallCaps w:val="0"/>
          <w:sz w:val="16"/>
        </w:rPr>
        <w:t>TABLE IV</w:t>
      </w:r>
    </w:p>
    <w:p>
      <w:pPr>
        <w:keepNext/>
        <w:spacing w:before="0" w:after="60"/>
        <w:jc w:val="center"/>
      </w:pPr>
      <w:r>
        <w:rPr>
          <w:b w:val="0"/>
          <w:i w:val="0"/>
          <w:smallCaps/>
          <w:sz w:val="16"/>
        </w:rPr>
        <w:t>SNDR (dB) from a 5 m GPS prior</w:t>
      </w:r>
    </w:p>
    <w:tbl>
      <w:tblPr>
        <w:tblW w:type="auto" w:w="0"/>
        <w:jc w:val="center"/>
        <w:tblLayout w:type="fixed"/>
        <w:tblLook w:firstColumn="1" w:firstRow="1" w:lastColumn="0" w:lastRow="0" w:noHBand="0" w:noVBand="1" w:val="04A0"/>
        <w:tblBorders>
          <w:top w:val="single" w:sz="8" w:color="000000"/>
          <w:bottom w:val="single" w:sz="8" w:color="000000"/>
        </w:tblBorders>
        <w:tblCellMar>
          <w:left w:w="50" w:type="dxa"/>
          <w:right w:w="50" w:type="dxa"/>
        </w:tblCellMar>
      </w:tblPr>
      <w:tblGrid>
        <w:gridCol w:w="626"/>
        <w:gridCol w:w="931"/>
        <w:gridCol w:w="626"/>
        <w:gridCol w:w="1391"/>
        <w:gridCol w:w="1391"/>
      </w:tblGrid>
      <w:tr>
        <w:tc>
          <w:tcPr>
            <w:tcW w:type="dxa" w:w="627"/>
            <w:tcBorders>
              <w:bottom w:val="single" w:sz="4" w:color="000000"/>
            </w:tcBorders>
          </w:tcPr>
          <w:p>
            <w:pPr>
              <w:keepNext w:val="0"/>
              <w:spacing w:before="0" w:after="0"/>
              <w:jc w:val="left"/>
            </w:pPr>
            <w:r>
              <w:rPr>
                <w:b/>
                <w:i w:val="0"/>
                <w:smallCaps w:val="0"/>
                <w:sz w:val="16"/>
              </w:rPr>
              <w:t>UAV at</w:t>
            </w:r>
          </w:p>
        </w:tc>
        <w:tc>
          <w:tcPr>
            <w:tcW w:type="dxa" w:w="932"/>
            <w:tcBorders>
              <w:bottom w:val="single" w:sz="4" w:color="000000"/>
            </w:tcBorders>
          </w:tcPr>
          <w:p>
            <w:pPr>
              <w:keepNext w:val="0"/>
              <w:spacing w:before="0" w:after="0"/>
              <w:jc w:val="center"/>
            </w:pPr>
            <w:r>
              <w:rPr>
                <w:b/>
                <w:i w:val="0"/>
                <w:smallCaps w:val="0"/>
                <w:sz w:val="16"/>
              </w:rPr>
              <w:t>Perfect CSI</w:t>
            </w:r>
          </w:p>
        </w:tc>
        <w:tc>
          <w:tcPr>
            <w:tcW w:type="dxa" w:w="627"/>
            <w:tcBorders>
              <w:bottom w:val="single" w:sz="4" w:color="000000"/>
            </w:tcBorders>
          </w:tcPr>
          <w:p>
            <w:pPr>
              <w:keepNext w:val="0"/>
              <w:spacing w:before="0" w:after="0"/>
              <w:jc w:val="center"/>
            </w:pPr>
            <w:r>
              <w:rPr>
                <w:b/>
                <w:i w:val="0"/>
                <w:smallCaps w:val="0"/>
                <w:sz w:val="16"/>
              </w:rPr>
              <w:t>GPS only</w:t>
            </w:r>
          </w:p>
        </w:tc>
        <w:tc>
          <w:tcPr>
            <w:tcW w:type="dxa" w:w="1391"/>
            <w:tcBorders>
              <w:bottom w:val="single" w:sz="4" w:color="000000"/>
            </w:tcBorders>
          </w:tcPr>
          <w:p>
            <w:pPr>
              <w:keepNext w:val="0"/>
              <w:spacing w:before="0" w:after="0"/>
              <w:jc w:val="center"/>
            </w:pPr>
            <w:r>
              <w:rPr>
                <w:b/>
                <w:i w:val="0"/>
                <w:smallCaps w:val="0"/>
                <w:sz w:val="16"/>
              </w:rPr>
              <w:t>Parametric, 65k pilots</w:t>
            </w:r>
          </w:p>
        </w:tc>
        <w:tc>
          <w:tcPr>
            <w:tcW w:type="dxa" w:w="1391"/>
            <w:tcBorders>
              <w:bottom w:val="single" w:sz="4" w:color="000000"/>
            </w:tcBorders>
          </w:tcPr>
          <w:p>
            <w:pPr>
              <w:keepNext w:val="0"/>
              <w:spacing w:before="0" w:after="0"/>
              <w:jc w:val="center"/>
            </w:pPr>
            <w:r>
              <w:rPr>
                <w:b/>
                <w:i w:val="0"/>
                <w:smallCaps w:val="0"/>
                <w:sz w:val="16"/>
              </w:rPr>
              <w:t>Per-element LMMSE, 4.2M pilots</w:t>
            </w:r>
          </w:p>
        </w:tc>
      </w:tr>
      <w:tr>
        <w:tc>
          <w:tcPr>
            <w:tcW w:type="dxa" w:w="627"/>
          </w:tcPr>
          <w:p>
            <w:pPr>
              <w:keepNext w:val="0"/>
              <w:spacing w:before="0" w:after="0"/>
              <w:jc w:val="left"/>
            </w:pPr>
            <w:r>
              <w:rPr>
                <w:b w:val="0"/>
                <w:i w:val="0"/>
                <w:smallCaps w:val="0"/>
                <w:sz w:val="16"/>
              </w:rPr>
              <w:t>20 m</w:t>
            </w:r>
          </w:p>
        </w:tc>
        <w:tc>
          <w:tcPr>
            <w:tcW w:type="dxa" w:w="932"/>
          </w:tcPr>
          <w:p>
            <w:pPr>
              <w:keepNext w:val="0"/>
              <w:spacing w:before="0" w:after="0"/>
              <w:jc w:val="center"/>
            </w:pPr>
            <w:r>
              <w:rPr>
                <w:b w:val="0"/>
                <w:i w:val="0"/>
                <w:smallCaps w:val="0"/>
                <w:sz w:val="16"/>
              </w:rPr>
              <w:t>7.47</w:t>
            </w:r>
          </w:p>
        </w:tc>
        <w:tc>
          <w:tcPr>
            <w:tcW w:type="dxa" w:w="627"/>
          </w:tcPr>
          <w:p>
            <w:pPr>
              <w:keepNext w:val="0"/>
              <w:spacing w:before="0" w:after="0"/>
              <w:jc w:val="center"/>
            </w:pPr>
            <w:r>
              <w:rPr>
                <w:b w:val="0"/>
                <w:i w:val="0"/>
                <w:smallCaps w:val="0"/>
                <w:sz w:val="16"/>
              </w:rPr>
              <w:t>−23.7</w:t>
            </w:r>
          </w:p>
        </w:tc>
        <w:tc>
          <w:tcPr>
            <w:tcW w:type="dxa" w:w="1391"/>
          </w:tcPr>
          <w:p>
            <w:pPr>
              <w:keepNext w:val="0"/>
              <w:spacing w:before="0" w:after="0"/>
              <w:jc w:val="center"/>
            </w:pPr>
            <w:r>
              <w:rPr>
                <w:b w:val="0"/>
                <w:i w:val="0"/>
                <w:smallCaps w:val="0"/>
                <w:sz w:val="16"/>
              </w:rPr>
              <w:t>7.47</w:t>
            </w:r>
          </w:p>
        </w:tc>
        <w:tc>
          <w:tcPr>
            <w:tcW w:type="dxa" w:w="1391"/>
          </w:tcPr>
          <w:p>
            <w:pPr>
              <w:keepNext w:val="0"/>
              <w:spacing w:before="0" w:after="0"/>
              <w:jc w:val="center"/>
            </w:pPr>
            <w:r>
              <w:rPr>
                <w:b w:val="0"/>
                <w:i w:val="0"/>
                <w:smallCaps w:val="0"/>
                <w:sz w:val="16"/>
              </w:rPr>
              <w:t>7.32</w:t>
            </w:r>
          </w:p>
        </w:tc>
      </w:tr>
      <w:tr>
        <w:tc>
          <w:tcPr>
            <w:tcW w:type="dxa" w:w="627"/>
          </w:tcPr>
          <w:p>
            <w:pPr>
              <w:keepNext w:val="0"/>
              <w:spacing w:before="0" w:after="0"/>
              <w:jc w:val="left"/>
            </w:pPr>
            <w:r>
              <w:rPr>
                <w:b w:val="0"/>
                <w:i w:val="0"/>
                <w:smallCaps w:val="0"/>
                <w:sz w:val="16"/>
              </w:rPr>
              <w:t>50 m</w:t>
            </w:r>
          </w:p>
        </w:tc>
        <w:tc>
          <w:tcPr>
            <w:tcW w:type="dxa" w:w="932"/>
          </w:tcPr>
          <w:p>
            <w:pPr>
              <w:keepNext w:val="0"/>
              <w:spacing w:before="0" w:after="0"/>
              <w:jc w:val="center"/>
            </w:pPr>
            <w:r>
              <w:rPr>
                <w:b w:val="0"/>
                <w:i w:val="0"/>
                <w:smallCaps w:val="0"/>
                <w:sz w:val="16"/>
              </w:rPr>
              <w:t>1.50</w:t>
            </w:r>
          </w:p>
        </w:tc>
        <w:tc>
          <w:tcPr>
            <w:tcW w:type="dxa" w:w="627"/>
          </w:tcPr>
          <w:p>
            <w:pPr>
              <w:keepNext w:val="0"/>
              <w:spacing w:before="0" w:after="0"/>
              <w:jc w:val="center"/>
            </w:pPr>
            <w:r>
              <w:rPr>
                <w:b w:val="0"/>
                <w:i w:val="0"/>
                <w:smallCaps w:val="0"/>
                <w:sz w:val="16"/>
              </w:rPr>
              <w:t>−31.4</w:t>
            </w:r>
          </w:p>
        </w:tc>
        <w:tc>
          <w:tcPr>
            <w:tcW w:type="dxa" w:w="1391"/>
          </w:tcPr>
          <w:p>
            <w:pPr>
              <w:keepNext w:val="0"/>
              <w:spacing w:before="0" w:after="0"/>
              <w:jc w:val="center"/>
            </w:pPr>
            <w:r>
              <w:rPr>
                <w:b w:val="0"/>
                <w:i w:val="0"/>
                <w:smallCaps w:val="0"/>
                <w:sz w:val="16"/>
              </w:rPr>
              <w:t>1.49</w:t>
            </w:r>
          </w:p>
        </w:tc>
        <w:tc>
          <w:tcPr>
            <w:tcW w:type="dxa" w:w="1391"/>
          </w:tcPr>
          <w:p>
            <w:pPr>
              <w:keepNext w:val="0"/>
              <w:spacing w:before="0" w:after="0"/>
              <w:jc w:val="center"/>
            </w:pPr>
            <w:r>
              <w:rPr>
                <w:b w:val="0"/>
                <w:i w:val="0"/>
                <w:smallCaps w:val="0"/>
                <w:sz w:val="16"/>
              </w:rPr>
              <w:t>1.07</w:t>
            </w:r>
          </w:p>
        </w:tc>
      </w:tr>
      <w:tr>
        <w:tc>
          <w:tcPr>
            <w:tcW w:type="dxa" w:w="627"/>
          </w:tcPr>
          <w:p>
            <w:pPr>
              <w:keepNext w:val="0"/>
              <w:spacing w:before="0" w:after="0"/>
              <w:jc w:val="left"/>
            </w:pPr>
            <w:r>
              <w:rPr>
                <w:b w:val="0"/>
                <w:i w:val="0"/>
                <w:smallCaps w:val="0"/>
                <w:sz w:val="16"/>
              </w:rPr>
              <w:t>100 m</w:t>
            </w:r>
          </w:p>
        </w:tc>
        <w:tc>
          <w:tcPr>
            <w:tcW w:type="dxa" w:w="932"/>
          </w:tcPr>
          <w:p>
            <w:pPr>
              <w:keepNext w:val="0"/>
              <w:spacing w:before="0" w:after="0"/>
              <w:jc w:val="center"/>
            </w:pPr>
            <w:r>
              <w:rPr>
                <w:b w:val="0"/>
                <w:i w:val="0"/>
                <w:smallCaps w:val="0"/>
                <w:sz w:val="16"/>
              </w:rPr>
              <w:t>−4.75</w:t>
            </w:r>
          </w:p>
        </w:tc>
        <w:tc>
          <w:tcPr>
            <w:tcW w:type="dxa" w:w="627"/>
          </w:tcPr>
          <w:p>
            <w:pPr>
              <w:keepNext w:val="0"/>
              <w:spacing w:before="0" w:after="0"/>
              <w:jc w:val="center"/>
            </w:pPr>
            <w:r>
              <w:rPr>
                <w:b w:val="0"/>
                <w:i w:val="0"/>
                <w:smallCaps w:val="0"/>
                <w:sz w:val="16"/>
              </w:rPr>
              <w:t>−22.9</w:t>
            </w:r>
          </w:p>
        </w:tc>
        <w:tc>
          <w:tcPr>
            <w:tcW w:type="dxa" w:w="1391"/>
          </w:tcPr>
          <w:p>
            <w:pPr>
              <w:keepNext w:val="0"/>
              <w:spacing w:before="0" w:after="0"/>
              <w:jc w:val="center"/>
            </w:pPr>
            <w:r>
              <w:rPr>
                <w:b w:val="0"/>
                <w:i w:val="0"/>
                <w:smallCaps w:val="0"/>
                <w:sz w:val="16"/>
              </w:rPr>
              <w:t>−4.90</w:t>
            </w:r>
          </w:p>
        </w:tc>
        <w:tc>
          <w:tcPr>
            <w:tcW w:type="dxa" w:w="1391"/>
          </w:tcPr>
          <w:p>
            <w:pPr>
              <w:keepNext w:val="0"/>
              <w:spacing w:before="0" w:after="0"/>
              <w:jc w:val="center"/>
            </w:pPr>
            <w:r>
              <w:rPr>
                <w:b w:val="0"/>
                <w:i w:val="0"/>
                <w:smallCaps w:val="0"/>
                <w:sz w:val="16"/>
              </w:rPr>
              <w:t>−6.33</w:t>
            </w:r>
          </w:p>
        </w:tc>
      </w:tr>
    </w:tbl>
    <w:p>
      <w:pPr>
        <w:keepNext w:val="0"/>
        <w:spacing w:before="0" w:after="120"/>
        <w:jc w:val="both"/>
      </w:pPr>
    </w:p>
    <w:p>
      <w:pPr>
        <w:keepNext/>
        <w:spacing w:before="120" w:after="0"/>
        <w:jc w:val="center"/>
      </w:pPr>
      <w:r>
        <w:rPr>
          <w:b w:val="0"/>
          <w:i w:val="0"/>
          <w:smallCaps w:val="0"/>
          <w:sz w:val="16"/>
        </w:rPr>
        <w:t>TABLE V</w:t>
      </w:r>
    </w:p>
    <w:p>
      <w:pPr>
        <w:keepNext/>
        <w:spacing w:before="0" w:after="60"/>
        <w:jc w:val="center"/>
      </w:pPr>
      <w:r>
        <w:rPr>
          <w:b w:val="0"/>
          <w:i w:val="0"/>
          <w:smallCaps/>
          <w:sz w:val="16"/>
        </w:rPr>
        <w:t>Adaptive parametric estimation: mean (worst of 10) % of perfect-CSI SNR, and pilot symbols</w:t>
      </w:r>
    </w:p>
    <w:tbl>
      <w:tblPr>
        <w:tblW w:type="auto" w:w="0"/>
        <w:jc w:val="center"/>
        <w:tblLayout w:type="fixed"/>
        <w:tblLook w:firstColumn="1" w:firstRow="1" w:lastColumn="0" w:lastRow="0" w:noHBand="0" w:noVBand="1" w:val="04A0"/>
        <w:tblBorders>
          <w:top w:val="single" w:sz="8" w:color="000000"/>
          <w:bottom w:val="single" w:sz="8" w:color="000000"/>
        </w:tblBorders>
        <w:tblCellMar>
          <w:left w:w="50" w:type="dxa"/>
          <w:right w:w="50" w:type="dxa"/>
        </w:tblCellMar>
      </w:tblPr>
      <w:tblGrid>
        <w:gridCol w:w="527"/>
        <w:gridCol w:w="1536"/>
        <w:gridCol w:w="1536"/>
        <w:gridCol w:w="1368"/>
      </w:tblGrid>
      <w:tr>
        <w:tc>
          <w:tcPr>
            <w:tcW w:type="dxa" w:w="527"/>
            <w:tcBorders>
              <w:bottom w:val="single" w:sz="4" w:color="000000"/>
            </w:tcBorders>
          </w:tcPr>
          <w:p>
            <w:pPr>
              <w:keepNext w:val="0"/>
              <w:spacing w:before="0" w:after="0"/>
              <w:jc w:val="left"/>
            </w:pPr>
            <w:r>
              <w:rPr>
                <w:b/>
                <w:i w:val="0"/>
                <w:smallCaps w:val="0"/>
                <w:sz w:val="16"/>
              </w:rPr>
              <w:t>UAV at</w:t>
            </w:r>
          </w:p>
        </w:tc>
        <w:tc>
          <w:tcPr>
            <w:tcW w:type="dxa" w:w="1536"/>
            <w:tcBorders>
              <w:bottom w:val="single" w:sz="4" w:color="000000"/>
            </w:tcBorders>
          </w:tcPr>
          <w:p>
            <w:pPr>
              <w:keepNext w:val="0"/>
              <w:spacing w:before="0" w:after="0"/>
              <w:jc w:val="center"/>
            </w:pPr>
            <w:r>
              <w:rPr>
                <w:b/>
                <w:i w:val="0"/>
                <w:smallCaps w:val="0"/>
                <w:sz w:val="16"/>
              </w:rPr>
              <w:t>GPS prior (5 m)</w:t>
            </w:r>
          </w:p>
        </w:tc>
        <w:tc>
          <w:tcPr>
            <w:tcW w:type="dxa" w:w="1536"/>
            <w:tcBorders>
              <w:bottom w:val="single" w:sz="4" w:color="000000"/>
            </w:tcBorders>
          </w:tcPr>
          <w:p>
            <w:pPr>
              <w:keepNext w:val="0"/>
              <w:spacing w:before="0" w:after="0"/>
              <w:jc w:val="center"/>
            </w:pPr>
            <w:r>
              <w:rPr>
                <w:b/>
                <w:i w:val="0"/>
                <w:smallCaps w:val="0"/>
                <w:sz w:val="16"/>
              </w:rPr>
              <w:t>Kalman, 500 ms (31 cm)</w:t>
            </w:r>
          </w:p>
        </w:tc>
        <w:tc>
          <w:tcPr>
            <w:tcW w:type="dxa" w:w="1368"/>
            <w:tcBorders>
              <w:bottom w:val="single" w:sz="4" w:color="000000"/>
            </w:tcBorders>
          </w:tcPr>
          <w:p>
            <w:pPr>
              <w:keepNext w:val="0"/>
              <w:spacing w:before="0" w:after="0"/>
              <w:jc w:val="center"/>
            </w:pPr>
            <w:r>
              <w:rPr>
                <w:b/>
                <w:i w:val="0"/>
                <w:smallCaps w:val="0"/>
                <w:sz w:val="16"/>
              </w:rPr>
              <w:t>Kalman, 100 ms (5 cm)</w:t>
            </w:r>
          </w:p>
        </w:tc>
      </w:tr>
      <w:tr>
        <w:tc>
          <w:tcPr>
            <w:tcW w:type="dxa" w:w="527"/>
          </w:tcPr>
          <w:p>
            <w:pPr>
              <w:keepNext w:val="0"/>
              <w:spacing w:before="0" w:after="0"/>
              <w:jc w:val="left"/>
            </w:pPr>
            <w:r>
              <w:rPr>
                <w:b w:val="0"/>
                <w:i w:val="0"/>
                <w:smallCaps w:val="0"/>
                <w:sz w:val="16"/>
              </w:rPr>
              <w:t>20 m</w:t>
            </w:r>
          </w:p>
        </w:tc>
        <w:tc>
          <w:tcPr>
            <w:tcW w:type="dxa" w:w="1536"/>
          </w:tcPr>
          <w:p>
            <w:pPr>
              <w:keepNext w:val="0"/>
              <w:spacing w:before="0" w:after="0"/>
              <w:jc w:val="center"/>
            </w:pPr>
            <w:r>
              <w:rPr>
                <w:b w:val="0"/>
                <w:i w:val="0"/>
                <w:smallCaps w:val="0"/>
                <w:sz w:val="16"/>
              </w:rPr>
              <w:t>97.4 (90.9), 6k</w:t>
            </w:r>
          </w:p>
        </w:tc>
        <w:tc>
          <w:tcPr>
            <w:tcW w:type="dxa" w:w="1536"/>
          </w:tcPr>
          <w:p>
            <w:pPr>
              <w:keepNext w:val="0"/>
              <w:spacing w:before="0" w:after="0"/>
              <w:jc w:val="center"/>
            </w:pPr>
            <w:r>
              <w:rPr>
                <w:b w:val="0"/>
                <w:i w:val="0"/>
                <w:smallCaps w:val="0"/>
                <w:sz w:val="16"/>
              </w:rPr>
              <w:t>97.3 (93.4), 4k</w:t>
            </w:r>
          </w:p>
        </w:tc>
        <w:tc>
          <w:tcPr>
            <w:tcW w:type="dxa" w:w="1368"/>
          </w:tcPr>
          <w:p>
            <w:pPr>
              <w:keepNext w:val="0"/>
              <w:spacing w:before="0" w:after="0"/>
              <w:jc w:val="center"/>
            </w:pPr>
            <w:r>
              <w:rPr>
                <w:b w:val="0"/>
                <w:i w:val="0"/>
                <w:smallCaps w:val="0"/>
                <w:sz w:val="16"/>
              </w:rPr>
              <w:t>99.5 (98.6), 0</w:t>
            </w:r>
          </w:p>
        </w:tc>
      </w:tr>
      <w:tr>
        <w:tc>
          <w:tcPr>
            <w:tcW w:type="dxa" w:w="527"/>
          </w:tcPr>
          <w:p>
            <w:pPr>
              <w:keepNext w:val="0"/>
              <w:spacing w:before="0" w:after="0"/>
              <w:jc w:val="left"/>
            </w:pPr>
            <w:r>
              <w:rPr>
                <w:b w:val="0"/>
                <w:i w:val="0"/>
                <w:smallCaps w:val="0"/>
                <w:sz w:val="16"/>
              </w:rPr>
              <w:t>50 m</w:t>
            </w:r>
          </w:p>
        </w:tc>
        <w:tc>
          <w:tcPr>
            <w:tcW w:type="dxa" w:w="1536"/>
          </w:tcPr>
          <w:p>
            <w:pPr>
              <w:keepNext w:val="0"/>
              <w:spacing w:before="0" w:after="0"/>
              <w:jc w:val="center"/>
            </w:pPr>
            <w:r>
              <w:rPr>
                <w:b w:val="0"/>
                <w:i w:val="0"/>
                <w:smallCaps w:val="0"/>
                <w:sz w:val="16"/>
              </w:rPr>
              <w:t>98.4 (95.9), 31k</w:t>
            </w:r>
          </w:p>
        </w:tc>
        <w:tc>
          <w:tcPr>
            <w:tcW w:type="dxa" w:w="1536"/>
          </w:tcPr>
          <w:p>
            <w:pPr>
              <w:keepNext w:val="0"/>
              <w:spacing w:before="0" w:after="0"/>
              <w:jc w:val="center"/>
            </w:pPr>
            <w:r>
              <w:rPr>
                <w:b w:val="0"/>
                <w:i w:val="0"/>
                <w:smallCaps w:val="0"/>
                <w:sz w:val="16"/>
              </w:rPr>
              <w:t>98.5 (95.8), 33k</w:t>
            </w:r>
          </w:p>
        </w:tc>
        <w:tc>
          <w:tcPr>
            <w:tcW w:type="dxa" w:w="1368"/>
          </w:tcPr>
          <w:p>
            <w:pPr>
              <w:keepNext w:val="0"/>
              <w:spacing w:before="0" w:after="0"/>
              <w:jc w:val="center"/>
            </w:pPr>
            <w:r>
              <w:rPr>
                <w:b w:val="0"/>
                <w:i w:val="0"/>
                <w:smallCaps w:val="0"/>
                <w:sz w:val="16"/>
              </w:rPr>
              <w:t>99.9 (99.4), 0</w:t>
            </w:r>
          </w:p>
        </w:tc>
      </w:tr>
      <w:tr>
        <w:tc>
          <w:tcPr>
            <w:tcW w:type="dxa" w:w="527"/>
          </w:tcPr>
          <w:p>
            <w:pPr>
              <w:keepNext w:val="0"/>
              <w:spacing w:before="0" w:after="0"/>
              <w:jc w:val="left"/>
            </w:pPr>
            <w:r>
              <w:rPr>
                <w:b w:val="0"/>
                <w:i w:val="0"/>
                <w:smallCaps w:val="0"/>
                <w:sz w:val="16"/>
              </w:rPr>
              <w:t>100 m</w:t>
            </w:r>
          </w:p>
        </w:tc>
        <w:tc>
          <w:tcPr>
            <w:tcW w:type="dxa" w:w="1536"/>
          </w:tcPr>
          <w:p>
            <w:pPr>
              <w:keepNext w:val="0"/>
              <w:spacing w:before="0" w:after="0"/>
              <w:jc w:val="center"/>
            </w:pPr>
            <w:r>
              <w:rPr>
                <w:b w:val="0"/>
                <w:i w:val="0"/>
                <w:smallCaps w:val="0"/>
                <w:sz w:val="16"/>
              </w:rPr>
              <w:t>96.9 (93.5), 131k</w:t>
            </w:r>
          </w:p>
        </w:tc>
        <w:tc>
          <w:tcPr>
            <w:tcW w:type="dxa" w:w="1536"/>
          </w:tcPr>
          <w:p>
            <w:pPr>
              <w:keepNext w:val="0"/>
              <w:spacing w:before="0" w:after="0"/>
              <w:jc w:val="center"/>
            </w:pPr>
            <w:r>
              <w:rPr>
                <w:b w:val="0"/>
                <w:i w:val="0"/>
                <w:smallCaps w:val="0"/>
                <w:sz w:val="16"/>
              </w:rPr>
              <w:t>96.8 (91.7), 131k</w:t>
            </w:r>
          </w:p>
        </w:tc>
        <w:tc>
          <w:tcPr>
            <w:tcW w:type="dxa" w:w="1368"/>
          </w:tcPr>
          <w:p>
            <w:pPr>
              <w:keepNext w:val="0"/>
              <w:spacing w:before="0" w:after="0"/>
              <w:jc w:val="center"/>
            </w:pPr>
            <w:r>
              <w:rPr>
                <w:b w:val="0"/>
                <w:i w:val="0"/>
                <w:smallCaps w:val="0"/>
                <w:sz w:val="16"/>
              </w:rPr>
              <w:t>99.9 (99.6), 0</w:t>
            </w:r>
          </w:p>
        </w:tc>
      </w:tr>
      <w:tr>
        <w:tc>
          <w:tcPr>
            <w:tcW w:type="dxa" w:w="527"/>
          </w:tcPr>
          <w:p>
            <w:pPr>
              <w:keepNext w:val="0"/>
              <w:spacing w:before="0" w:after="0"/>
              <w:jc w:val="left"/>
            </w:pPr>
            <w:r>
              <w:rPr>
                <w:b w:val="0"/>
                <w:i w:val="0"/>
                <w:smallCaps w:val="0"/>
                <w:sz w:val="16"/>
              </w:rPr>
              <w:t>200 m</w:t>
            </w:r>
          </w:p>
        </w:tc>
        <w:tc>
          <w:tcPr>
            <w:tcW w:type="dxa" w:w="1536"/>
          </w:tcPr>
          <w:p>
            <w:pPr>
              <w:keepNext w:val="0"/>
              <w:spacing w:before="0" w:after="0"/>
              <w:jc w:val="center"/>
            </w:pPr>
            <w:r>
              <w:rPr>
                <w:b w:val="0"/>
                <w:i w:val="0"/>
                <w:smallCaps w:val="0"/>
                <w:sz w:val="16"/>
              </w:rPr>
              <w:t>96.5 (86.3), 524k</w:t>
            </w:r>
          </w:p>
        </w:tc>
        <w:tc>
          <w:tcPr>
            <w:tcW w:type="dxa" w:w="1536"/>
          </w:tcPr>
          <w:p>
            <w:pPr>
              <w:keepNext w:val="0"/>
              <w:spacing w:before="0" w:after="0"/>
              <w:jc w:val="center"/>
            </w:pPr>
            <w:r>
              <w:rPr>
                <w:b w:val="0"/>
                <w:i w:val="0"/>
                <w:smallCaps w:val="0"/>
                <w:sz w:val="16"/>
              </w:rPr>
              <w:t>99.4 (98.5), 0</w:t>
            </w:r>
          </w:p>
        </w:tc>
        <w:tc>
          <w:tcPr>
            <w:tcW w:type="dxa" w:w="1368"/>
          </w:tcPr>
          <w:p>
            <w:pPr>
              <w:keepNext w:val="0"/>
              <w:spacing w:before="0" w:after="0"/>
              <w:jc w:val="center"/>
            </w:pPr>
            <w:r>
              <w:rPr>
                <w:b w:val="0"/>
                <w:i w:val="0"/>
                <w:smallCaps w:val="0"/>
                <w:sz w:val="16"/>
              </w:rPr>
              <w:t>100.0 (99.8), 0</w:t>
            </w:r>
          </w:p>
        </w:tc>
      </w:tr>
    </w:tbl>
    <w:p>
      <w:pPr>
        <w:keepNext w:val="0"/>
        <w:spacing w:before="0" w:after="120"/>
        <w:jc w:val="both"/>
      </w:pPr>
    </w:p>
    <w:p>
      <w:pPr>
        <w:keepNext/>
        <w:spacing w:before="80" w:after="40"/>
        <w:jc w:val="left"/>
      </w:pPr>
      <w:r>
        <w:rPr>
          <w:b w:val="0"/>
          <w:i/>
          <w:smallCaps w:val="0"/>
          <w:sz w:val="20"/>
        </w:rPr>
        <w:t>C. Predictive Tracking</w:t>
      </w:r>
    </w:p>
    <w:p>
      <w:pPr>
        <w:keepNext w:val="0"/>
        <w:spacing w:before="0" w:after="0"/>
        <w:ind w:firstLine="288"/>
        <w:jc w:val="both"/>
      </w:pPr>
      <w:r>
        <w:rPr>
          <w:b w:val="0"/>
          <w:i w:val="0"/>
          <w:smallCaps w:val="0"/>
          <w:sz w:val="20"/>
        </w:rPr>
        <w:t>Every predictor shows a mean absolute phase error of 89–92°, the value an unaligned phase profile would give, yet the delivered gain (6) ranges from 63% to 100% (Table VI, Fig. 3). The phase-error metric therefore cannot rank controllers. Prediction matters at realistic latencies: at 500 ms the Kalman filter delivers 99.3% of the ideal gain (5th percentile 97.4%), the learned ridge predictor 98.8%, constant velocity 71.4% and persistence 63.0%. All predictors run in under 0.1 ms per step.</w:t>
      </w:r>
    </w:p>
    <w:p>
      <w:pPr>
        <w:keepNext/>
        <w:spacing w:before="120" w:after="0"/>
        <w:jc w:val="center"/>
      </w:pPr>
      <w:r>
        <w:rPr>
          <w:b w:val="0"/>
          <w:i w:val="0"/>
          <w:smallCaps w:val="0"/>
          <w:sz w:val="16"/>
        </w:rPr>
        <w:t>TABLE VI</w:t>
      </w:r>
    </w:p>
    <w:p>
      <w:pPr>
        <w:keepNext/>
        <w:spacing w:before="0" w:after="60"/>
        <w:jc w:val="center"/>
      </w:pPr>
      <w:r>
        <w:rPr>
          <w:b w:val="0"/>
          <w:i w:val="0"/>
          <w:smallCaps/>
          <w:sz w:val="16"/>
        </w:rPr>
        <w:t>Delivered array gain (%) and position RMSE (cm), held-out trajectories</w:t>
      </w:r>
    </w:p>
    <w:tbl>
      <w:tblPr>
        <w:tblW w:type="auto" w:w="0"/>
        <w:jc w:val="center"/>
        <w:tblLayout w:type="fixed"/>
        <w:tblLook w:firstColumn="1" w:firstRow="1" w:lastColumn="0" w:lastRow="0" w:noHBand="0" w:noVBand="1" w:val="04A0"/>
        <w:tblBorders>
          <w:top w:val="single" w:sz="8" w:color="000000"/>
          <w:bottom w:val="single" w:sz="8" w:color="000000"/>
        </w:tblBorders>
        <w:tblCellMar>
          <w:left w:w="50" w:type="dxa"/>
          <w:right w:w="50" w:type="dxa"/>
        </w:tblCellMar>
      </w:tblPr>
      <w:tblGrid>
        <w:gridCol w:w="771"/>
        <w:gridCol w:w="1151"/>
        <w:gridCol w:w="1015"/>
        <w:gridCol w:w="1015"/>
        <w:gridCol w:w="1015"/>
      </w:tblGrid>
      <w:tr>
        <w:tc>
          <w:tcPr>
            <w:tcW w:type="dxa" w:w="771"/>
            <w:tcBorders>
              <w:bottom w:val="single" w:sz="4" w:color="000000"/>
            </w:tcBorders>
          </w:tcPr>
          <w:p>
            <w:pPr>
              <w:keepNext w:val="0"/>
              <w:spacing w:before="0" w:after="0"/>
              <w:jc w:val="left"/>
            </w:pPr>
            <w:r>
              <w:rPr>
                <w:b/>
                <w:i w:val="0"/>
                <w:smallCaps w:val="0"/>
                <w:sz w:val="16"/>
              </w:rPr>
              <w:t>Horizon</w:t>
            </w:r>
          </w:p>
        </w:tc>
        <w:tc>
          <w:tcPr>
            <w:tcW w:type="dxa" w:w="1152"/>
            <w:tcBorders>
              <w:bottom w:val="single" w:sz="4" w:color="000000"/>
            </w:tcBorders>
          </w:tcPr>
          <w:p>
            <w:pPr>
              <w:keepNext w:val="0"/>
              <w:spacing w:before="0" w:after="0"/>
              <w:jc w:val="center"/>
            </w:pPr>
            <w:r>
              <w:rPr>
                <w:b/>
                <w:i w:val="0"/>
                <w:smallCaps w:val="0"/>
                <w:sz w:val="16"/>
              </w:rPr>
              <w:t>Persistence</w:t>
            </w:r>
          </w:p>
        </w:tc>
        <w:tc>
          <w:tcPr>
            <w:tcW w:type="dxa" w:w="1015"/>
            <w:tcBorders>
              <w:bottom w:val="single" w:sz="4" w:color="000000"/>
            </w:tcBorders>
          </w:tcPr>
          <w:p>
            <w:pPr>
              <w:keepNext w:val="0"/>
              <w:spacing w:before="0" w:after="0"/>
              <w:jc w:val="center"/>
            </w:pPr>
            <w:r>
              <w:rPr>
                <w:b/>
                <w:i w:val="0"/>
                <w:smallCaps w:val="0"/>
                <w:sz w:val="16"/>
              </w:rPr>
              <w:t>Constant velocity</w:t>
            </w:r>
          </w:p>
        </w:tc>
        <w:tc>
          <w:tcPr>
            <w:tcW w:type="dxa" w:w="1015"/>
            <w:tcBorders>
              <w:bottom w:val="single" w:sz="4" w:color="000000"/>
            </w:tcBorders>
          </w:tcPr>
          <w:p>
            <w:pPr>
              <w:keepNext w:val="0"/>
              <w:spacing w:before="0" w:after="0"/>
              <w:jc w:val="center"/>
            </w:pPr>
            <w:r>
              <w:rPr>
                <w:b/>
                <w:i w:val="0"/>
                <w:smallCaps w:val="0"/>
                <w:sz w:val="16"/>
              </w:rPr>
              <w:t>Kalman CV</w:t>
            </w:r>
          </w:p>
        </w:tc>
        <w:tc>
          <w:tcPr>
            <w:tcW w:type="dxa" w:w="1015"/>
            <w:tcBorders>
              <w:bottom w:val="single" w:sz="4" w:color="000000"/>
            </w:tcBorders>
          </w:tcPr>
          <w:p>
            <w:pPr>
              <w:keepNext w:val="0"/>
              <w:spacing w:before="0" w:after="0"/>
              <w:jc w:val="center"/>
            </w:pPr>
            <w:r>
              <w:rPr>
                <w:b/>
                <w:i w:val="0"/>
                <w:smallCaps w:val="0"/>
                <w:sz w:val="16"/>
              </w:rPr>
              <w:t>Ridge (learned)</w:t>
            </w:r>
          </w:p>
        </w:tc>
      </w:tr>
      <w:tr>
        <w:tc>
          <w:tcPr>
            <w:tcW w:type="dxa" w:w="771"/>
          </w:tcPr>
          <w:p>
            <w:pPr>
              <w:keepNext w:val="0"/>
              <w:spacing w:before="0" w:after="0"/>
              <w:jc w:val="left"/>
            </w:pPr>
            <w:r>
              <w:rPr>
                <w:b w:val="0"/>
                <w:i w:val="0"/>
                <w:smallCaps w:val="0"/>
                <w:sz w:val="16"/>
              </w:rPr>
              <w:t>10 ms</w:t>
            </w:r>
          </w:p>
        </w:tc>
        <w:tc>
          <w:tcPr>
            <w:tcW w:type="dxa" w:w="1152"/>
          </w:tcPr>
          <w:p>
            <w:pPr>
              <w:keepNext w:val="0"/>
              <w:spacing w:before="0" w:after="0"/>
              <w:jc w:val="center"/>
            </w:pPr>
            <w:r>
              <w:rPr>
                <w:b w:val="0"/>
                <w:i w:val="0"/>
                <w:smallCaps w:val="0"/>
                <w:sz w:val="16"/>
              </w:rPr>
              <w:t>99.9 / 10.4</w:t>
            </w:r>
          </w:p>
        </w:tc>
        <w:tc>
          <w:tcPr>
            <w:tcW w:type="dxa" w:w="1015"/>
          </w:tcPr>
          <w:p>
            <w:pPr>
              <w:keepNext w:val="0"/>
              <w:spacing w:before="0" w:after="0"/>
              <w:jc w:val="center"/>
            </w:pPr>
            <w:r>
              <w:rPr>
                <w:b w:val="0"/>
                <w:i w:val="0"/>
                <w:smallCaps w:val="0"/>
                <w:sz w:val="16"/>
              </w:rPr>
              <w:t>99.9 / 7.7</w:t>
            </w:r>
          </w:p>
        </w:tc>
        <w:tc>
          <w:tcPr>
            <w:tcW w:type="dxa" w:w="1015"/>
          </w:tcPr>
          <w:p>
            <w:pPr>
              <w:keepNext w:val="0"/>
              <w:spacing w:before="0" w:after="0"/>
              <w:jc w:val="center"/>
            </w:pPr>
            <w:r>
              <w:rPr>
                <w:b/>
                <w:i w:val="0"/>
                <w:smallCaps w:val="0"/>
                <w:sz w:val="16"/>
              </w:rPr>
              <w:t>100.0 / 2.0</w:t>
            </w:r>
          </w:p>
        </w:tc>
        <w:tc>
          <w:tcPr>
            <w:tcW w:type="dxa" w:w="1015"/>
          </w:tcPr>
          <w:p>
            <w:pPr>
              <w:keepNext w:val="0"/>
              <w:spacing w:before="0" w:after="0"/>
              <w:jc w:val="center"/>
            </w:pPr>
            <w:r>
              <w:rPr>
                <w:b w:val="0"/>
                <w:i w:val="0"/>
                <w:smallCaps w:val="0"/>
                <w:sz w:val="16"/>
              </w:rPr>
              <w:t>100.0 / 2.7</w:t>
            </w:r>
          </w:p>
        </w:tc>
      </w:tr>
      <w:tr>
        <w:tc>
          <w:tcPr>
            <w:tcW w:type="dxa" w:w="771"/>
          </w:tcPr>
          <w:p>
            <w:pPr>
              <w:keepNext w:val="0"/>
              <w:spacing w:before="0" w:after="0"/>
              <w:jc w:val="left"/>
            </w:pPr>
            <w:r>
              <w:rPr>
                <w:b w:val="0"/>
                <w:i w:val="0"/>
                <w:smallCaps w:val="0"/>
                <w:sz w:val="16"/>
              </w:rPr>
              <w:t>100 ms</w:t>
            </w:r>
          </w:p>
        </w:tc>
        <w:tc>
          <w:tcPr>
            <w:tcW w:type="dxa" w:w="1152"/>
          </w:tcPr>
          <w:p>
            <w:pPr>
              <w:keepNext w:val="0"/>
              <w:spacing w:before="0" w:after="0"/>
              <w:jc w:val="center"/>
            </w:pPr>
            <w:r>
              <w:rPr>
                <w:b w:val="0"/>
                <w:i w:val="0"/>
                <w:smallCaps w:val="0"/>
                <w:sz w:val="16"/>
              </w:rPr>
              <w:t>94.0 / 97.9</w:t>
            </w:r>
          </w:p>
        </w:tc>
        <w:tc>
          <w:tcPr>
            <w:tcW w:type="dxa" w:w="1015"/>
          </w:tcPr>
          <w:p>
            <w:pPr>
              <w:keepNext w:val="0"/>
              <w:spacing w:before="0" w:after="0"/>
              <w:jc w:val="center"/>
            </w:pPr>
            <w:r>
              <w:rPr>
                <w:b w:val="0"/>
                <w:i w:val="0"/>
                <w:smallCaps w:val="0"/>
                <w:sz w:val="16"/>
              </w:rPr>
              <w:t>97.2 / 51.9</w:t>
            </w:r>
          </w:p>
        </w:tc>
        <w:tc>
          <w:tcPr>
            <w:tcW w:type="dxa" w:w="1015"/>
          </w:tcPr>
          <w:p>
            <w:pPr>
              <w:keepNext w:val="0"/>
              <w:spacing w:before="0" w:after="0"/>
              <w:jc w:val="center"/>
            </w:pPr>
            <w:r>
              <w:rPr>
                <w:b/>
                <w:i w:val="0"/>
                <w:smallCaps w:val="0"/>
                <w:sz w:val="16"/>
              </w:rPr>
              <w:t>99.98 / 5.2</w:t>
            </w:r>
          </w:p>
        </w:tc>
        <w:tc>
          <w:tcPr>
            <w:tcW w:type="dxa" w:w="1015"/>
          </w:tcPr>
          <w:p>
            <w:pPr>
              <w:keepNext w:val="0"/>
              <w:spacing w:before="0" w:after="0"/>
              <w:jc w:val="center"/>
            </w:pPr>
            <w:r>
              <w:rPr>
                <w:b w:val="0"/>
                <w:i w:val="0"/>
                <w:smallCaps w:val="0"/>
                <w:sz w:val="16"/>
              </w:rPr>
              <w:t>99.9 / 8.2</w:t>
            </w:r>
          </w:p>
        </w:tc>
      </w:tr>
      <w:tr>
        <w:tc>
          <w:tcPr>
            <w:tcW w:type="dxa" w:w="771"/>
          </w:tcPr>
          <w:p>
            <w:pPr>
              <w:keepNext w:val="0"/>
              <w:spacing w:before="0" w:after="0"/>
              <w:jc w:val="left"/>
            </w:pPr>
            <w:r>
              <w:rPr>
                <w:b w:val="0"/>
                <w:i w:val="0"/>
                <w:smallCaps w:val="0"/>
                <w:sz w:val="16"/>
              </w:rPr>
              <w:t>500 ms</w:t>
            </w:r>
          </w:p>
        </w:tc>
        <w:tc>
          <w:tcPr>
            <w:tcW w:type="dxa" w:w="1152"/>
          </w:tcPr>
          <w:p>
            <w:pPr>
              <w:keepNext w:val="0"/>
              <w:spacing w:before="0" w:after="0"/>
              <w:jc w:val="center"/>
            </w:pPr>
            <w:r>
              <w:rPr>
                <w:b w:val="0"/>
                <w:i w:val="0"/>
                <w:smallCaps w:val="0"/>
                <w:sz w:val="16"/>
              </w:rPr>
              <w:t>63.0 / 488</w:t>
            </w:r>
          </w:p>
        </w:tc>
        <w:tc>
          <w:tcPr>
            <w:tcW w:type="dxa" w:w="1015"/>
          </w:tcPr>
          <w:p>
            <w:pPr>
              <w:keepNext w:val="0"/>
              <w:spacing w:before="0" w:after="0"/>
              <w:jc w:val="center"/>
            </w:pPr>
            <w:r>
              <w:rPr>
                <w:b w:val="0"/>
                <w:i w:val="0"/>
                <w:smallCaps w:val="0"/>
                <w:sz w:val="16"/>
              </w:rPr>
              <w:t>71.4 / 250</w:t>
            </w:r>
          </w:p>
        </w:tc>
        <w:tc>
          <w:tcPr>
            <w:tcW w:type="dxa" w:w="1015"/>
          </w:tcPr>
          <w:p>
            <w:pPr>
              <w:keepNext w:val="0"/>
              <w:spacing w:before="0" w:after="0"/>
              <w:jc w:val="center"/>
            </w:pPr>
            <w:r>
              <w:rPr>
                <w:b/>
                <w:i w:val="0"/>
                <w:smallCaps w:val="0"/>
                <w:sz w:val="16"/>
              </w:rPr>
              <w:t>99.3 / 30.7</w:t>
            </w:r>
          </w:p>
        </w:tc>
        <w:tc>
          <w:tcPr>
            <w:tcW w:type="dxa" w:w="1015"/>
          </w:tcPr>
          <w:p>
            <w:pPr>
              <w:keepNext w:val="0"/>
              <w:spacing w:before="0" w:after="0"/>
              <w:jc w:val="center"/>
            </w:pPr>
            <w:r>
              <w:rPr>
                <w:b w:val="0"/>
                <w:i w:val="0"/>
                <w:smallCaps w:val="0"/>
                <w:sz w:val="16"/>
              </w:rPr>
              <w:t>98.8 / 41.4</w:t>
            </w:r>
          </w:p>
        </w:tc>
      </w:tr>
    </w:tbl>
    <w:p>
      <w:pPr>
        <w:keepNext w:val="0"/>
        <w:spacing w:before="0" w:after="120"/>
        <w:jc w:val="both"/>
      </w:pPr>
    </w:p>
    <w:tbl>
      <w:tblPr>
        <w:tblW w:type="auto" w:w="0"/>
        <w:jc w:val="center"/>
        <w:tblLook w:firstColumn="1" w:firstRow="1" w:lastColumn="0" w:lastRow="0" w:noHBand="0" w:noVBand="1" w:val="04A0"/>
      </w:tblPr>
      <w:tblGrid>
        <w:gridCol w:w="10440"/>
      </w:tblGrid>
      <w:tr>
        <w:trPr>
          <w:cantSplit/>
        </w:trPr>
        <w:tc>
          <w:tcPr>
            <w:tcW w:type="dxa" w:w="10440"/>
          </w:tcPr>
          <w:p>
            <w:pPr>
              <w:keepNext w:val="0"/>
              <w:spacing w:before="80" w:after="0"/>
              <w:jc w:val="center"/>
            </w:pPr>
            <w:r>
              <w:drawing>
                <wp:inline xmlns:a="http://schemas.openxmlformats.org/drawingml/2006/main" xmlns:pic="http://schemas.openxmlformats.org/drawingml/2006/picture">
                  <wp:extent cx="3108960" cy="2080800"/>
                  <wp:docPr id="3" name="Picture 3"/>
                  <wp:cNvGraphicFramePr>
                    <a:graphicFrameLocks noChangeAspect="1"/>
                  </wp:cNvGraphicFramePr>
                  <a:graphic>
                    <a:graphicData uri="http://schemas.openxmlformats.org/drawingml/2006/picture">
                      <pic:pic>
                        <pic:nvPicPr>
                          <pic:cNvPr id="0" name="fig_tracking_gain.png"/>
                          <pic:cNvPicPr/>
                        </pic:nvPicPr>
                        <pic:blipFill>
                          <a:blip r:embed="rId11"/>
                          <a:stretch>
                            <a:fillRect/>
                          </a:stretch>
                        </pic:blipFill>
                        <pic:spPr>
                          <a:xfrm>
                            <a:off x="0" y="0"/>
                            <a:ext cx="3108960" cy="2080800"/>
                          </a:xfrm>
                          <a:prstGeom prst="rect"/>
                        </pic:spPr>
                      </pic:pic>
                    </a:graphicData>
                  </a:graphic>
                </wp:inline>
              </w:drawing>
            </w:r>
          </w:p>
          <w:p>
            <w:pPr>
              <w:keepNext w:val="0"/>
              <w:spacing w:before="0" w:after="120"/>
              <w:jc w:val="center"/>
            </w:pPr>
            <w:r>
              <w:rPr>
                <w:b w:val="0"/>
                <w:i w:val="0"/>
                <w:smallCaps w:val="0"/>
                <w:sz w:val="16"/>
              </w:rPr>
              <w:t xml:space="preserve">Fig. 3. </w:t>
            </w:r>
            <w:r>
              <w:rPr>
                <w:b w:val="0"/>
                <w:i w:val="0"/>
                <w:smallCaps w:val="0"/>
                <w:sz w:val="16"/>
              </w:rPr>
              <w:t>Delivered array gain versus prediction horizon.</w:t>
            </w:r>
          </w:p>
        </w:tc>
      </w:tr>
    </w:tbl>
    <w:p>
      <w:pPr>
        <w:keepNext w:val="0"/>
        <w:spacing w:before="0" w:after="40"/>
        <w:jc w:val="both"/>
      </w:pPr>
    </w:p>
    <w:p>
      <w:pPr>
        <w:keepNext/>
        <w:spacing w:before="80" w:after="40"/>
        <w:jc w:val="left"/>
      </w:pPr>
      <w:r>
        <w:rPr>
          <w:b w:val="0"/>
          <w:i/>
          <w:smallCaps w:val="0"/>
          <w:sz w:val="20"/>
        </w:rPr>
        <w:t>D. Beam Prediction on Scenario 23</w:t>
      </w:r>
    </w:p>
    <w:p>
      <w:pPr>
        <w:keepNext w:val="0"/>
        <w:spacing w:before="0" w:after="0"/>
        <w:ind w:firstLine="288"/>
        <w:jc w:val="both"/>
      </w:pPr>
      <w:r>
        <w:rPr>
          <w:b/>
          <w:i w:val="0"/>
          <w:smallCaps w:val="0"/>
          <w:sz w:val="20"/>
        </w:rPr>
        <w:t>Blind prediction</w:t>
      </w:r>
      <w:r>
        <w:rPr>
          <w:b w:val="0"/>
          <w:i w:val="0"/>
          <w:smallCaps w:val="0"/>
          <w:sz w:val="20"/>
        </w:rPr>
        <w:t xml:space="preserve"> (Table VII). At t + 1 (≈140 ms) the augmented GRU ensemble selects a beam within the 0.25 dB noise margin 96.4% of the time (class-balanced 91.7%), has 96.1% top-3 accuracy, and delivers 99.1% of the optimal received power. Its exact top-1 is 72.1% against the 79.0% oracle ceiling. At t + 3 it reaches 86.0% within noise and 96.8% power ratio. Trained on hard labels, a single GRU falls below persistence at t + 3; the soft target makes it competitive, and augmentation with ensembling makes it the best model on every metric at both horizons, including blind macro-F1 at t + 3 (0.28 vs 0.26).</w:t>
      </w:r>
    </w:p>
    <w:p>
      <w:pPr>
        <w:sectPr>
          <w:type w:val="continuous"/>
          <w:pgSz w:w="12240" w:h="15840"/>
          <w:pgMar w:top="1080" w:right="900" w:bottom="1440" w:left="900" w:header="720" w:footer="720" w:gutter="0"/>
          <w:cols w:space="360" w:num="2"/>
          <w:docGrid w:linePitch="360"/>
        </w:sectPr>
      </w:pPr>
    </w:p>
    <w:p>
      <w:pPr>
        <w:keepNext/>
        <w:spacing w:before="120" w:after="0"/>
        <w:jc w:val="center"/>
      </w:pPr>
      <w:r>
        <w:rPr>
          <w:b w:val="0"/>
          <w:i w:val="0"/>
          <w:smallCaps w:val="0"/>
          <w:sz w:val="16"/>
        </w:rPr>
        <w:t>TABLE VII</w:t>
      </w:r>
    </w:p>
    <w:p>
      <w:pPr>
        <w:keepNext/>
        <w:spacing w:before="0" w:after="60"/>
        <w:jc w:val="center"/>
      </w:pPr>
      <w:r>
        <w:rPr>
          <w:b w:val="0"/>
          <w:i w:val="0"/>
          <w:smallCaps/>
          <w:sz w:val="16"/>
        </w:rPr>
        <w:t>Blind beam prediction, GroupKFold over 35 sequences</w:t>
      </w:r>
    </w:p>
    <w:tbl>
      <w:tblPr>
        <w:tblW w:type="auto" w:w="0"/>
        <w:jc w:val="center"/>
        <w:tblLayout w:type="fixed"/>
        <w:tblLook w:firstColumn="1" w:firstRow="1" w:lastColumn="0" w:lastRow="0" w:noHBand="0" w:noVBand="1" w:val="04A0"/>
        <w:tblBorders>
          <w:top w:val="single" w:sz="8" w:color="000000"/>
          <w:bottom w:val="single" w:sz="8" w:color="000000"/>
        </w:tblBorders>
        <w:tblCellMar>
          <w:left w:w="50" w:type="dxa"/>
          <w:right w:w="50" w:type="dxa"/>
        </w:tblCellMar>
      </w:tblPr>
      <w:tblGrid>
        <w:gridCol w:w="786"/>
        <w:gridCol w:w="2048"/>
        <w:gridCol w:w="1272"/>
        <w:gridCol w:w="2145"/>
        <w:gridCol w:w="592"/>
        <w:gridCol w:w="1175"/>
        <w:gridCol w:w="1175"/>
        <w:gridCol w:w="883"/>
      </w:tblGrid>
      <w:tr>
        <w:tc>
          <w:tcPr>
            <w:tcW w:type="dxa" w:w="787"/>
            <w:tcBorders>
              <w:bottom w:val="single" w:sz="4" w:color="000000"/>
            </w:tcBorders>
          </w:tcPr>
          <w:p>
            <w:pPr>
              <w:keepNext w:val="0"/>
              <w:spacing w:before="0" w:after="0"/>
              <w:jc w:val="left"/>
            </w:pPr>
            <w:r>
              <w:rPr>
                <w:b/>
                <w:i w:val="0"/>
                <w:smallCaps w:val="0"/>
                <w:sz w:val="16"/>
              </w:rPr>
              <w:t>Horizon</w:t>
            </w:r>
          </w:p>
        </w:tc>
        <w:tc>
          <w:tcPr>
            <w:tcW w:type="dxa" w:w="2049"/>
            <w:tcBorders>
              <w:bottom w:val="single" w:sz="4" w:color="000000"/>
            </w:tcBorders>
          </w:tcPr>
          <w:p>
            <w:pPr>
              <w:keepNext w:val="0"/>
              <w:spacing w:before="0" w:after="0"/>
              <w:jc w:val="left"/>
            </w:pPr>
            <w:r>
              <w:rPr>
                <w:b/>
                <w:i w:val="0"/>
                <w:smallCaps w:val="0"/>
                <w:sz w:val="16"/>
              </w:rPr>
              <w:t>Model</w:t>
            </w:r>
          </w:p>
        </w:tc>
        <w:tc>
          <w:tcPr>
            <w:tcW w:type="dxa" w:w="1272"/>
            <w:tcBorders>
              <w:bottom w:val="single" w:sz="4" w:color="000000"/>
            </w:tcBorders>
          </w:tcPr>
          <w:p>
            <w:pPr>
              <w:keepNext w:val="0"/>
              <w:spacing w:before="0" w:after="0"/>
              <w:jc w:val="center"/>
            </w:pPr>
            <w:r>
              <w:rPr>
                <w:b/>
                <w:i w:val="0"/>
                <w:smallCaps w:val="0"/>
                <w:sz w:val="16"/>
              </w:rPr>
              <w:t>Within noise</w:t>
            </w:r>
          </w:p>
        </w:tc>
        <w:tc>
          <w:tcPr>
            <w:tcW w:type="dxa" w:w="2146"/>
            <w:tcBorders>
              <w:bottom w:val="single" w:sz="4" w:color="000000"/>
            </w:tcBorders>
          </w:tcPr>
          <w:p>
            <w:pPr>
              <w:keepNext w:val="0"/>
              <w:spacing w:before="0" w:after="0"/>
              <w:jc w:val="center"/>
            </w:pPr>
            <w:r>
              <w:rPr>
                <w:b/>
                <w:i w:val="0"/>
                <w:smallCaps w:val="0"/>
                <w:sz w:val="16"/>
              </w:rPr>
              <w:t>Balanced within noise</w:t>
            </w:r>
          </w:p>
        </w:tc>
        <w:tc>
          <w:tcPr>
            <w:tcW w:type="dxa" w:w="593"/>
            <w:tcBorders>
              <w:bottom w:val="single" w:sz="4" w:color="000000"/>
            </w:tcBorders>
          </w:tcPr>
          <w:p>
            <w:pPr>
              <w:keepNext w:val="0"/>
              <w:spacing w:before="0" w:after="0"/>
              <w:jc w:val="center"/>
            </w:pPr>
            <w:r>
              <w:rPr>
                <w:b/>
                <w:i w:val="0"/>
                <w:smallCaps w:val="0"/>
                <w:sz w:val="16"/>
              </w:rPr>
              <w:t>Top-3</w:t>
            </w:r>
          </w:p>
        </w:tc>
        <w:tc>
          <w:tcPr>
            <w:tcW w:type="dxa" w:w="1175"/>
            <w:tcBorders>
              <w:bottom w:val="single" w:sz="4" w:color="000000"/>
            </w:tcBorders>
          </w:tcPr>
          <w:p>
            <w:pPr>
              <w:keepNext w:val="0"/>
              <w:spacing w:before="0" w:after="0"/>
              <w:jc w:val="center"/>
            </w:pPr>
            <w:r>
              <w:rPr>
                <w:b/>
                <w:i w:val="0"/>
                <w:smallCaps w:val="0"/>
                <w:sz w:val="16"/>
              </w:rPr>
              <w:t>Power ratio</w:t>
            </w:r>
          </w:p>
        </w:tc>
        <w:tc>
          <w:tcPr>
            <w:tcW w:type="dxa" w:w="1175"/>
            <w:tcBorders>
              <w:bottom w:val="single" w:sz="4" w:color="000000"/>
            </w:tcBorders>
          </w:tcPr>
          <w:p>
            <w:pPr>
              <w:keepNext w:val="0"/>
              <w:spacing w:before="0" w:after="0"/>
              <w:jc w:val="center"/>
            </w:pPr>
            <w:r>
              <w:rPr>
                <w:b/>
                <w:i w:val="0"/>
                <w:smallCaps w:val="0"/>
                <w:sz w:val="16"/>
              </w:rPr>
              <w:t>Exact top-1</w:t>
            </w:r>
          </w:p>
        </w:tc>
        <w:tc>
          <w:tcPr>
            <w:tcW w:type="dxa" w:w="884"/>
            <w:tcBorders>
              <w:bottom w:val="single" w:sz="4" w:color="000000"/>
            </w:tcBorders>
          </w:tcPr>
          <w:p>
            <w:pPr>
              <w:keepNext w:val="0"/>
              <w:spacing w:before="0" w:after="0"/>
              <w:jc w:val="center"/>
            </w:pPr>
            <w:r>
              <w:rPr>
                <w:b/>
                <w:i w:val="0"/>
                <w:smallCaps w:val="0"/>
                <w:sz w:val="16"/>
              </w:rPr>
              <w:t>Macro-F1</w:t>
            </w:r>
          </w:p>
        </w:tc>
      </w:tr>
      <w:tr>
        <w:tc>
          <w:tcPr>
            <w:tcW w:type="dxa" w:w="787"/>
          </w:tcPr>
          <w:p>
            <w:pPr>
              <w:keepNext w:val="0"/>
              <w:spacing w:before="0" w:after="0"/>
              <w:jc w:val="left"/>
            </w:pPr>
            <w:r>
              <w:rPr>
                <w:b w:val="0"/>
                <w:i w:val="0"/>
                <w:smallCaps w:val="0"/>
                <w:sz w:val="16"/>
              </w:rPr>
              <w:t>t+1</w:t>
            </w:r>
          </w:p>
        </w:tc>
        <w:tc>
          <w:tcPr>
            <w:tcW w:type="dxa" w:w="2049"/>
          </w:tcPr>
          <w:p>
            <w:pPr>
              <w:keepNext w:val="0"/>
              <w:spacing w:before="0" w:after="0"/>
              <w:jc w:val="left"/>
            </w:pPr>
            <w:r>
              <w:rPr>
                <w:b w:val="0"/>
                <w:i w:val="0"/>
                <w:smallCaps w:val="0"/>
                <w:sz w:val="16"/>
              </w:rPr>
              <w:t>Persistence</w:t>
            </w:r>
          </w:p>
        </w:tc>
        <w:tc>
          <w:tcPr>
            <w:tcW w:type="dxa" w:w="1272"/>
          </w:tcPr>
          <w:p>
            <w:pPr>
              <w:keepNext w:val="0"/>
              <w:spacing w:before="0" w:after="0"/>
              <w:jc w:val="center"/>
            </w:pPr>
            <w:r>
              <w:rPr>
                <w:b w:val="0"/>
                <w:i w:val="0"/>
                <w:smallCaps w:val="0"/>
                <w:sz w:val="16"/>
              </w:rPr>
              <w:t>93.7</w:t>
            </w:r>
          </w:p>
        </w:tc>
        <w:tc>
          <w:tcPr>
            <w:tcW w:type="dxa" w:w="2146"/>
          </w:tcPr>
          <w:p>
            <w:pPr>
              <w:keepNext w:val="0"/>
              <w:spacing w:before="0" w:after="0"/>
              <w:jc w:val="center"/>
            </w:pPr>
            <w:r>
              <w:rPr>
                <w:b w:val="0"/>
                <w:i w:val="0"/>
                <w:smallCaps w:val="0"/>
                <w:sz w:val="16"/>
              </w:rPr>
              <w:t>86.3</w:t>
            </w:r>
          </w:p>
        </w:tc>
        <w:tc>
          <w:tcPr>
            <w:tcW w:type="dxa" w:w="593"/>
          </w:tcPr>
          <w:p>
            <w:pPr>
              <w:keepNext w:val="0"/>
              <w:spacing w:before="0" w:after="0"/>
              <w:jc w:val="center"/>
            </w:pPr>
            <w:r>
              <w:rPr>
                <w:b w:val="0"/>
                <w:i w:val="0"/>
                <w:smallCaps w:val="0"/>
                <w:sz w:val="16"/>
              </w:rPr>
              <w:t>94.5</w:t>
            </w:r>
          </w:p>
        </w:tc>
        <w:tc>
          <w:tcPr>
            <w:tcW w:type="dxa" w:w="1175"/>
          </w:tcPr>
          <w:p>
            <w:pPr>
              <w:keepNext w:val="0"/>
              <w:spacing w:before="0" w:after="0"/>
              <w:jc w:val="center"/>
            </w:pPr>
            <w:r>
              <w:rPr>
                <w:b w:val="0"/>
                <w:i w:val="0"/>
                <w:smallCaps w:val="0"/>
                <w:sz w:val="16"/>
              </w:rPr>
              <w:t>98.6</w:t>
            </w:r>
          </w:p>
        </w:tc>
        <w:tc>
          <w:tcPr>
            <w:tcW w:type="dxa" w:w="1175"/>
          </w:tcPr>
          <w:p>
            <w:pPr>
              <w:keepNext w:val="0"/>
              <w:spacing w:before="0" w:after="0"/>
              <w:jc w:val="center"/>
            </w:pPr>
            <w:r>
              <w:rPr>
                <w:b w:val="0"/>
                <w:i w:val="0"/>
                <w:smallCaps w:val="0"/>
                <w:sz w:val="16"/>
              </w:rPr>
              <w:t>69.2</w:t>
            </w:r>
          </w:p>
        </w:tc>
        <w:tc>
          <w:tcPr>
            <w:tcW w:type="dxa" w:w="884"/>
          </w:tcPr>
          <w:p>
            <w:pPr>
              <w:keepNext w:val="0"/>
              <w:spacing w:before="0" w:after="0"/>
              <w:jc w:val="center"/>
            </w:pPr>
            <w:r>
              <w:rPr>
                <w:b w:val="0"/>
                <w:i w:val="0"/>
                <w:smallCaps w:val="0"/>
                <w:sz w:val="16"/>
              </w:rPr>
              <w:t>0.45</w:t>
            </w:r>
          </w:p>
        </w:tc>
      </w:tr>
      <w:tr>
        <w:tc>
          <w:tcPr>
            <w:tcW w:type="dxa" w:w="787"/>
          </w:tcPr>
          <w:p>
            <w:pPr>
              <w:keepNext w:val="0"/>
              <w:spacing w:before="0" w:after="0"/>
              <w:jc w:val="left"/>
            </w:pPr>
            <w:r>
              <w:rPr>
                <w:b w:val="0"/>
                <w:i w:val="0"/>
                <w:smallCaps w:val="0"/>
                <w:sz w:val="16"/>
              </w:rPr>
              <w:t>t+1</w:t>
            </w:r>
          </w:p>
        </w:tc>
        <w:tc>
          <w:tcPr>
            <w:tcW w:type="dxa" w:w="2049"/>
          </w:tcPr>
          <w:p>
            <w:pPr>
              <w:keepNext w:val="0"/>
              <w:spacing w:before="0" w:after="0"/>
              <w:jc w:val="left"/>
            </w:pPr>
            <w:r>
              <w:rPr>
                <w:b w:val="0"/>
                <w:i w:val="0"/>
                <w:smallCaps w:val="0"/>
                <w:sz w:val="16"/>
              </w:rPr>
              <w:t>RF + sweep prior</w:t>
            </w:r>
          </w:p>
        </w:tc>
        <w:tc>
          <w:tcPr>
            <w:tcW w:type="dxa" w:w="1272"/>
          </w:tcPr>
          <w:p>
            <w:pPr>
              <w:keepNext w:val="0"/>
              <w:spacing w:before="0" w:after="0"/>
              <w:jc w:val="center"/>
            </w:pPr>
            <w:r>
              <w:rPr>
                <w:b w:val="0"/>
                <w:i w:val="0"/>
                <w:smallCaps w:val="0"/>
                <w:sz w:val="16"/>
              </w:rPr>
              <w:t>93.7</w:t>
            </w:r>
          </w:p>
        </w:tc>
        <w:tc>
          <w:tcPr>
            <w:tcW w:type="dxa" w:w="2146"/>
          </w:tcPr>
          <w:p>
            <w:pPr>
              <w:keepNext w:val="0"/>
              <w:spacing w:before="0" w:after="0"/>
              <w:jc w:val="center"/>
            </w:pPr>
            <w:r>
              <w:rPr>
                <w:b w:val="0"/>
                <w:i w:val="0"/>
                <w:smallCaps w:val="0"/>
                <w:sz w:val="16"/>
              </w:rPr>
              <w:t>86.7</w:t>
            </w:r>
          </w:p>
        </w:tc>
        <w:tc>
          <w:tcPr>
            <w:tcW w:type="dxa" w:w="593"/>
          </w:tcPr>
          <w:p>
            <w:pPr>
              <w:keepNext w:val="0"/>
              <w:spacing w:before="0" w:after="0"/>
              <w:jc w:val="center"/>
            </w:pPr>
            <w:r>
              <w:rPr>
                <w:b w:val="0"/>
                <w:i w:val="0"/>
                <w:smallCaps w:val="0"/>
                <w:sz w:val="16"/>
              </w:rPr>
              <w:t>94.9</w:t>
            </w:r>
          </w:p>
        </w:tc>
        <w:tc>
          <w:tcPr>
            <w:tcW w:type="dxa" w:w="1175"/>
          </w:tcPr>
          <w:p>
            <w:pPr>
              <w:keepNext w:val="0"/>
              <w:spacing w:before="0" w:after="0"/>
              <w:jc w:val="center"/>
            </w:pPr>
            <w:r>
              <w:rPr>
                <w:b w:val="0"/>
                <w:i w:val="0"/>
                <w:smallCaps w:val="0"/>
                <w:sz w:val="16"/>
              </w:rPr>
              <w:t>98.6</w:t>
            </w:r>
          </w:p>
        </w:tc>
        <w:tc>
          <w:tcPr>
            <w:tcW w:type="dxa" w:w="1175"/>
          </w:tcPr>
          <w:p>
            <w:pPr>
              <w:keepNext w:val="0"/>
              <w:spacing w:before="0" w:after="0"/>
              <w:jc w:val="center"/>
            </w:pPr>
            <w:r>
              <w:rPr>
                <w:b w:val="0"/>
                <w:i w:val="0"/>
                <w:smallCaps w:val="0"/>
                <w:sz w:val="16"/>
              </w:rPr>
              <w:t>70.4</w:t>
            </w:r>
          </w:p>
        </w:tc>
        <w:tc>
          <w:tcPr>
            <w:tcW w:type="dxa" w:w="884"/>
          </w:tcPr>
          <w:p>
            <w:pPr>
              <w:keepNext w:val="0"/>
              <w:spacing w:before="0" w:after="0"/>
              <w:jc w:val="center"/>
            </w:pPr>
            <w:r>
              <w:rPr>
                <w:b w:val="0"/>
                <w:i w:val="0"/>
                <w:smallCaps w:val="0"/>
                <w:sz w:val="16"/>
              </w:rPr>
              <w:t>0.41</w:t>
            </w:r>
          </w:p>
        </w:tc>
      </w:tr>
      <w:tr>
        <w:tc>
          <w:tcPr>
            <w:tcW w:type="dxa" w:w="787"/>
          </w:tcPr>
          <w:p>
            <w:pPr>
              <w:keepNext w:val="0"/>
              <w:spacing w:before="0" w:after="0"/>
              <w:jc w:val="left"/>
            </w:pPr>
            <w:r>
              <w:rPr>
                <w:b w:val="0"/>
                <w:i w:val="0"/>
                <w:smallCaps w:val="0"/>
                <w:sz w:val="16"/>
              </w:rPr>
              <w:t>t+1</w:t>
            </w:r>
          </w:p>
        </w:tc>
        <w:tc>
          <w:tcPr>
            <w:tcW w:type="dxa" w:w="2049"/>
          </w:tcPr>
          <w:p>
            <w:pPr>
              <w:keepNext w:val="0"/>
              <w:spacing w:before="0" w:after="0"/>
              <w:jc w:val="left"/>
            </w:pPr>
            <w:r>
              <w:rPr>
                <w:b w:val="0"/>
                <w:i w:val="0"/>
                <w:smallCaps w:val="0"/>
                <w:sz w:val="16"/>
              </w:rPr>
              <w:t>GRU, hard label</w:t>
            </w:r>
          </w:p>
        </w:tc>
        <w:tc>
          <w:tcPr>
            <w:tcW w:type="dxa" w:w="1272"/>
          </w:tcPr>
          <w:p>
            <w:pPr>
              <w:keepNext w:val="0"/>
              <w:spacing w:before="0" w:after="0"/>
              <w:jc w:val="center"/>
            </w:pPr>
            <w:r>
              <w:rPr>
                <w:b w:val="0"/>
                <w:i w:val="0"/>
                <w:smallCaps w:val="0"/>
                <w:sz w:val="16"/>
              </w:rPr>
              <w:t>93.7</w:t>
            </w:r>
          </w:p>
        </w:tc>
        <w:tc>
          <w:tcPr>
            <w:tcW w:type="dxa" w:w="2146"/>
          </w:tcPr>
          <w:p>
            <w:pPr>
              <w:keepNext w:val="0"/>
              <w:spacing w:before="0" w:after="0"/>
              <w:jc w:val="center"/>
            </w:pPr>
            <w:r>
              <w:rPr>
                <w:b w:val="0"/>
                <w:i w:val="0"/>
                <w:smallCaps w:val="0"/>
                <w:sz w:val="16"/>
              </w:rPr>
              <w:t>82.3</w:t>
            </w:r>
          </w:p>
        </w:tc>
        <w:tc>
          <w:tcPr>
            <w:tcW w:type="dxa" w:w="593"/>
          </w:tcPr>
          <w:p>
            <w:pPr>
              <w:keepNext w:val="0"/>
              <w:spacing w:before="0" w:after="0"/>
              <w:jc w:val="center"/>
            </w:pPr>
            <w:r>
              <w:rPr>
                <w:b w:val="0"/>
                <w:i w:val="0"/>
                <w:smallCaps w:val="0"/>
                <w:sz w:val="16"/>
              </w:rPr>
              <w:t>94.6</w:t>
            </w:r>
          </w:p>
        </w:tc>
        <w:tc>
          <w:tcPr>
            <w:tcW w:type="dxa" w:w="1175"/>
          </w:tcPr>
          <w:p>
            <w:pPr>
              <w:keepNext w:val="0"/>
              <w:spacing w:before="0" w:after="0"/>
              <w:jc w:val="center"/>
            </w:pPr>
            <w:r>
              <w:rPr>
                <w:b w:val="0"/>
                <w:i w:val="0"/>
                <w:smallCaps w:val="0"/>
                <w:sz w:val="16"/>
              </w:rPr>
              <w:t>98.6</w:t>
            </w:r>
          </w:p>
        </w:tc>
        <w:tc>
          <w:tcPr>
            <w:tcW w:type="dxa" w:w="1175"/>
          </w:tcPr>
          <w:p>
            <w:pPr>
              <w:keepNext w:val="0"/>
              <w:spacing w:before="0" w:after="0"/>
              <w:jc w:val="center"/>
            </w:pPr>
            <w:r>
              <w:rPr>
                <w:b w:val="0"/>
                <w:i w:val="0"/>
                <w:smallCaps w:val="0"/>
                <w:sz w:val="16"/>
              </w:rPr>
              <w:t>70.9</w:t>
            </w:r>
          </w:p>
        </w:tc>
        <w:tc>
          <w:tcPr>
            <w:tcW w:type="dxa" w:w="884"/>
          </w:tcPr>
          <w:p>
            <w:pPr>
              <w:keepNext w:val="0"/>
              <w:spacing w:before="0" w:after="0"/>
              <w:jc w:val="center"/>
            </w:pPr>
            <w:r>
              <w:rPr>
                <w:b w:val="0"/>
                <w:i w:val="0"/>
                <w:smallCaps w:val="0"/>
                <w:sz w:val="16"/>
              </w:rPr>
              <w:t>0.41</w:t>
            </w:r>
          </w:p>
        </w:tc>
      </w:tr>
      <w:tr>
        <w:tc>
          <w:tcPr>
            <w:tcW w:type="dxa" w:w="787"/>
          </w:tcPr>
          <w:p>
            <w:pPr>
              <w:keepNext w:val="0"/>
              <w:spacing w:before="0" w:after="0"/>
              <w:jc w:val="left"/>
            </w:pPr>
            <w:r>
              <w:rPr>
                <w:b w:val="0"/>
                <w:i w:val="0"/>
                <w:smallCaps w:val="0"/>
                <w:sz w:val="16"/>
              </w:rPr>
              <w:t>t+1</w:t>
            </w:r>
          </w:p>
        </w:tc>
        <w:tc>
          <w:tcPr>
            <w:tcW w:type="dxa" w:w="2049"/>
          </w:tcPr>
          <w:p>
            <w:pPr>
              <w:keepNext w:val="0"/>
              <w:spacing w:before="0" w:after="0"/>
              <w:jc w:val="left"/>
            </w:pPr>
            <w:r>
              <w:rPr>
                <w:b w:val="0"/>
                <w:i w:val="0"/>
                <w:smallCaps w:val="0"/>
                <w:sz w:val="16"/>
              </w:rPr>
              <w:t>GRU, soft target</w:t>
            </w:r>
          </w:p>
        </w:tc>
        <w:tc>
          <w:tcPr>
            <w:tcW w:type="dxa" w:w="1272"/>
          </w:tcPr>
          <w:p>
            <w:pPr>
              <w:keepNext w:val="0"/>
              <w:spacing w:before="0" w:after="0"/>
              <w:jc w:val="center"/>
            </w:pPr>
            <w:r>
              <w:rPr>
                <w:b w:val="0"/>
                <w:i w:val="0"/>
                <w:smallCaps w:val="0"/>
                <w:sz w:val="16"/>
              </w:rPr>
              <w:t>95.6</w:t>
            </w:r>
          </w:p>
        </w:tc>
        <w:tc>
          <w:tcPr>
            <w:tcW w:type="dxa" w:w="2146"/>
          </w:tcPr>
          <w:p>
            <w:pPr>
              <w:keepNext w:val="0"/>
              <w:spacing w:before="0" w:after="0"/>
              <w:jc w:val="center"/>
            </w:pPr>
            <w:r>
              <w:rPr>
                <w:b w:val="0"/>
                <w:i w:val="0"/>
                <w:smallCaps w:val="0"/>
                <w:sz w:val="16"/>
              </w:rPr>
              <w:t>89.3</w:t>
            </w:r>
          </w:p>
        </w:tc>
        <w:tc>
          <w:tcPr>
            <w:tcW w:type="dxa" w:w="593"/>
          </w:tcPr>
          <w:p>
            <w:pPr>
              <w:keepNext w:val="0"/>
              <w:spacing w:before="0" w:after="0"/>
              <w:jc w:val="center"/>
            </w:pPr>
            <w:r>
              <w:rPr>
                <w:b w:val="0"/>
                <w:i w:val="0"/>
                <w:smallCaps w:val="0"/>
                <w:sz w:val="16"/>
              </w:rPr>
              <w:t>95.1</w:t>
            </w:r>
          </w:p>
        </w:tc>
        <w:tc>
          <w:tcPr>
            <w:tcW w:type="dxa" w:w="1175"/>
          </w:tcPr>
          <w:p>
            <w:pPr>
              <w:keepNext w:val="0"/>
              <w:spacing w:before="0" w:after="0"/>
              <w:jc w:val="center"/>
            </w:pPr>
            <w:r>
              <w:rPr>
                <w:b w:val="0"/>
                <w:i w:val="0"/>
                <w:smallCaps w:val="0"/>
                <w:sz w:val="16"/>
              </w:rPr>
              <w:t>98.9</w:t>
            </w:r>
          </w:p>
        </w:tc>
        <w:tc>
          <w:tcPr>
            <w:tcW w:type="dxa" w:w="1175"/>
          </w:tcPr>
          <w:p>
            <w:pPr>
              <w:keepNext w:val="0"/>
              <w:spacing w:before="0" w:after="0"/>
              <w:jc w:val="center"/>
            </w:pPr>
            <w:r>
              <w:rPr>
                <w:b w:val="0"/>
                <w:i w:val="0"/>
                <w:smallCaps w:val="0"/>
                <w:sz w:val="16"/>
              </w:rPr>
              <w:t>70.9</w:t>
            </w:r>
          </w:p>
        </w:tc>
        <w:tc>
          <w:tcPr>
            <w:tcW w:type="dxa" w:w="884"/>
          </w:tcPr>
          <w:p>
            <w:pPr>
              <w:keepNext w:val="0"/>
              <w:spacing w:before="0" w:after="0"/>
              <w:jc w:val="center"/>
            </w:pPr>
            <w:r>
              <w:rPr>
                <w:b w:val="0"/>
                <w:i w:val="0"/>
                <w:smallCaps w:val="0"/>
                <w:sz w:val="16"/>
              </w:rPr>
              <w:t>0.45</w:t>
            </w:r>
          </w:p>
        </w:tc>
      </w:tr>
      <w:tr>
        <w:tc>
          <w:tcPr>
            <w:tcW w:type="dxa" w:w="787"/>
          </w:tcPr>
          <w:p>
            <w:pPr>
              <w:keepNext w:val="0"/>
              <w:spacing w:before="0" w:after="0"/>
              <w:jc w:val="left"/>
            </w:pPr>
            <w:r>
              <w:rPr>
                <w:b w:val="0"/>
                <w:i w:val="0"/>
                <w:smallCaps w:val="0"/>
                <w:sz w:val="16"/>
              </w:rPr>
              <w:t>t+1</w:t>
            </w:r>
          </w:p>
        </w:tc>
        <w:tc>
          <w:tcPr>
            <w:tcW w:type="dxa" w:w="2049"/>
          </w:tcPr>
          <w:p>
            <w:pPr>
              <w:keepNext w:val="0"/>
              <w:spacing w:before="0" w:after="0"/>
              <w:jc w:val="left"/>
            </w:pPr>
            <w:r>
              <w:rPr>
                <w:b/>
                <w:i w:val="0"/>
                <w:smallCaps w:val="0"/>
                <w:sz w:val="16"/>
              </w:rPr>
              <w:t>GRU ensemble, augmented</w:t>
            </w:r>
          </w:p>
        </w:tc>
        <w:tc>
          <w:tcPr>
            <w:tcW w:type="dxa" w:w="1272"/>
          </w:tcPr>
          <w:p>
            <w:pPr>
              <w:keepNext w:val="0"/>
              <w:spacing w:before="0" w:after="0"/>
              <w:jc w:val="center"/>
            </w:pPr>
            <w:r>
              <w:rPr>
                <w:b/>
                <w:i w:val="0"/>
                <w:smallCaps w:val="0"/>
                <w:sz w:val="16"/>
              </w:rPr>
              <w:t>96.4</w:t>
            </w:r>
          </w:p>
        </w:tc>
        <w:tc>
          <w:tcPr>
            <w:tcW w:type="dxa" w:w="2146"/>
          </w:tcPr>
          <w:p>
            <w:pPr>
              <w:keepNext w:val="0"/>
              <w:spacing w:before="0" w:after="0"/>
              <w:jc w:val="center"/>
            </w:pPr>
            <w:r>
              <w:rPr>
                <w:b/>
                <w:i w:val="0"/>
                <w:smallCaps w:val="0"/>
                <w:sz w:val="16"/>
              </w:rPr>
              <w:t>91.7</w:t>
            </w:r>
          </w:p>
        </w:tc>
        <w:tc>
          <w:tcPr>
            <w:tcW w:type="dxa" w:w="593"/>
          </w:tcPr>
          <w:p>
            <w:pPr>
              <w:keepNext w:val="0"/>
              <w:spacing w:before="0" w:after="0"/>
              <w:jc w:val="center"/>
            </w:pPr>
            <w:r>
              <w:rPr>
                <w:b/>
                <w:i w:val="0"/>
                <w:smallCaps w:val="0"/>
                <w:sz w:val="16"/>
              </w:rPr>
              <w:t>96.1</w:t>
            </w:r>
          </w:p>
        </w:tc>
        <w:tc>
          <w:tcPr>
            <w:tcW w:type="dxa" w:w="1175"/>
          </w:tcPr>
          <w:p>
            <w:pPr>
              <w:keepNext w:val="0"/>
              <w:spacing w:before="0" w:after="0"/>
              <w:jc w:val="center"/>
            </w:pPr>
            <w:r>
              <w:rPr>
                <w:b/>
                <w:i w:val="0"/>
                <w:smallCaps w:val="0"/>
                <w:sz w:val="16"/>
              </w:rPr>
              <w:t>99.1</w:t>
            </w:r>
          </w:p>
        </w:tc>
        <w:tc>
          <w:tcPr>
            <w:tcW w:type="dxa" w:w="1175"/>
          </w:tcPr>
          <w:p>
            <w:pPr>
              <w:keepNext w:val="0"/>
              <w:spacing w:before="0" w:after="0"/>
              <w:jc w:val="center"/>
            </w:pPr>
            <w:r>
              <w:rPr>
                <w:b/>
                <w:i w:val="0"/>
                <w:smallCaps w:val="0"/>
                <w:sz w:val="16"/>
              </w:rPr>
              <w:t>72.1</w:t>
            </w:r>
          </w:p>
        </w:tc>
        <w:tc>
          <w:tcPr>
            <w:tcW w:type="dxa" w:w="884"/>
          </w:tcPr>
          <w:p>
            <w:pPr>
              <w:keepNext w:val="0"/>
              <w:spacing w:before="0" w:after="0"/>
              <w:jc w:val="center"/>
            </w:pPr>
            <w:r>
              <w:rPr>
                <w:b/>
                <w:i w:val="0"/>
                <w:smallCaps w:val="0"/>
                <w:sz w:val="16"/>
              </w:rPr>
              <w:t>0.49</w:t>
            </w:r>
          </w:p>
        </w:tc>
      </w:tr>
      <w:tr>
        <w:tc>
          <w:tcPr>
            <w:tcW w:type="dxa" w:w="787"/>
          </w:tcPr>
          <w:p>
            <w:pPr>
              <w:keepNext w:val="0"/>
              <w:spacing w:before="0" w:after="0"/>
              <w:jc w:val="left"/>
            </w:pPr>
            <w:r>
              <w:rPr>
                <w:b w:val="0"/>
                <w:i w:val="0"/>
                <w:smallCaps w:val="0"/>
                <w:sz w:val="16"/>
              </w:rPr>
              <w:t>t+3</w:t>
            </w:r>
          </w:p>
        </w:tc>
        <w:tc>
          <w:tcPr>
            <w:tcW w:type="dxa" w:w="2049"/>
          </w:tcPr>
          <w:p>
            <w:pPr>
              <w:keepNext w:val="0"/>
              <w:spacing w:before="0" w:after="0"/>
              <w:jc w:val="left"/>
            </w:pPr>
            <w:r>
              <w:rPr>
                <w:b w:val="0"/>
                <w:i w:val="0"/>
                <w:smallCaps w:val="0"/>
                <w:sz w:val="16"/>
              </w:rPr>
              <w:t>Persistence</w:t>
            </w:r>
          </w:p>
        </w:tc>
        <w:tc>
          <w:tcPr>
            <w:tcW w:type="dxa" w:w="1272"/>
          </w:tcPr>
          <w:p>
            <w:pPr>
              <w:keepNext w:val="0"/>
              <w:spacing w:before="0" w:after="0"/>
              <w:jc w:val="center"/>
            </w:pPr>
            <w:r>
              <w:rPr>
                <w:b w:val="0"/>
                <w:i w:val="0"/>
                <w:smallCaps w:val="0"/>
                <w:sz w:val="16"/>
              </w:rPr>
              <w:t>78.1</w:t>
            </w:r>
          </w:p>
        </w:tc>
        <w:tc>
          <w:tcPr>
            <w:tcW w:type="dxa" w:w="2146"/>
          </w:tcPr>
          <w:p>
            <w:pPr>
              <w:keepNext w:val="0"/>
              <w:spacing w:before="0" w:after="0"/>
              <w:jc w:val="center"/>
            </w:pPr>
            <w:r>
              <w:rPr>
                <w:b w:val="0"/>
                <w:i w:val="0"/>
                <w:smallCaps w:val="0"/>
                <w:sz w:val="16"/>
              </w:rPr>
              <w:t>66.1</w:t>
            </w:r>
          </w:p>
        </w:tc>
        <w:tc>
          <w:tcPr>
            <w:tcW w:type="dxa" w:w="593"/>
          </w:tcPr>
          <w:p>
            <w:pPr>
              <w:keepNext w:val="0"/>
              <w:spacing w:before="0" w:after="0"/>
              <w:jc w:val="center"/>
            </w:pPr>
            <w:r>
              <w:rPr>
                <w:b w:val="0"/>
                <w:i w:val="0"/>
                <w:smallCaps w:val="0"/>
                <w:sz w:val="16"/>
              </w:rPr>
              <w:t>80.3</w:t>
            </w:r>
          </w:p>
        </w:tc>
        <w:tc>
          <w:tcPr>
            <w:tcW w:type="dxa" w:w="1175"/>
          </w:tcPr>
          <w:p>
            <w:pPr>
              <w:keepNext w:val="0"/>
              <w:spacing w:before="0" w:after="0"/>
              <w:jc w:val="center"/>
            </w:pPr>
            <w:r>
              <w:rPr>
                <w:b w:val="0"/>
                <w:i w:val="0"/>
                <w:smallCaps w:val="0"/>
                <w:sz w:val="16"/>
              </w:rPr>
              <w:t>93.7</w:t>
            </w:r>
          </w:p>
        </w:tc>
        <w:tc>
          <w:tcPr>
            <w:tcW w:type="dxa" w:w="1175"/>
          </w:tcPr>
          <w:p>
            <w:pPr>
              <w:keepNext w:val="0"/>
              <w:spacing w:before="0" w:after="0"/>
              <w:jc w:val="center"/>
            </w:pPr>
            <w:r>
              <w:rPr>
                <w:b w:val="0"/>
                <w:i w:val="0"/>
                <w:smallCaps w:val="0"/>
                <w:sz w:val="16"/>
              </w:rPr>
              <w:t>53.3</w:t>
            </w:r>
          </w:p>
        </w:tc>
        <w:tc>
          <w:tcPr>
            <w:tcW w:type="dxa" w:w="884"/>
          </w:tcPr>
          <w:p>
            <w:pPr>
              <w:keepNext w:val="0"/>
              <w:spacing w:before="0" w:after="0"/>
              <w:jc w:val="center"/>
            </w:pPr>
            <w:r>
              <w:rPr>
                <w:b w:val="0"/>
                <w:i w:val="0"/>
                <w:smallCaps w:val="0"/>
                <w:sz w:val="16"/>
              </w:rPr>
              <w:t>0.26</w:t>
            </w:r>
          </w:p>
        </w:tc>
      </w:tr>
      <w:tr>
        <w:tc>
          <w:tcPr>
            <w:tcW w:type="dxa" w:w="787"/>
          </w:tcPr>
          <w:p>
            <w:pPr>
              <w:keepNext w:val="0"/>
              <w:spacing w:before="0" w:after="0"/>
              <w:jc w:val="left"/>
            </w:pPr>
            <w:r>
              <w:rPr>
                <w:b w:val="0"/>
                <w:i w:val="0"/>
                <w:smallCaps w:val="0"/>
                <w:sz w:val="16"/>
              </w:rPr>
              <w:t>t+3</w:t>
            </w:r>
          </w:p>
        </w:tc>
        <w:tc>
          <w:tcPr>
            <w:tcW w:type="dxa" w:w="2049"/>
          </w:tcPr>
          <w:p>
            <w:pPr>
              <w:keepNext w:val="0"/>
              <w:spacing w:before="0" w:after="0"/>
              <w:jc w:val="left"/>
            </w:pPr>
            <w:r>
              <w:rPr>
                <w:b w:val="0"/>
                <w:i w:val="0"/>
                <w:smallCaps w:val="0"/>
                <w:sz w:val="16"/>
              </w:rPr>
              <w:t>GRU, hard label</w:t>
            </w:r>
          </w:p>
        </w:tc>
        <w:tc>
          <w:tcPr>
            <w:tcW w:type="dxa" w:w="1272"/>
          </w:tcPr>
          <w:p>
            <w:pPr>
              <w:keepNext w:val="0"/>
              <w:spacing w:before="0" w:after="0"/>
              <w:jc w:val="center"/>
            </w:pPr>
            <w:r>
              <w:rPr>
                <w:b w:val="0"/>
                <w:i w:val="0"/>
                <w:smallCaps w:val="0"/>
                <w:sz w:val="16"/>
              </w:rPr>
              <w:t>73.2</w:t>
            </w:r>
          </w:p>
        </w:tc>
        <w:tc>
          <w:tcPr>
            <w:tcW w:type="dxa" w:w="2146"/>
          </w:tcPr>
          <w:p>
            <w:pPr>
              <w:keepNext w:val="0"/>
              <w:spacing w:before="0" w:after="0"/>
              <w:jc w:val="center"/>
            </w:pPr>
            <w:r>
              <w:rPr>
                <w:b w:val="0"/>
                <w:i w:val="0"/>
                <w:smallCaps w:val="0"/>
                <w:sz w:val="16"/>
              </w:rPr>
              <w:t>57.9</w:t>
            </w:r>
          </w:p>
        </w:tc>
        <w:tc>
          <w:tcPr>
            <w:tcW w:type="dxa" w:w="593"/>
          </w:tcPr>
          <w:p>
            <w:pPr>
              <w:keepNext w:val="0"/>
              <w:spacing w:before="0" w:after="0"/>
              <w:jc w:val="center"/>
            </w:pPr>
            <w:r>
              <w:rPr>
                <w:b w:val="0"/>
                <w:i w:val="0"/>
                <w:smallCaps w:val="0"/>
                <w:sz w:val="16"/>
              </w:rPr>
              <w:t>80.6</w:t>
            </w:r>
          </w:p>
        </w:tc>
        <w:tc>
          <w:tcPr>
            <w:tcW w:type="dxa" w:w="1175"/>
          </w:tcPr>
          <w:p>
            <w:pPr>
              <w:keepNext w:val="0"/>
              <w:spacing w:before="0" w:after="0"/>
              <w:jc w:val="center"/>
            </w:pPr>
            <w:r>
              <w:rPr>
                <w:b w:val="0"/>
                <w:i w:val="0"/>
                <w:smallCaps w:val="0"/>
                <w:sz w:val="16"/>
              </w:rPr>
              <w:t>93.1</w:t>
            </w:r>
          </w:p>
        </w:tc>
        <w:tc>
          <w:tcPr>
            <w:tcW w:type="dxa" w:w="1175"/>
          </w:tcPr>
          <w:p>
            <w:pPr>
              <w:keepNext w:val="0"/>
              <w:spacing w:before="0" w:after="0"/>
              <w:jc w:val="center"/>
            </w:pPr>
            <w:r>
              <w:rPr>
                <w:b w:val="0"/>
                <w:i w:val="0"/>
                <w:smallCaps w:val="0"/>
                <w:sz w:val="16"/>
              </w:rPr>
              <w:t>49.5</w:t>
            </w:r>
          </w:p>
        </w:tc>
        <w:tc>
          <w:tcPr>
            <w:tcW w:type="dxa" w:w="884"/>
          </w:tcPr>
          <w:p>
            <w:pPr>
              <w:keepNext w:val="0"/>
              <w:spacing w:before="0" w:after="0"/>
              <w:jc w:val="center"/>
            </w:pPr>
            <w:r>
              <w:rPr>
                <w:b w:val="0"/>
                <w:i w:val="0"/>
                <w:smallCaps w:val="0"/>
                <w:sz w:val="16"/>
              </w:rPr>
              <w:t>0.21</w:t>
            </w:r>
          </w:p>
        </w:tc>
      </w:tr>
      <w:tr>
        <w:tc>
          <w:tcPr>
            <w:tcW w:type="dxa" w:w="787"/>
          </w:tcPr>
          <w:p>
            <w:pPr>
              <w:keepNext w:val="0"/>
              <w:spacing w:before="0" w:after="0"/>
              <w:jc w:val="left"/>
            </w:pPr>
            <w:r>
              <w:rPr>
                <w:b w:val="0"/>
                <w:i w:val="0"/>
                <w:smallCaps w:val="0"/>
                <w:sz w:val="16"/>
              </w:rPr>
              <w:t>t+3</w:t>
            </w:r>
          </w:p>
        </w:tc>
        <w:tc>
          <w:tcPr>
            <w:tcW w:type="dxa" w:w="2049"/>
          </w:tcPr>
          <w:p>
            <w:pPr>
              <w:keepNext w:val="0"/>
              <w:spacing w:before="0" w:after="0"/>
              <w:jc w:val="left"/>
            </w:pPr>
            <w:r>
              <w:rPr>
                <w:b w:val="0"/>
                <w:i w:val="0"/>
                <w:smallCaps w:val="0"/>
                <w:sz w:val="16"/>
              </w:rPr>
              <w:t>GRU, soft target</w:t>
            </w:r>
          </w:p>
        </w:tc>
        <w:tc>
          <w:tcPr>
            <w:tcW w:type="dxa" w:w="1272"/>
          </w:tcPr>
          <w:p>
            <w:pPr>
              <w:keepNext w:val="0"/>
              <w:spacing w:before="0" w:after="0"/>
              <w:jc w:val="center"/>
            </w:pPr>
            <w:r>
              <w:rPr>
                <w:b w:val="0"/>
                <w:i w:val="0"/>
                <w:smallCaps w:val="0"/>
                <w:sz w:val="16"/>
              </w:rPr>
              <w:t>81.1</w:t>
            </w:r>
          </w:p>
        </w:tc>
        <w:tc>
          <w:tcPr>
            <w:tcW w:type="dxa" w:w="2146"/>
          </w:tcPr>
          <w:p>
            <w:pPr>
              <w:keepNext w:val="0"/>
              <w:spacing w:before="0" w:after="0"/>
              <w:jc w:val="center"/>
            </w:pPr>
            <w:r>
              <w:rPr>
                <w:b w:val="0"/>
                <w:i w:val="0"/>
                <w:smallCaps w:val="0"/>
                <w:sz w:val="16"/>
              </w:rPr>
              <w:t>65.8</w:t>
            </w:r>
          </w:p>
        </w:tc>
        <w:tc>
          <w:tcPr>
            <w:tcW w:type="dxa" w:w="593"/>
          </w:tcPr>
          <w:p>
            <w:pPr>
              <w:keepNext w:val="0"/>
              <w:spacing w:before="0" w:after="0"/>
              <w:jc w:val="center"/>
            </w:pPr>
            <w:r>
              <w:rPr>
                <w:b w:val="0"/>
                <w:i w:val="0"/>
                <w:smallCaps w:val="0"/>
                <w:sz w:val="16"/>
              </w:rPr>
              <w:t>84.8</w:t>
            </w:r>
          </w:p>
        </w:tc>
        <w:tc>
          <w:tcPr>
            <w:tcW w:type="dxa" w:w="1175"/>
          </w:tcPr>
          <w:p>
            <w:pPr>
              <w:keepNext w:val="0"/>
              <w:spacing w:before="0" w:after="0"/>
              <w:jc w:val="center"/>
            </w:pPr>
            <w:r>
              <w:rPr>
                <w:b w:val="0"/>
                <w:i w:val="0"/>
                <w:smallCaps w:val="0"/>
                <w:sz w:val="16"/>
              </w:rPr>
              <w:t>95.5</w:t>
            </w:r>
          </w:p>
        </w:tc>
        <w:tc>
          <w:tcPr>
            <w:tcW w:type="dxa" w:w="1175"/>
          </w:tcPr>
          <w:p>
            <w:pPr>
              <w:keepNext w:val="0"/>
              <w:spacing w:before="0" w:after="0"/>
              <w:jc w:val="center"/>
            </w:pPr>
            <w:r>
              <w:rPr>
                <w:b w:val="0"/>
                <w:i w:val="0"/>
                <w:smallCaps w:val="0"/>
                <w:sz w:val="16"/>
              </w:rPr>
              <w:t>55.3</w:t>
            </w:r>
          </w:p>
        </w:tc>
        <w:tc>
          <w:tcPr>
            <w:tcW w:type="dxa" w:w="884"/>
          </w:tcPr>
          <w:p>
            <w:pPr>
              <w:keepNext w:val="0"/>
              <w:spacing w:before="0" w:after="0"/>
              <w:jc w:val="center"/>
            </w:pPr>
            <w:r>
              <w:rPr>
                <w:b w:val="0"/>
                <w:i w:val="0"/>
                <w:smallCaps w:val="0"/>
                <w:sz w:val="16"/>
              </w:rPr>
              <w:t>0.24</w:t>
            </w:r>
          </w:p>
        </w:tc>
      </w:tr>
      <w:tr>
        <w:tc>
          <w:tcPr>
            <w:tcW w:type="dxa" w:w="787"/>
          </w:tcPr>
          <w:p>
            <w:pPr>
              <w:keepNext w:val="0"/>
              <w:spacing w:before="0" w:after="0"/>
              <w:jc w:val="left"/>
            </w:pPr>
            <w:r>
              <w:rPr>
                <w:b w:val="0"/>
                <w:i w:val="0"/>
                <w:smallCaps w:val="0"/>
                <w:sz w:val="16"/>
              </w:rPr>
              <w:t>t+3</w:t>
            </w:r>
          </w:p>
        </w:tc>
        <w:tc>
          <w:tcPr>
            <w:tcW w:type="dxa" w:w="2049"/>
          </w:tcPr>
          <w:p>
            <w:pPr>
              <w:keepNext w:val="0"/>
              <w:spacing w:before="0" w:after="0"/>
              <w:jc w:val="left"/>
            </w:pPr>
            <w:r>
              <w:rPr>
                <w:b/>
                <w:i w:val="0"/>
                <w:smallCaps w:val="0"/>
                <w:sz w:val="16"/>
              </w:rPr>
              <w:t>GRU ensemble, augmented</w:t>
            </w:r>
          </w:p>
        </w:tc>
        <w:tc>
          <w:tcPr>
            <w:tcW w:type="dxa" w:w="1272"/>
          </w:tcPr>
          <w:p>
            <w:pPr>
              <w:keepNext w:val="0"/>
              <w:spacing w:before="0" w:after="0"/>
              <w:jc w:val="center"/>
            </w:pPr>
            <w:r>
              <w:rPr>
                <w:b/>
                <w:i w:val="0"/>
                <w:smallCaps w:val="0"/>
                <w:sz w:val="16"/>
              </w:rPr>
              <w:t>86.0</w:t>
            </w:r>
          </w:p>
        </w:tc>
        <w:tc>
          <w:tcPr>
            <w:tcW w:type="dxa" w:w="2146"/>
          </w:tcPr>
          <w:p>
            <w:pPr>
              <w:keepNext w:val="0"/>
              <w:spacing w:before="0" w:after="0"/>
              <w:jc w:val="center"/>
            </w:pPr>
            <w:r>
              <w:rPr>
                <w:b/>
                <w:i w:val="0"/>
                <w:smallCaps w:val="0"/>
                <w:sz w:val="16"/>
              </w:rPr>
              <w:t>75.5</w:t>
            </w:r>
          </w:p>
        </w:tc>
        <w:tc>
          <w:tcPr>
            <w:tcW w:type="dxa" w:w="593"/>
          </w:tcPr>
          <w:p>
            <w:pPr>
              <w:keepNext w:val="0"/>
              <w:spacing w:before="0" w:after="0"/>
              <w:jc w:val="center"/>
            </w:pPr>
            <w:r>
              <w:rPr>
                <w:b/>
                <w:i w:val="0"/>
                <w:smallCaps w:val="0"/>
                <w:sz w:val="16"/>
              </w:rPr>
              <w:t>86.9</w:t>
            </w:r>
          </w:p>
        </w:tc>
        <w:tc>
          <w:tcPr>
            <w:tcW w:type="dxa" w:w="1175"/>
          </w:tcPr>
          <w:p>
            <w:pPr>
              <w:keepNext w:val="0"/>
              <w:spacing w:before="0" w:after="0"/>
              <w:jc w:val="center"/>
            </w:pPr>
            <w:r>
              <w:rPr>
                <w:b/>
                <w:i w:val="0"/>
                <w:smallCaps w:val="0"/>
                <w:sz w:val="16"/>
              </w:rPr>
              <w:t>96.8</w:t>
            </w:r>
          </w:p>
        </w:tc>
        <w:tc>
          <w:tcPr>
            <w:tcW w:type="dxa" w:w="1175"/>
          </w:tcPr>
          <w:p>
            <w:pPr>
              <w:keepNext w:val="0"/>
              <w:spacing w:before="0" w:after="0"/>
              <w:jc w:val="center"/>
            </w:pPr>
            <w:r>
              <w:rPr>
                <w:b/>
                <w:i w:val="0"/>
                <w:smallCaps w:val="0"/>
                <w:sz w:val="16"/>
              </w:rPr>
              <w:t>56.7</w:t>
            </w:r>
          </w:p>
        </w:tc>
        <w:tc>
          <w:tcPr>
            <w:tcW w:type="dxa" w:w="884"/>
          </w:tcPr>
          <w:p>
            <w:pPr>
              <w:keepNext w:val="0"/>
              <w:spacing w:before="0" w:after="0"/>
              <w:jc w:val="center"/>
            </w:pPr>
            <w:r>
              <w:rPr>
                <w:b/>
                <w:i w:val="0"/>
                <w:smallCaps w:val="0"/>
                <w:sz w:val="16"/>
              </w:rPr>
              <w:t>0.28</w:t>
            </w:r>
          </w:p>
        </w:tc>
      </w:tr>
    </w:tbl>
    <w:p>
      <w:pPr>
        <w:keepNext w:val="0"/>
        <w:spacing w:before="0" w:after="120"/>
        <w:jc w:val="both"/>
      </w:pPr>
    </w:p>
    <w:p>
      <w:pPr>
        <w:sectPr>
          <w:type w:val="continuous"/>
          <w:pgSz w:w="12240" w:h="15840"/>
          <w:pgMar w:top="1080" w:right="900" w:bottom="1440" w:left="900" w:header="720" w:footer="720" w:gutter="0"/>
          <w:cols w:space="360" w:num="1"/>
          <w:docGrid w:linePitch="360"/>
        </w:sectPr>
      </w:pPr>
    </w:p>
    <w:p>
      <w:pPr>
        <w:keepNext w:val="0"/>
        <w:spacing w:before="0" w:after="0"/>
        <w:ind w:firstLine="288"/>
        <w:jc w:val="both"/>
      </w:pPr>
      <w:r>
        <w:rPr>
          <w:b/>
          <w:i w:val="0"/>
          <w:smallCaps w:val="0"/>
          <w:sz w:val="20"/>
        </w:rPr>
        <w:t>Reduced beam training</w:t>
      </w:r>
      <w:r>
        <w:rPr>
          <w:b w:val="0"/>
          <w:i w:val="0"/>
          <w:smallCaps w:val="0"/>
          <w:sz w:val="20"/>
        </w:rPr>
        <w:t xml:space="preserve"> (Table VIII, Fig. 4). Measuring a handful of predicted beams resolves the near-ties that blind prediction cannot. At t + 1, the GRU ensemble with the tie graph selects the exact optimal beam 99.3% of the time with macro-F1 0.961 over all 56 classes, measuring 7 of 64 beams in 0.55 ms; the 95% interval of exact top-1 lies above 95%. At t + 3, the same scheme reaches 99.1% exact top-1 and macro-F1 0.974 over beams with at least five samples, with 11.7 beams. The single-burst variant reaches 98.9% / 0.971 in 1.22 ms. Every scheme in Table VIII also keeps at least 99.5% of decisions within the 0.25 dB noise floor and at least 99.8% of the best beam's power.</w:t>
      </w:r>
    </w:p>
    <w:p>
      <w:pPr>
        <w:sectPr>
          <w:type w:val="continuous"/>
          <w:pgSz w:w="12240" w:h="15840"/>
          <w:pgMar w:top="1080" w:right="900" w:bottom="1440" w:left="900" w:header="720" w:footer="720" w:gutter="0"/>
          <w:cols w:space="360" w:num="2"/>
          <w:docGrid w:linePitch="360"/>
        </w:sectPr>
      </w:pPr>
    </w:p>
    <w:p>
      <w:pPr>
        <w:keepNext/>
        <w:spacing w:before="120" w:after="0"/>
        <w:jc w:val="center"/>
      </w:pPr>
      <w:r>
        <w:rPr>
          <w:b w:val="0"/>
          <w:i w:val="0"/>
          <w:smallCaps w:val="0"/>
          <w:sz w:val="16"/>
        </w:rPr>
        <w:t>TABLE VIII</w:t>
      </w:r>
    </w:p>
    <w:p>
      <w:pPr>
        <w:keepNext/>
        <w:spacing w:before="0" w:after="60"/>
        <w:jc w:val="center"/>
      </w:pPr>
      <w:r>
        <w:rPr>
          <w:b w:val="0"/>
          <w:i w:val="0"/>
          <w:smallCaps/>
          <w:sz w:val="16"/>
        </w:rPr>
        <w:t>Reduced beam training, nested-CV operating points, scored against the full-sweep ground truth [95% CI over sequences]. Latency: beam-training time under 5G NR FR2 timing (full sweep: 5 ms). Macro-F1 ≥ 5: over beam classes with at least five samples</w:t>
      </w:r>
    </w:p>
    <w:tbl>
      <w:tblPr>
        <w:tblW w:type="auto" w:w="0"/>
        <w:jc w:val="center"/>
        <w:tblLayout w:type="fixed"/>
        <w:tblLook w:firstColumn="1" w:firstRow="1" w:lastColumn="0" w:lastRow="0" w:noHBand="0" w:noVBand="1" w:val="04A0"/>
        <w:tblBorders>
          <w:top w:val="single" w:sz="8" w:color="000000"/>
          <w:bottom w:val="single" w:sz="8" w:color="000000"/>
        </w:tblBorders>
        <w:tblCellMar>
          <w:left w:w="50" w:type="dxa"/>
          <w:right w:w="50" w:type="dxa"/>
        </w:tblCellMar>
      </w:tblPr>
      <w:tblGrid>
        <w:gridCol w:w="741"/>
        <w:gridCol w:w="2885"/>
        <w:gridCol w:w="558"/>
        <w:gridCol w:w="1199"/>
        <w:gridCol w:w="1473"/>
        <w:gridCol w:w="2022"/>
        <w:gridCol w:w="1199"/>
      </w:tblGrid>
      <w:tr>
        <w:tc>
          <w:tcPr>
            <w:tcW w:type="dxa" w:w="742"/>
            <w:tcBorders>
              <w:bottom w:val="single" w:sz="4" w:color="000000"/>
            </w:tcBorders>
          </w:tcPr>
          <w:p>
            <w:pPr>
              <w:keepNext w:val="0"/>
              <w:spacing w:before="0" w:after="0"/>
              <w:jc w:val="left"/>
            </w:pPr>
            <w:r>
              <w:rPr>
                <w:b/>
                <w:i w:val="0"/>
                <w:smallCaps w:val="0"/>
                <w:sz w:val="16"/>
              </w:rPr>
              <w:t>Horizon</w:t>
            </w:r>
          </w:p>
        </w:tc>
        <w:tc>
          <w:tcPr>
            <w:tcW w:type="dxa" w:w="2886"/>
            <w:tcBorders>
              <w:bottom w:val="single" w:sz="4" w:color="000000"/>
            </w:tcBorders>
          </w:tcPr>
          <w:p>
            <w:pPr>
              <w:keepNext w:val="0"/>
              <w:spacing w:before="0" w:after="0"/>
              <w:jc w:val="left"/>
            </w:pPr>
            <w:r>
              <w:rPr>
                <w:b/>
                <w:i w:val="0"/>
                <w:smallCaps w:val="0"/>
                <w:sz w:val="16"/>
              </w:rPr>
              <w:t>Shortlist</w:t>
            </w:r>
          </w:p>
        </w:tc>
        <w:tc>
          <w:tcPr>
            <w:tcW w:type="dxa" w:w="559"/>
            <w:tcBorders>
              <w:bottom w:val="single" w:sz="4" w:color="000000"/>
            </w:tcBorders>
          </w:tcPr>
          <w:p>
            <w:pPr>
              <w:keepNext w:val="0"/>
              <w:spacing w:before="0" w:after="0"/>
              <w:jc w:val="center"/>
            </w:pPr>
            <w:r>
              <w:rPr>
                <w:b/>
                <w:i w:val="0"/>
                <w:smallCaps w:val="0"/>
                <w:sz w:val="16"/>
              </w:rPr>
              <w:t>Beams</w:t>
            </w:r>
          </w:p>
        </w:tc>
        <w:tc>
          <w:tcPr>
            <w:tcW w:type="dxa" w:w="1199"/>
            <w:tcBorders>
              <w:bottom w:val="single" w:sz="4" w:color="000000"/>
            </w:tcBorders>
          </w:tcPr>
          <w:p>
            <w:pPr>
              <w:keepNext w:val="0"/>
              <w:spacing w:before="0" w:after="0"/>
              <w:jc w:val="center"/>
            </w:pPr>
            <w:r>
              <w:rPr>
                <w:b/>
                <w:i w:val="0"/>
                <w:smallCaps w:val="0"/>
                <w:sz w:val="16"/>
              </w:rPr>
              <w:t>Latency (ms)</w:t>
            </w:r>
          </w:p>
        </w:tc>
        <w:tc>
          <w:tcPr>
            <w:tcW w:type="dxa" w:w="1474"/>
            <w:tcBorders>
              <w:bottom w:val="single" w:sz="4" w:color="000000"/>
            </w:tcBorders>
          </w:tcPr>
          <w:p>
            <w:pPr>
              <w:keepNext w:val="0"/>
              <w:spacing w:before="0" w:after="0"/>
              <w:jc w:val="center"/>
            </w:pPr>
            <w:r>
              <w:rPr>
                <w:b/>
                <w:i w:val="0"/>
                <w:smallCaps w:val="0"/>
                <w:sz w:val="16"/>
              </w:rPr>
              <w:t>Exact top-1 (%)</w:t>
            </w:r>
          </w:p>
        </w:tc>
        <w:tc>
          <w:tcPr>
            <w:tcW w:type="dxa" w:w="2022"/>
            <w:tcBorders>
              <w:bottom w:val="single" w:sz="4" w:color="000000"/>
            </w:tcBorders>
          </w:tcPr>
          <w:p>
            <w:pPr>
              <w:keepNext w:val="0"/>
              <w:spacing w:before="0" w:after="0"/>
              <w:jc w:val="center"/>
            </w:pPr>
            <w:r>
              <w:rPr>
                <w:b/>
                <w:i w:val="0"/>
                <w:smallCaps w:val="0"/>
                <w:sz w:val="16"/>
              </w:rPr>
              <w:t>Macro-F1 (56 classes)</w:t>
            </w:r>
          </w:p>
        </w:tc>
        <w:tc>
          <w:tcPr>
            <w:tcW w:type="dxa" w:w="1199"/>
            <w:tcBorders>
              <w:bottom w:val="single" w:sz="4" w:color="000000"/>
            </w:tcBorders>
          </w:tcPr>
          <w:p>
            <w:pPr>
              <w:keepNext w:val="0"/>
              <w:spacing w:before="0" w:after="0"/>
              <w:jc w:val="center"/>
            </w:pPr>
            <w:r>
              <w:rPr>
                <w:b/>
                <w:i w:val="0"/>
                <w:smallCaps w:val="0"/>
                <w:sz w:val="16"/>
              </w:rPr>
              <w:t>Macro-F1 ≥ 5</w:t>
            </w:r>
          </w:p>
        </w:tc>
      </w:tr>
      <w:tr>
        <w:tc>
          <w:tcPr>
            <w:tcW w:type="dxa" w:w="742"/>
          </w:tcPr>
          <w:p>
            <w:pPr>
              <w:keepNext w:val="0"/>
              <w:spacing w:before="0" w:after="0"/>
              <w:jc w:val="left"/>
            </w:pPr>
            <w:r>
              <w:rPr>
                <w:b w:val="0"/>
                <w:i w:val="0"/>
                <w:smallCaps w:val="0"/>
                <w:sz w:val="16"/>
              </w:rPr>
              <w:t>t+1</w:t>
            </w:r>
          </w:p>
        </w:tc>
        <w:tc>
          <w:tcPr>
            <w:tcW w:type="dxa" w:w="2886"/>
          </w:tcPr>
          <w:p>
            <w:pPr>
              <w:keepNext w:val="0"/>
              <w:spacing w:before="0" w:after="0"/>
              <w:jc w:val="left"/>
            </w:pPr>
            <w:r>
              <w:rPr>
                <w:b w:val="0"/>
                <w:i w:val="0"/>
                <w:smallCaps w:val="0"/>
                <w:sz w:val="16"/>
              </w:rPr>
              <w:t>Last sweep, K = 4 (85% target)</w:t>
            </w:r>
          </w:p>
        </w:tc>
        <w:tc>
          <w:tcPr>
            <w:tcW w:type="dxa" w:w="559"/>
          </w:tcPr>
          <w:p>
            <w:pPr>
              <w:keepNext w:val="0"/>
              <w:spacing w:before="0" w:after="0"/>
              <w:jc w:val="center"/>
            </w:pPr>
            <w:r>
              <w:rPr>
                <w:b w:val="0"/>
                <w:i w:val="0"/>
                <w:smallCaps w:val="0"/>
                <w:sz w:val="16"/>
              </w:rPr>
              <w:t>4.2</w:t>
            </w:r>
          </w:p>
        </w:tc>
        <w:tc>
          <w:tcPr>
            <w:tcW w:type="dxa" w:w="1199"/>
          </w:tcPr>
          <w:p>
            <w:pPr>
              <w:keepNext w:val="0"/>
              <w:spacing w:before="0" w:after="0"/>
              <w:jc w:val="center"/>
            </w:pPr>
            <w:r>
              <w:rPr>
                <w:b w:val="0"/>
                <w:i w:val="0"/>
                <w:smallCaps w:val="0"/>
                <w:sz w:val="16"/>
              </w:rPr>
              <w:t>0.33</w:t>
            </w:r>
          </w:p>
        </w:tc>
        <w:tc>
          <w:tcPr>
            <w:tcW w:type="dxa" w:w="1474"/>
          </w:tcPr>
          <w:p>
            <w:pPr>
              <w:keepNext w:val="0"/>
              <w:spacing w:before="0" w:after="0"/>
              <w:jc w:val="center"/>
            </w:pPr>
            <w:r>
              <w:rPr>
                <w:b w:val="0"/>
                <w:i w:val="0"/>
                <w:smallCaps w:val="0"/>
                <w:sz w:val="16"/>
              </w:rPr>
              <w:t>97.6 [96.4, 98.5]</w:t>
            </w:r>
          </w:p>
        </w:tc>
        <w:tc>
          <w:tcPr>
            <w:tcW w:type="dxa" w:w="2022"/>
          </w:tcPr>
          <w:p>
            <w:pPr>
              <w:keepNext w:val="0"/>
              <w:spacing w:before="0" w:after="0"/>
              <w:jc w:val="center"/>
            </w:pPr>
            <w:r>
              <w:rPr>
                <w:b w:val="0"/>
                <w:i w:val="0"/>
                <w:smallCaps w:val="0"/>
                <w:sz w:val="16"/>
              </w:rPr>
              <w:t>0.871 [0.829, 0.912]</w:t>
            </w:r>
          </w:p>
        </w:tc>
        <w:tc>
          <w:tcPr>
            <w:tcW w:type="dxa" w:w="1199"/>
          </w:tcPr>
          <w:p>
            <w:pPr>
              <w:keepNext w:val="0"/>
              <w:spacing w:before="0" w:after="0"/>
              <w:jc w:val="center"/>
            </w:pPr>
            <w:r>
              <w:rPr>
                <w:b w:val="0"/>
                <w:i w:val="0"/>
                <w:smallCaps w:val="0"/>
                <w:sz w:val="16"/>
              </w:rPr>
              <w:t>0.945</w:t>
            </w:r>
          </w:p>
        </w:tc>
      </w:tr>
      <w:tr>
        <w:tc>
          <w:tcPr>
            <w:tcW w:type="dxa" w:w="742"/>
          </w:tcPr>
          <w:p>
            <w:pPr>
              <w:keepNext w:val="0"/>
              <w:spacing w:before="0" w:after="0"/>
              <w:jc w:val="left"/>
            </w:pPr>
            <w:r>
              <w:rPr>
                <w:b w:val="0"/>
                <w:i w:val="0"/>
                <w:smallCaps w:val="0"/>
                <w:sz w:val="16"/>
              </w:rPr>
              <w:t>t+1</w:t>
            </w:r>
          </w:p>
        </w:tc>
        <w:tc>
          <w:tcPr>
            <w:tcW w:type="dxa" w:w="2886"/>
          </w:tcPr>
          <w:p>
            <w:pPr>
              <w:keepNext w:val="0"/>
              <w:spacing w:before="0" w:after="0"/>
              <w:jc w:val="left"/>
            </w:pPr>
            <w:r>
              <w:rPr>
                <w:b w:val="0"/>
                <w:i w:val="0"/>
                <w:smallCaps w:val="0"/>
                <w:sz w:val="16"/>
              </w:rPr>
              <w:t>Last sweep, K = 6</w:t>
            </w:r>
          </w:p>
        </w:tc>
        <w:tc>
          <w:tcPr>
            <w:tcW w:type="dxa" w:w="559"/>
          </w:tcPr>
          <w:p>
            <w:pPr>
              <w:keepNext w:val="0"/>
              <w:spacing w:before="0" w:after="0"/>
              <w:jc w:val="center"/>
            </w:pPr>
            <w:r>
              <w:rPr>
                <w:b w:val="0"/>
                <w:i w:val="0"/>
                <w:smallCaps w:val="0"/>
                <w:sz w:val="16"/>
              </w:rPr>
              <w:t>6.0</w:t>
            </w:r>
          </w:p>
        </w:tc>
        <w:tc>
          <w:tcPr>
            <w:tcW w:type="dxa" w:w="1199"/>
          </w:tcPr>
          <w:p>
            <w:pPr>
              <w:keepNext w:val="0"/>
              <w:spacing w:before="0" w:after="0"/>
              <w:jc w:val="center"/>
            </w:pPr>
            <w:r>
              <w:rPr>
                <w:b w:val="0"/>
                <w:i w:val="0"/>
                <w:smallCaps w:val="0"/>
                <w:sz w:val="16"/>
              </w:rPr>
              <w:t>0.47</w:t>
            </w:r>
          </w:p>
        </w:tc>
        <w:tc>
          <w:tcPr>
            <w:tcW w:type="dxa" w:w="1474"/>
          </w:tcPr>
          <w:p>
            <w:pPr>
              <w:keepNext w:val="0"/>
              <w:spacing w:before="0" w:after="0"/>
              <w:jc w:val="center"/>
            </w:pPr>
            <w:r>
              <w:rPr>
                <w:b w:val="0"/>
                <w:i w:val="0"/>
                <w:smallCaps w:val="0"/>
                <w:sz w:val="16"/>
              </w:rPr>
              <w:t>99.1 [98.6, 99.5]</w:t>
            </w:r>
          </w:p>
        </w:tc>
        <w:tc>
          <w:tcPr>
            <w:tcW w:type="dxa" w:w="2022"/>
          </w:tcPr>
          <w:p>
            <w:pPr>
              <w:keepNext w:val="0"/>
              <w:spacing w:before="0" w:after="0"/>
              <w:jc w:val="center"/>
            </w:pPr>
            <w:r>
              <w:rPr>
                <w:b w:val="0"/>
                <w:i w:val="0"/>
                <w:smallCaps w:val="0"/>
                <w:sz w:val="16"/>
              </w:rPr>
              <w:t>0.960 [0.940, 0.985]</w:t>
            </w:r>
          </w:p>
        </w:tc>
        <w:tc>
          <w:tcPr>
            <w:tcW w:type="dxa" w:w="1199"/>
          </w:tcPr>
          <w:p>
            <w:pPr>
              <w:keepNext w:val="0"/>
              <w:spacing w:before="0" w:after="0"/>
              <w:jc w:val="center"/>
            </w:pPr>
            <w:r>
              <w:rPr>
                <w:b w:val="0"/>
                <w:i w:val="0"/>
                <w:smallCaps w:val="0"/>
                <w:sz w:val="16"/>
              </w:rPr>
              <w:t>0.981</w:t>
            </w:r>
          </w:p>
        </w:tc>
      </w:tr>
      <w:tr>
        <w:tc>
          <w:tcPr>
            <w:tcW w:type="dxa" w:w="742"/>
          </w:tcPr>
          <w:p>
            <w:pPr>
              <w:keepNext w:val="0"/>
              <w:spacing w:before="0" w:after="0"/>
              <w:jc w:val="left"/>
            </w:pPr>
            <w:r>
              <w:rPr>
                <w:b w:val="0"/>
                <w:i w:val="0"/>
                <w:smallCaps w:val="0"/>
                <w:sz w:val="16"/>
              </w:rPr>
              <w:t>t+1</w:t>
            </w:r>
          </w:p>
        </w:tc>
        <w:tc>
          <w:tcPr>
            <w:tcW w:type="dxa" w:w="2886"/>
          </w:tcPr>
          <w:p>
            <w:pPr>
              <w:keepNext w:val="0"/>
              <w:spacing w:before="0" w:after="0"/>
              <w:jc w:val="left"/>
            </w:pPr>
            <w:r>
              <w:rPr>
                <w:b/>
                <w:i w:val="0"/>
                <w:smallCaps w:val="0"/>
                <w:sz w:val="16"/>
              </w:rPr>
              <w:t>GRU ensemble + tie graph, two-round</w:t>
            </w:r>
          </w:p>
        </w:tc>
        <w:tc>
          <w:tcPr>
            <w:tcW w:type="dxa" w:w="559"/>
          </w:tcPr>
          <w:p>
            <w:pPr>
              <w:keepNext w:val="0"/>
              <w:spacing w:before="0" w:after="0"/>
              <w:jc w:val="center"/>
            </w:pPr>
            <w:r>
              <w:rPr>
                <w:b/>
                <w:i w:val="0"/>
                <w:smallCaps w:val="0"/>
                <w:sz w:val="16"/>
              </w:rPr>
              <w:t>7.0</w:t>
            </w:r>
          </w:p>
        </w:tc>
        <w:tc>
          <w:tcPr>
            <w:tcW w:type="dxa" w:w="1199"/>
          </w:tcPr>
          <w:p>
            <w:pPr>
              <w:keepNext w:val="0"/>
              <w:spacing w:before="0" w:after="0"/>
              <w:jc w:val="center"/>
            </w:pPr>
            <w:r>
              <w:rPr>
                <w:b/>
                <w:i w:val="0"/>
                <w:smallCaps w:val="0"/>
                <w:sz w:val="16"/>
              </w:rPr>
              <w:t>0.55</w:t>
            </w:r>
          </w:p>
        </w:tc>
        <w:tc>
          <w:tcPr>
            <w:tcW w:type="dxa" w:w="1474"/>
          </w:tcPr>
          <w:p>
            <w:pPr>
              <w:keepNext w:val="0"/>
              <w:spacing w:before="0" w:after="0"/>
              <w:jc w:val="center"/>
            </w:pPr>
            <w:r>
              <w:rPr>
                <w:b/>
                <w:i w:val="0"/>
                <w:smallCaps w:val="0"/>
                <w:sz w:val="16"/>
              </w:rPr>
              <w:t>99.3 [98.7, 99.7]</w:t>
            </w:r>
          </w:p>
        </w:tc>
        <w:tc>
          <w:tcPr>
            <w:tcW w:type="dxa" w:w="2022"/>
          </w:tcPr>
          <w:p>
            <w:pPr>
              <w:keepNext w:val="0"/>
              <w:spacing w:before="0" w:after="0"/>
              <w:jc w:val="center"/>
            </w:pPr>
            <w:r>
              <w:rPr>
                <w:b/>
                <w:i w:val="0"/>
                <w:smallCaps w:val="0"/>
                <w:sz w:val="16"/>
              </w:rPr>
              <w:t>0.961 [0.941, 0.990]</w:t>
            </w:r>
          </w:p>
        </w:tc>
        <w:tc>
          <w:tcPr>
            <w:tcW w:type="dxa" w:w="1199"/>
          </w:tcPr>
          <w:p>
            <w:pPr>
              <w:keepNext w:val="0"/>
              <w:spacing w:before="0" w:after="0"/>
              <w:jc w:val="center"/>
            </w:pPr>
            <w:r>
              <w:rPr>
                <w:b/>
                <w:i w:val="0"/>
                <w:smallCaps w:val="0"/>
                <w:sz w:val="16"/>
              </w:rPr>
              <w:t>0.985</w:t>
            </w:r>
          </w:p>
        </w:tc>
      </w:tr>
      <w:tr>
        <w:tc>
          <w:tcPr>
            <w:tcW w:type="dxa" w:w="742"/>
          </w:tcPr>
          <w:p>
            <w:pPr>
              <w:keepNext w:val="0"/>
              <w:spacing w:before="0" w:after="0"/>
              <w:jc w:val="left"/>
            </w:pPr>
            <w:r>
              <w:rPr>
                <w:b w:val="0"/>
                <w:i w:val="0"/>
                <w:smallCaps w:val="0"/>
                <w:sz w:val="16"/>
              </w:rPr>
              <w:t>t+1</w:t>
            </w:r>
          </w:p>
        </w:tc>
        <w:tc>
          <w:tcPr>
            <w:tcW w:type="dxa" w:w="2886"/>
          </w:tcPr>
          <w:p>
            <w:pPr>
              <w:keepNext w:val="0"/>
              <w:spacing w:before="0" w:after="0"/>
              <w:jc w:val="left"/>
            </w:pPr>
            <w:r>
              <w:rPr>
                <w:b w:val="0"/>
                <w:i w:val="0"/>
                <w:smallCaps w:val="0"/>
                <w:sz w:val="16"/>
              </w:rPr>
              <w:t>GRU ensemble + last sweep, burst</w:t>
            </w:r>
          </w:p>
        </w:tc>
        <w:tc>
          <w:tcPr>
            <w:tcW w:type="dxa" w:w="559"/>
          </w:tcPr>
          <w:p>
            <w:pPr>
              <w:keepNext w:val="0"/>
              <w:spacing w:before="0" w:after="0"/>
              <w:jc w:val="center"/>
            </w:pPr>
            <w:r>
              <w:rPr>
                <w:b w:val="0"/>
                <w:i w:val="0"/>
                <w:smallCaps w:val="0"/>
                <w:sz w:val="16"/>
              </w:rPr>
              <w:t>6.4</w:t>
            </w:r>
          </w:p>
        </w:tc>
        <w:tc>
          <w:tcPr>
            <w:tcW w:type="dxa" w:w="1199"/>
          </w:tcPr>
          <w:p>
            <w:pPr>
              <w:keepNext w:val="0"/>
              <w:spacing w:before="0" w:after="0"/>
              <w:jc w:val="center"/>
            </w:pPr>
            <w:r>
              <w:rPr>
                <w:b w:val="0"/>
                <w:i w:val="0"/>
                <w:smallCaps w:val="0"/>
                <w:sz w:val="16"/>
              </w:rPr>
              <w:t>0.50</w:t>
            </w:r>
          </w:p>
        </w:tc>
        <w:tc>
          <w:tcPr>
            <w:tcW w:type="dxa" w:w="1474"/>
          </w:tcPr>
          <w:p>
            <w:pPr>
              <w:keepNext w:val="0"/>
              <w:spacing w:before="0" w:after="0"/>
              <w:jc w:val="center"/>
            </w:pPr>
            <w:r>
              <w:rPr>
                <w:b w:val="0"/>
                <w:i w:val="0"/>
                <w:smallCaps w:val="0"/>
                <w:sz w:val="16"/>
              </w:rPr>
              <w:t>99.2 [98.7, 99.6]</w:t>
            </w:r>
          </w:p>
        </w:tc>
        <w:tc>
          <w:tcPr>
            <w:tcW w:type="dxa" w:w="2022"/>
          </w:tcPr>
          <w:p>
            <w:pPr>
              <w:keepNext w:val="0"/>
              <w:spacing w:before="0" w:after="0"/>
              <w:jc w:val="center"/>
            </w:pPr>
            <w:r>
              <w:rPr>
                <w:b w:val="0"/>
                <w:i w:val="0"/>
                <w:smallCaps w:val="0"/>
                <w:sz w:val="16"/>
              </w:rPr>
              <w:t>0.955 [0.940, 0.977]</w:t>
            </w:r>
          </w:p>
        </w:tc>
        <w:tc>
          <w:tcPr>
            <w:tcW w:type="dxa" w:w="1199"/>
          </w:tcPr>
          <w:p>
            <w:pPr>
              <w:keepNext w:val="0"/>
              <w:spacing w:before="0" w:after="0"/>
              <w:jc w:val="center"/>
            </w:pPr>
            <w:r>
              <w:rPr>
                <w:b w:val="0"/>
                <w:i w:val="0"/>
                <w:smallCaps w:val="0"/>
                <w:sz w:val="16"/>
              </w:rPr>
              <w:t>0.984</w:t>
            </w:r>
          </w:p>
        </w:tc>
      </w:tr>
      <w:tr>
        <w:tc>
          <w:tcPr>
            <w:tcW w:type="dxa" w:w="742"/>
          </w:tcPr>
          <w:p>
            <w:pPr>
              <w:keepNext w:val="0"/>
              <w:spacing w:before="0" w:after="0"/>
              <w:jc w:val="left"/>
            </w:pPr>
            <w:r>
              <w:rPr>
                <w:b w:val="0"/>
                <w:i w:val="0"/>
                <w:smallCaps w:val="0"/>
                <w:sz w:val="16"/>
              </w:rPr>
              <w:t>t+3</w:t>
            </w:r>
          </w:p>
        </w:tc>
        <w:tc>
          <w:tcPr>
            <w:tcW w:type="dxa" w:w="2886"/>
          </w:tcPr>
          <w:p>
            <w:pPr>
              <w:keepNext w:val="0"/>
              <w:spacing w:before="0" w:after="0"/>
              <w:jc w:val="left"/>
            </w:pPr>
            <w:r>
              <w:rPr>
                <w:b w:val="0"/>
                <w:i w:val="0"/>
                <w:smallCaps w:val="0"/>
                <w:sz w:val="16"/>
              </w:rPr>
              <w:t>Last sweep, K = 16</w:t>
            </w:r>
          </w:p>
        </w:tc>
        <w:tc>
          <w:tcPr>
            <w:tcW w:type="dxa" w:w="559"/>
          </w:tcPr>
          <w:p>
            <w:pPr>
              <w:keepNext w:val="0"/>
              <w:spacing w:before="0" w:after="0"/>
              <w:jc w:val="center"/>
            </w:pPr>
            <w:r>
              <w:rPr>
                <w:b w:val="0"/>
                <w:i w:val="0"/>
                <w:smallCaps w:val="0"/>
                <w:sz w:val="16"/>
              </w:rPr>
              <w:t>16.0</w:t>
            </w:r>
          </w:p>
        </w:tc>
        <w:tc>
          <w:tcPr>
            <w:tcW w:type="dxa" w:w="1199"/>
          </w:tcPr>
          <w:p>
            <w:pPr>
              <w:keepNext w:val="0"/>
              <w:spacing w:before="0" w:after="0"/>
              <w:jc w:val="center"/>
            </w:pPr>
            <w:r>
              <w:rPr>
                <w:b w:val="0"/>
                <w:i w:val="0"/>
                <w:smallCaps w:val="0"/>
                <w:sz w:val="16"/>
              </w:rPr>
              <w:t>1.25</w:t>
            </w:r>
          </w:p>
        </w:tc>
        <w:tc>
          <w:tcPr>
            <w:tcW w:type="dxa" w:w="1474"/>
          </w:tcPr>
          <w:p>
            <w:pPr>
              <w:keepNext w:val="0"/>
              <w:spacing w:before="0" w:after="0"/>
              <w:jc w:val="center"/>
            </w:pPr>
            <w:r>
              <w:rPr>
                <w:b w:val="0"/>
                <w:i w:val="0"/>
                <w:smallCaps w:val="0"/>
                <w:sz w:val="16"/>
              </w:rPr>
              <w:t>97.9 [96.6, 98.8]</w:t>
            </w:r>
          </w:p>
        </w:tc>
        <w:tc>
          <w:tcPr>
            <w:tcW w:type="dxa" w:w="2022"/>
          </w:tcPr>
          <w:p>
            <w:pPr>
              <w:keepNext w:val="0"/>
              <w:spacing w:before="0" w:after="0"/>
              <w:jc w:val="center"/>
            </w:pPr>
            <w:r>
              <w:rPr>
                <w:b w:val="0"/>
                <w:i w:val="0"/>
                <w:smallCaps w:val="0"/>
                <w:sz w:val="16"/>
              </w:rPr>
              <w:t>0.860 [0.823, 0.906]</w:t>
            </w:r>
          </w:p>
        </w:tc>
        <w:tc>
          <w:tcPr>
            <w:tcW w:type="dxa" w:w="1199"/>
          </w:tcPr>
          <w:p>
            <w:pPr>
              <w:keepNext w:val="0"/>
              <w:spacing w:before="0" w:after="0"/>
              <w:jc w:val="center"/>
            </w:pPr>
            <w:r>
              <w:rPr>
                <w:b w:val="0"/>
                <w:i w:val="0"/>
                <w:smallCaps w:val="0"/>
                <w:sz w:val="16"/>
              </w:rPr>
              <w:t>0.956</w:t>
            </w:r>
          </w:p>
        </w:tc>
      </w:tr>
      <w:tr>
        <w:tc>
          <w:tcPr>
            <w:tcW w:type="dxa" w:w="742"/>
          </w:tcPr>
          <w:p>
            <w:pPr>
              <w:keepNext w:val="0"/>
              <w:spacing w:before="0" w:after="0"/>
              <w:jc w:val="left"/>
            </w:pPr>
            <w:r>
              <w:rPr>
                <w:b w:val="0"/>
                <w:i w:val="0"/>
                <w:smallCaps w:val="0"/>
                <w:sz w:val="16"/>
              </w:rPr>
              <w:t>t+3</w:t>
            </w:r>
          </w:p>
        </w:tc>
        <w:tc>
          <w:tcPr>
            <w:tcW w:type="dxa" w:w="2886"/>
          </w:tcPr>
          <w:p>
            <w:pPr>
              <w:keepNext w:val="0"/>
              <w:spacing w:before="0" w:after="0"/>
              <w:jc w:val="left"/>
            </w:pPr>
            <w:r>
              <w:rPr>
                <w:b w:val="0"/>
                <w:i w:val="0"/>
                <w:smallCaps w:val="0"/>
                <w:sz w:val="16"/>
              </w:rPr>
              <w:t>GRU ensemble, single round</w:t>
            </w:r>
          </w:p>
        </w:tc>
        <w:tc>
          <w:tcPr>
            <w:tcW w:type="dxa" w:w="559"/>
          </w:tcPr>
          <w:p>
            <w:pPr>
              <w:keepNext w:val="0"/>
              <w:spacing w:before="0" w:after="0"/>
              <w:jc w:val="center"/>
            </w:pPr>
            <w:r>
              <w:rPr>
                <w:b w:val="0"/>
                <w:i w:val="0"/>
                <w:smallCaps w:val="0"/>
                <w:sz w:val="16"/>
              </w:rPr>
              <w:t>15.2</w:t>
            </w:r>
          </w:p>
        </w:tc>
        <w:tc>
          <w:tcPr>
            <w:tcW w:type="dxa" w:w="1199"/>
          </w:tcPr>
          <w:p>
            <w:pPr>
              <w:keepNext w:val="0"/>
              <w:spacing w:before="0" w:after="0"/>
              <w:jc w:val="center"/>
            </w:pPr>
            <w:r>
              <w:rPr>
                <w:b w:val="0"/>
                <w:i w:val="0"/>
                <w:smallCaps w:val="0"/>
                <w:sz w:val="16"/>
              </w:rPr>
              <w:t>1.19</w:t>
            </w:r>
          </w:p>
        </w:tc>
        <w:tc>
          <w:tcPr>
            <w:tcW w:type="dxa" w:w="1474"/>
          </w:tcPr>
          <w:p>
            <w:pPr>
              <w:keepNext w:val="0"/>
              <w:spacing w:before="0" w:after="0"/>
              <w:jc w:val="center"/>
            </w:pPr>
            <w:r>
              <w:rPr>
                <w:b w:val="0"/>
                <w:i w:val="0"/>
                <w:smallCaps w:val="0"/>
                <w:sz w:val="16"/>
              </w:rPr>
              <w:t>98.9 [98.0, 99.5]</w:t>
            </w:r>
          </w:p>
        </w:tc>
        <w:tc>
          <w:tcPr>
            <w:tcW w:type="dxa" w:w="2022"/>
          </w:tcPr>
          <w:p>
            <w:pPr>
              <w:keepNext w:val="0"/>
              <w:spacing w:before="0" w:after="0"/>
              <w:jc w:val="center"/>
            </w:pPr>
            <w:r>
              <w:rPr>
                <w:b w:val="0"/>
                <w:i w:val="0"/>
                <w:smallCaps w:val="0"/>
                <w:sz w:val="16"/>
              </w:rPr>
              <w:t>0.896 [0.864, 0.944]</w:t>
            </w:r>
          </w:p>
        </w:tc>
        <w:tc>
          <w:tcPr>
            <w:tcW w:type="dxa" w:w="1199"/>
          </w:tcPr>
          <w:p>
            <w:pPr>
              <w:keepNext w:val="0"/>
              <w:spacing w:before="0" w:after="0"/>
              <w:jc w:val="center"/>
            </w:pPr>
            <w:r>
              <w:rPr>
                <w:b w:val="0"/>
                <w:i w:val="0"/>
                <w:smallCaps w:val="0"/>
                <w:sz w:val="16"/>
              </w:rPr>
              <w:t>0.965</w:t>
            </w:r>
          </w:p>
        </w:tc>
      </w:tr>
      <w:tr>
        <w:tc>
          <w:tcPr>
            <w:tcW w:type="dxa" w:w="742"/>
          </w:tcPr>
          <w:p>
            <w:pPr>
              <w:keepNext w:val="0"/>
              <w:spacing w:before="0" w:after="0"/>
              <w:jc w:val="left"/>
            </w:pPr>
            <w:r>
              <w:rPr>
                <w:b w:val="0"/>
                <w:i w:val="0"/>
                <w:smallCaps w:val="0"/>
                <w:sz w:val="16"/>
              </w:rPr>
              <w:t>t+3</w:t>
            </w:r>
          </w:p>
        </w:tc>
        <w:tc>
          <w:tcPr>
            <w:tcW w:type="dxa" w:w="2886"/>
          </w:tcPr>
          <w:p>
            <w:pPr>
              <w:keepNext w:val="0"/>
              <w:spacing w:before="0" w:after="0"/>
              <w:jc w:val="left"/>
            </w:pPr>
            <w:r>
              <w:rPr>
                <w:b w:val="0"/>
                <w:i w:val="0"/>
                <w:smallCaps w:val="0"/>
                <w:sz w:val="16"/>
              </w:rPr>
              <w:t>Last sweep + tie graph, two-round</w:t>
            </w:r>
          </w:p>
        </w:tc>
        <w:tc>
          <w:tcPr>
            <w:tcW w:type="dxa" w:w="559"/>
          </w:tcPr>
          <w:p>
            <w:pPr>
              <w:keepNext w:val="0"/>
              <w:spacing w:before="0" w:after="0"/>
              <w:jc w:val="center"/>
            </w:pPr>
            <w:r>
              <w:rPr>
                <w:b w:val="0"/>
                <w:i w:val="0"/>
                <w:smallCaps w:val="0"/>
                <w:sz w:val="16"/>
              </w:rPr>
              <w:t>13.9</w:t>
            </w:r>
          </w:p>
        </w:tc>
        <w:tc>
          <w:tcPr>
            <w:tcW w:type="dxa" w:w="1199"/>
          </w:tcPr>
          <w:p>
            <w:pPr>
              <w:keepNext w:val="0"/>
              <w:spacing w:before="0" w:after="0"/>
              <w:jc w:val="center"/>
            </w:pPr>
            <w:r>
              <w:rPr>
                <w:b w:val="0"/>
                <w:i w:val="0"/>
                <w:smallCaps w:val="0"/>
                <w:sz w:val="16"/>
              </w:rPr>
              <w:t>2.11</w:t>
            </w:r>
          </w:p>
        </w:tc>
        <w:tc>
          <w:tcPr>
            <w:tcW w:type="dxa" w:w="1474"/>
          </w:tcPr>
          <w:p>
            <w:pPr>
              <w:keepNext w:val="0"/>
              <w:spacing w:before="0" w:after="0"/>
              <w:jc w:val="center"/>
            </w:pPr>
            <w:r>
              <w:rPr>
                <w:b w:val="0"/>
                <w:i w:val="0"/>
                <w:smallCaps w:val="0"/>
                <w:sz w:val="16"/>
              </w:rPr>
              <w:t>99.4 [98.9, 99.7]</w:t>
            </w:r>
          </w:p>
        </w:tc>
        <w:tc>
          <w:tcPr>
            <w:tcW w:type="dxa" w:w="2022"/>
          </w:tcPr>
          <w:p>
            <w:pPr>
              <w:keepNext w:val="0"/>
              <w:spacing w:before="0" w:after="0"/>
              <w:jc w:val="center"/>
            </w:pPr>
            <w:r>
              <w:rPr>
                <w:b w:val="0"/>
                <w:i w:val="0"/>
                <w:smallCaps w:val="0"/>
                <w:sz w:val="16"/>
              </w:rPr>
              <w:t>0.914 [0.889, 0.956]</w:t>
            </w:r>
          </w:p>
        </w:tc>
        <w:tc>
          <w:tcPr>
            <w:tcW w:type="dxa" w:w="1199"/>
          </w:tcPr>
          <w:p>
            <w:pPr>
              <w:keepNext w:val="0"/>
              <w:spacing w:before="0" w:after="0"/>
              <w:jc w:val="center"/>
            </w:pPr>
            <w:r>
              <w:rPr>
                <w:b w:val="0"/>
                <w:i w:val="0"/>
                <w:smallCaps w:val="0"/>
                <w:sz w:val="16"/>
              </w:rPr>
              <w:t>0.979</w:t>
            </w:r>
          </w:p>
        </w:tc>
      </w:tr>
      <w:tr>
        <w:tc>
          <w:tcPr>
            <w:tcW w:type="dxa" w:w="742"/>
          </w:tcPr>
          <w:p>
            <w:pPr>
              <w:keepNext w:val="0"/>
              <w:spacing w:before="0" w:after="0"/>
              <w:jc w:val="left"/>
            </w:pPr>
            <w:r>
              <w:rPr>
                <w:b w:val="0"/>
                <w:i w:val="0"/>
                <w:smallCaps w:val="0"/>
                <w:sz w:val="16"/>
              </w:rPr>
              <w:t>t+3</w:t>
            </w:r>
          </w:p>
        </w:tc>
        <w:tc>
          <w:tcPr>
            <w:tcW w:type="dxa" w:w="2886"/>
          </w:tcPr>
          <w:p>
            <w:pPr>
              <w:keepNext w:val="0"/>
              <w:spacing w:before="0" w:after="0"/>
              <w:jc w:val="left"/>
            </w:pPr>
            <w:r>
              <w:rPr>
                <w:b/>
                <w:i w:val="0"/>
                <w:smallCaps w:val="0"/>
                <w:sz w:val="16"/>
              </w:rPr>
              <w:t>GRU ensemble + tie graph, two-round</w:t>
            </w:r>
          </w:p>
        </w:tc>
        <w:tc>
          <w:tcPr>
            <w:tcW w:type="dxa" w:w="559"/>
          </w:tcPr>
          <w:p>
            <w:pPr>
              <w:keepNext w:val="0"/>
              <w:spacing w:before="0" w:after="0"/>
              <w:jc w:val="center"/>
            </w:pPr>
            <w:r>
              <w:rPr>
                <w:b/>
                <w:i w:val="0"/>
                <w:smallCaps w:val="0"/>
                <w:sz w:val="16"/>
              </w:rPr>
              <w:t>11.7</w:t>
            </w:r>
          </w:p>
        </w:tc>
        <w:tc>
          <w:tcPr>
            <w:tcW w:type="dxa" w:w="1199"/>
          </w:tcPr>
          <w:p>
            <w:pPr>
              <w:keepNext w:val="0"/>
              <w:spacing w:before="0" w:after="0"/>
              <w:jc w:val="center"/>
            </w:pPr>
            <w:r>
              <w:rPr>
                <w:b/>
                <w:i w:val="0"/>
                <w:smallCaps w:val="0"/>
                <w:sz w:val="16"/>
              </w:rPr>
              <w:t>1.93</w:t>
            </w:r>
          </w:p>
        </w:tc>
        <w:tc>
          <w:tcPr>
            <w:tcW w:type="dxa" w:w="1474"/>
          </w:tcPr>
          <w:p>
            <w:pPr>
              <w:keepNext w:val="0"/>
              <w:spacing w:before="0" w:after="0"/>
              <w:jc w:val="center"/>
            </w:pPr>
            <w:r>
              <w:rPr>
                <w:b/>
                <w:i w:val="0"/>
                <w:smallCaps w:val="0"/>
                <w:sz w:val="16"/>
              </w:rPr>
              <w:t>99.1 [98.3, 99.7]</w:t>
            </w:r>
          </w:p>
        </w:tc>
        <w:tc>
          <w:tcPr>
            <w:tcW w:type="dxa" w:w="2022"/>
          </w:tcPr>
          <w:p>
            <w:pPr>
              <w:keepNext w:val="0"/>
              <w:spacing w:before="0" w:after="0"/>
              <w:jc w:val="center"/>
            </w:pPr>
            <w:r>
              <w:rPr>
                <w:b/>
                <w:i w:val="0"/>
                <w:smallCaps w:val="0"/>
                <w:sz w:val="16"/>
              </w:rPr>
              <w:t>0.929 [0.905, 0.964]</w:t>
            </w:r>
          </w:p>
        </w:tc>
        <w:tc>
          <w:tcPr>
            <w:tcW w:type="dxa" w:w="1199"/>
          </w:tcPr>
          <w:p>
            <w:pPr>
              <w:keepNext w:val="0"/>
              <w:spacing w:before="0" w:after="0"/>
              <w:jc w:val="center"/>
            </w:pPr>
            <w:r>
              <w:rPr>
                <w:b/>
                <w:i w:val="0"/>
                <w:smallCaps w:val="0"/>
                <w:sz w:val="16"/>
              </w:rPr>
              <w:t>0.974</w:t>
            </w:r>
          </w:p>
        </w:tc>
      </w:tr>
      <w:tr>
        <w:tc>
          <w:tcPr>
            <w:tcW w:type="dxa" w:w="742"/>
          </w:tcPr>
          <w:p>
            <w:pPr>
              <w:keepNext w:val="0"/>
              <w:spacing w:before="0" w:after="0"/>
              <w:jc w:val="left"/>
            </w:pPr>
            <w:r>
              <w:rPr>
                <w:b w:val="0"/>
                <w:i w:val="0"/>
                <w:smallCaps w:val="0"/>
                <w:sz w:val="16"/>
              </w:rPr>
              <w:t>t+3</w:t>
            </w:r>
          </w:p>
        </w:tc>
        <w:tc>
          <w:tcPr>
            <w:tcW w:type="dxa" w:w="2886"/>
          </w:tcPr>
          <w:p>
            <w:pPr>
              <w:keepNext w:val="0"/>
              <w:spacing w:before="0" w:after="0"/>
              <w:jc w:val="left"/>
            </w:pPr>
            <w:r>
              <w:rPr>
                <w:b w:val="0"/>
                <w:i w:val="0"/>
                <w:smallCaps w:val="0"/>
                <w:sz w:val="16"/>
              </w:rPr>
              <w:t>GRU ensemble + tie graph, burst</w:t>
            </w:r>
          </w:p>
        </w:tc>
        <w:tc>
          <w:tcPr>
            <w:tcW w:type="dxa" w:w="559"/>
          </w:tcPr>
          <w:p>
            <w:pPr>
              <w:keepNext w:val="0"/>
              <w:spacing w:before="0" w:after="0"/>
              <w:jc w:val="center"/>
            </w:pPr>
            <w:r>
              <w:rPr>
                <w:b w:val="0"/>
                <w:i w:val="0"/>
                <w:smallCaps w:val="0"/>
                <w:sz w:val="16"/>
              </w:rPr>
              <w:t>15.6</w:t>
            </w:r>
          </w:p>
        </w:tc>
        <w:tc>
          <w:tcPr>
            <w:tcW w:type="dxa" w:w="1199"/>
          </w:tcPr>
          <w:p>
            <w:pPr>
              <w:keepNext w:val="0"/>
              <w:spacing w:before="0" w:after="0"/>
              <w:jc w:val="center"/>
            </w:pPr>
            <w:r>
              <w:rPr>
                <w:b w:val="0"/>
                <w:i w:val="0"/>
                <w:smallCaps w:val="0"/>
                <w:sz w:val="16"/>
              </w:rPr>
              <w:t>1.22</w:t>
            </w:r>
          </w:p>
        </w:tc>
        <w:tc>
          <w:tcPr>
            <w:tcW w:type="dxa" w:w="1474"/>
          </w:tcPr>
          <w:p>
            <w:pPr>
              <w:keepNext w:val="0"/>
              <w:spacing w:before="0" w:after="0"/>
              <w:jc w:val="center"/>
            </w:pPr>
            <w:r>
              <w:rPr>
                <w:b w:val="0"/>
                <w:i w:val="0"/>
                <w:smallCaps w:val="0"/>
                <w:sz w:val="16"/>
              </w:rPr>
              <w:t>98.9 [98.1, 99.6]</w:t>
            </w:r>
          </w:p>
        </w:tc>
        <w:tc>
          <w:tcPr>
            <w:tcW w:type="dxa" w:w="2022"/>
          </w:tcPr>
          <w:p>
            <w:pPr>
              <w:keepNext w:val="0"/>
              <w:spacing w:before="0" w:after="0"/>
              <w:jc w:val="center"/>
            </w:pPr>
            <w:r>
              <w:rPr>
                <w:b w:val="0"/>
                <w:i w:val="0"/>
                <w:smallCaps w:val="0"/>
                <w:sz w:val="16"/>
              </w:rPr>
              <w:t>0.912 [0.880, 0.949]</w:t>
            </w:r>
          </w:p>
        </w:tc>
        <w:tc>
          <w:tcPr>
            <w:tcW w:type="dxa" w:w="1199"/>
          </w:tcPr>
          <w:p>
            <w:pPr>
              <w:keepNext w:val="0"/>
              <w:spacing w:before="0" w:after="0"/>
              <w:jc w:val="center"/>
            </w:pPr>
            <w:r>
              <w:rPr>
                <w:b w:val="0"/>
                <w:i w:val="0"/>
                <w:smallCaps w:val="0"/>
                <w:sz w:val="16"/>
              </w:rPr>
              <w:t>0.971</w:t>
            </w:r>
          </w:p>
        </w:tc>
      </w:tr>
    </w:tbl>
    <w:p>
      <w:pPr>
        <w:keepNext w:val="0"/>
        <w:spacing w:before="0" w:after="120"/>
        <w:jc w:val="both"/>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tbl>
      <w:tblPr>
        <w:tblW w:type="auto" w:w="0"/>
        <w:jc w:val="center"/>
        <w:tblLook w:firstColumn="1" w:firstRow="1" w:lastColumn="0" w:lastRow="0" w:noHBand="0" w:noVBand="1" w:val="04A0"/>
      </w:tblPr>
      <w:tblGrid>
        <w:gridCol w:w="10440"/>
      </w:tblGrid>
      <w:tr>
        <w:trPr>
          <w:cantSplit/>
        </w:trPr>
        <w:tc>
          <w:tcPr>
            <w:tcW w:type="dxa" w:w="10440"/>
          </w:tcPr>
          <w:p>
            <w:pPr>
              <w:keepNext w:val="0"/>
              <w:spacing w:before="80" w:after="0"/>
              <w:jc w:val="center"/>
            </w:pPr>
            <w:r>
              <w:drawing>
                <wp:inline xmlns:a="http://schemas.openxmlformats.org/drawingml/2006/main" xmlns:pic="http://schemas.openxmlformats.org/drawingml/2006/picture">
                  <wp:extent cx="5943600" cy="3725413"/>
                  <wp:docPr id="4" name="Picture 4"/>
                  <wp:cNvGraphicFramePr>
                    <a:graphicFrameLocks noChangeAspect="1"/>
                  </wp:cNvGraphicFramePr>
                  <a:graphic>
                    <a:graphicData uri="http://schemas.openxmlformats.org/drawingml/2006/picture">
                      <pic:pic>
                        <pic:nvPicPr>
                          <pic:cNvPr id="0" name="fig_beam_training.png"/>
                          <pic:cNvPicPr/>
                        </pic:nvPicPr>
                        <pic:blipFill>
                          <a:blip r:embed="rId12"/>
                          <a:stretch>
                            <a:fillRect/>
                          </a:stretch>
                        </pic:blipFill>
                        <pic:spPr>
                          <a:xfrm>
                            <a:off x="0" y="0"/>
                            <a:ext cx="5943600" cy="3725413"/>
                          </a:xfrm>
                          <a:prstGeom prst="rect"/>
                        </pic:spPr>
                      </pic:pic>
                    </a:graphicData>
                  </a:graphic>
                </wp:inline>
              </w:drawing>
            </w:r>
          </w:p>
          <w:p>
            <w:pPr>
              <w:keepNext w:val="0"/>
              <w:spacing w:before="0" w:after="120"/>
              <w:jc w:val="center"/>
            </w:pPr>
            <w:r>
              <w:rPr>
                <w:b w:val="0"/>
                <w:i w:val="0"/>
                <w:smallCaps w:val="0"/>
                <w:sz w:val="16"/>
              </w:rPr>
              <w:t xml:space="preserve">Fig. 4. </w:t>
            </w:r>
            <w:r>
              <w:rPr>
                <w:b w:val="0"/>
                <w:i w:val="0"/>
                <w:smallCaps w:val="0"/>
                <w:sz w:val="16"/>
              </w:rPr>
              <w:t>Exact top-1 (left) and all-class macro-F1 (right) versus beams measured at t + 1 (top) and t + 3 (bottom), out-of-fold predictions; dashed: 95% target; dotted: non-causal blind-prediction ceiling.</w:t>
            </w:r>
          </w:p>
        </w:tc>
      </w:tr>
    </w:tbl>
    <w:p>
      <w:pPr>
        <w:keepNext w:val="0"/>
        <w:spacing w:before="0" w:after="40"/>
        <w:jc w:val="both"/>
      </w:pPr>
    </w:p>
    <w:p>
      <w:pPr>
        <w:sectPr>
          <w:type w:val="continuous"/>
          <w:pgSz w:w="12240" w:h="15840"/>
          <w:pgMar w:top="1080" w:right="900" w:bottom="1440" w:left="900" w:header="720" w:footer="720" w:gutter="0"/>
          <w:cols w:space="360" w:num="1"/>
          <w:docGrid w:linePitch="360"/>
        </w:sectPr>
      </w:pPr>
    </w:p>
    <w:p>
      <w:pPr>
        <w:keepNext w:val="0"/>
        <w:spacing w:before="0" w:after="0"/>
        <w:ind w:firstLine="288"/>
        <w:jc w:val="both"/>
      </w:pPr>
      <w:r>
        <w:rPr>
          <w:b w:val="0"/>
          <w:i w:val="0"/>
          <w:smallCaps w:val="0"/>
          <w:sz w:val="20"/>
        </w:rPr>
        <w:t>Raising the target from 85% to 95% costs 2–3 more beams at t + 1, still under 0.6 ms. At this horizon a non-learned 6-beam shortlist also meets the target, so the learned ranking adds little. The tie graph and the GRU matter at t + 3: all-class macro-F1 rises from 0.860 (last sweep, 16 beams) to 0.929 with 11.7 beams, and the GRU ensemble needs 16% fewer beams than the last-sweep ranking with the same graph. At t + 3, all-class macro-F1 stays below 0.95, and the reason is identifiable: three beams (23, 34 and 55) occur once in the whole dataset, and in each case the best beam beats the runner-up by about 0.01 dB. Each such class costs 1/56 ≈ 0.018 of macro-F1. Over classes with at least five samples, every t + 3 scheme with the tie graph exceeds 0.97. Pooled curves reach 0.95 all-class with 16–18 beams, but settings selected on four folds do not hold it on the fifth, so we report the nested values.</w:t>
      </w:r>
    </w:p>
    <w:p>
      <w:pPr>
        <w:keepNext/>
        <w:spacing w:before="160" w:after="80"/>
        <w:jc w:val="center"/>
      </w:pPr>
      <w:r>
        <w:rPr>
          <w:b w:val="0"/>
          <w:i w:val="0"/>
          <w:smallCaps/>
          <w:sz w:val="20"/>
        </w:rPr>
        <w:t>VII. Discussion</w:t>
      </w:r>
    </w:p>
    <w:p>
      <w:pPr>
        <w:keepNext w:val="0"/>
        <w:spacing w:before="0" w:after="0"/>
        <w:ind w:firstLine="288"/>
        <w:jc w:val="both"/>
      </w:pPr>
      <w:r>
        <w:rPr>
          <w:b/>
          <w:i w:val="0"/>
          <w:smallCaps w:val="0"/>
          <w:sz w:val="20"/>
        </w:rPr>
        <w:t>Metrics shape conclusions.</w:t>
      </w:r>
      <w:r>
        <w:rPr>
          <w:b w:val="0"/>
          <w:i w:val="0"/>
          <w:smallCaps w:val="0"/>
          <w:sz w:val="20"/>
        </w:rPr>
        <w:t xml:space="preserve"> Two conclusions of our earlier draft reversed under correct metrics. A Random Forest reported at 80.9% on the current-beam task was below the 100% that argmax achieves, and "open-loop phase tracking is impossible at sub-THz" followed from per-element phase error, which is blind to the common phase offset. We recommend that RIS tracking studies report delivered gain and that beam-prediction studies on argmax-labelled data predict future beams under sequence-level splits.</w:t>
      </w:r>
    </w:p>
    <w:p>
      <w:pPr>
        <w:keepNext w:val="0"/>
        <w:spacing w:before="0" w:after="0"/>
        <w:ind w:firstLine="288"/>
        <w:jc w:val="both"/>
      </w:pPr>
      <w:r>
        <w:rPr>
          <w:b/>
          <w:i w:val="0"/>
          <w:smallCaps w:val="0"/>
          <w:sz w:val="20"/>
        </w:rPr>
        <w:t>Where hardware awareness pays.</w:t>
      </w:r>
      <w:r>
        <w:rPr>
          <w:b w:val="0"/>
          <w:i w:val="0"/>
          <w:smallCaps w:val="0"/>
          <w:sz w:val="20"/>
        </w:rPr>
        <w:t xml:space="preserve"> The largest impairment is amplitude–phase coupling. Coupling-aware control recovers 0.55 dB at 2 bits and about 1 dB at 3–4 bits; a coupled element cannot reflect strongly at every phase, so a gap remains. The estimation side gains more (LMMSE removes the coupling bias), and the largest system-level effects are the RIS sizes needed for coverage: 2.25× the ideal element count at 60 GHz, and a 32 cm panel at 140 GHz once D-band transceiver limits are included.</w:t>
      </w:r>
    </w:p>
    <w:p>
      <w:pPr>
        <w:keepNext w:val="0"/>
        <w:spacing w:before="0" w:after="0"/>
        <w:ind w:firstLine="288"/>
        <w:jc w:val="both"/>
      </w:pPr>
      <w:r>
        <w:rPr>
          <w:b/>
          <w:i w:val="0"/>
          <w:smallCaps w:val="0"/>
          <w:sz w:val="20"/>
        </w:rPr>
        <w:t>Learning where it helps.</w:t>
      </w:r>
      <w:r>
        <w:rPr>
          <w:b w:val="0"/>
          <w:i w:val="0"/>
          <w:smallCaps w:val="0"/>
          <w:sz w:val="20"/>
        </w:rPr>
        <w:t xml:space="preserve"> On power sweeps alone the learned gain over persistence is modest at t + 1 and clear at t + 3 (86.0% vs 78.1% within noise). In reduced beam training, the largest single gain comes from a simple learned structure, the beam-tie graph, rather than from the sequence model. The GRU then reduces the beams measured at t + 3. The soft target and beam-axis augmentation matter more than the architecture. Logit adjustment for the class imbalance [19] lowered every metric because the beam distribution differs between flights.</w:t>
      </w:r>
    </w:p>
    <w:p>
      <w:pPr>
        <w:keepNext w:val="0"/>
        <w:spacing w:before="0" w:after="0"/>
        <w:ind w:firstLine="288"/>
        <w:jc w:val="both"/>
      </w:pPr>
      <w:r>
        <w:rPr>
          <w:b/>
          <w:i w:val="0"/>
          <w:smallCaps w:val="0"/>
          <w:sz w:val="20"/>
        </w:rPr>
        <w:t>Limitations.</w:t>
      </w:r>
      <w:r>
        <w:rPr>
          <w:b w:val="0"/>
          <w:i w:val="0"/>
          <w:smallCaps w:val="0"/>
          <w:sz w:val="20"/>
        </w:rPr>
        <w:t xml:space="preserve"> Saleh and coupling coefficients are literature values, not measurements of a 60 GHz PA or RIS; Table II bounds the effect of the coupling strength. The obliquity exponent is assumed. The physical-layer results are simulated; the beam-prediction results use power sweeps only, because the UAV GPS files of Scenario 23 were not available to us at the time of writing. The all-class macro-F1 at t + 3 (0.929) is limited by beams seen only once; more flights, not a different model, are needed to estimate it reliably. The latency model uses standard 5G NR FR2 timing, not the testbed's own sweep timing. The D-band transceiver values are representative published figures, not a specific design.</w:t>
      </w:r>
    </w:p>
    <w:p>
      <w:pPr>
        <w:keepNext/>
        <w:spacing w:before="160" w:after="80"/>
        <w:jc w:val="center"/>
      </w:pPr>
      <w:r>
        <w:rPr>
          <w:b w:val="0"/>
          <w:i w:val="0"/>
          <w:smallCaps/>
          <w:sz w:val="20"/>
        </w:rPr>
        <w:t>VIII. Conclusion</w:t>
      </w:r>
    </w:p>
    <w:p>
      <w:pPr>
        <w:keepNext w:val="0"/>
        <w:spacing w:before="0" w:after="0"/>
        <w:ind w:firstLine="288"/>
        <w:jc w:val="both"/>
      </w:pPr>
      <w:r>
        <w:rPr>
          <w:b w:val="0"/>
          <w:i w:val="0"/>
          <w:smallCaps w:val="0"/>
          <w:sz w:val="20"/>
        </w:rPr>
        <w:t>We built a hardware-aware model of an RIS-assisted mmWave UAV link and used it, with real 60 GHz measurements, to evaluate beam management end to end. Hardware impairments cost 7.8 dB and 2.25× RIS elements at 60 GHz, and D-band transceiver limits push the 140 GHz panel to 32 cm; a position-parametric estimator matches perfect channel knowledge with 64× fewer pilots; Kalman-based prediction preserves 99.3% of the array gain at 500 ms latency; and AI-assisted reduced beam training with a learned beam-tie graph selects the exact optimal beam 99.3% of the time (macro-F1 0.961) with 0.55 ms of beam training, and 99.1% at a 0.4 s horizon, with all reported metrics evaluated under sequence-level cross-validation. Future work will add UAV position to beam prediction, measured hardware coefficients, and joint training of the tracker and the beam shortlist.</w:t>
      </w:r>
    </w:p>
    <w:p>
      <w:pPr>
        <w:keepNext/>
        <w:spacing w:before="160" w:after="80"/>
        <w:jc w:val="center"/>
      </w:pPr>
      <w:r>
        <w:rPr>
          <w:b w:val="0"/>
          <w:i w:val="0"/>
          <w:smallCaps/>
          <w:sz w:val="20"/>
        </w:rPr>
        <w:t>References</w:t>
      </w:r>
    </w:p>
    <w:p>
      <w:pPr>
        <w:keepNext w:val="0"/>
        <w:tabs>
          <w:tab w:pos="432" w:val="left"/>
        </w:tabs>
        <w:spacing w:before="0" w:after="0"/>
        <w:ind w:left="432" w:hanging="432"/>
        <w:jc w:val="both"/>
      </w:pPr>
      <w:r>
        <w:rPr>
          <w:b w:val="0"/>
          <w:i w:val="0"/>
          <w:smallCaps w:val="0"/>
          <w:sz w:val="16"/>
        </w:rPr>
        <w:t>[1]</w:t>
        <w:tab/>
        <w:t xml:space="preserve">S. M. Shah </w:t>
      </w:r>
      <w:r>
        <w:rPr>
          <w:b w:val="0"/>
          <w:i/>
          <w:smallCaps w:val="0"/>
          <w:sz w:val="16"/>
        </w:rPr>
        <w:t>et al.</w:t>
      </w:r>
      <w:r>
        <w:rPr>
          <w:b w:val="0"/>
          <w:i w:val="0"/>
          <w:smallCaps w:val="0"/>
          <w:sz w:val="16"/>
        </w:rPr>
        <w:t xml:space="preserve">, "TeraHertz communication and associated challenges in 6G cellular networks," in </w:t>
      </w:r>
      <w:r>
        <w:rPr>
          <w:b w:val="0"/>
          <w:i/>
          <w:smallCaps w:val="0"/>
          <w:sz w:val="16"/>
        </w:rPr>
        <w:t>Proc. ICCIS</w:t>
      </w:r>
      <w:r>
        <w:rPr>
          <w:b w:val="0"/>
          <w:i w:val="0"/>
          <w:smallCaps w:val="0"/>
          <w:sz w:val="16"/>
        </w:rPr>
        <w:t>, 2021, doi: 10.1109/ICCIS54243.2021.9676382.</w:t>
      </w:r>
    </w:p>
    <w:p>
      <w:pPr>
        <w:keepNext w:val="0"/>
        <w:tabs>
          <w:tab w:pos="432" w:val="left"/>
        </w:tabs>
        <w:spacing w:before="0" w:after="0"/>
        <w:ind w:left="432" w:hanging="432"/>
        <w:jc w:val="both"/>
      </w:pPr>
      <w:r>
        <w:rPr>
          <w:b w:val="0"/>
          <w:i w:val="0"/>
          <w:smallCaps w:val="0"/>
          <w:sz w:val="16"/>
        </w:rPr>
        <w:t>[2]</w:t>
        <w:tab/>
        <w:t xml:space="preserve">C. Chaccour, M. N. Soorki, W. Saad, M. Bennis, P. Popovski, and M. Debbah, "Seven defining features of terahertz (THz) wireless systems: A fellowship of communication and sensing," </w:t>
      </w:r>
      <w:r>
        <w:rPr>
          <w:b w:val="0"/>
          <w:i/>
          <w:smallCaps w:val="0"/>
          <w:sz w:val="16"/>
        </w:rPr>
        <w:t>IEEE Commun. Surveys Tuts.</w:t>
      </w:r>
      <w:r>
        <w:rPr>
          <w:b w:val="0"/>
          <w:i w:val="0"/>
          <w:smallCaps w:val="0"/>
          <w:sz w:val="16"/>
        </w:rPr>
        <w:t xml:space="preserve">, vol. 24, no. 2, pp. 967–993, 2022. </w:t>
      </w:r>
      <w:r>
        <w:rPr>
          <w:b/>
          <w:i w:val="0"/>
          <w:smallCaps w:val="0"/>
          <w:sz w:val="16"/>
          <w:highlight w:val="yellow"/>
        </w:rPr>
        <w:t>[VERIFY: the first draft attributed this paper to I. F. Akyildiz et al. in IEEE JSAC.]</w:t>
      </w:r>
    </w:p>
    <w:p>
      <w:pPr>
        <w:keepNext w:val="0"/>
        <w:tabs>
          <w:tab w:pos="432" w:val="left"/>
        </w:tabs>
        <w:spacing w:before="0" w:after="0"/>
        <w:ind w:left="432" w:hanging="432"/>
        <w:jc w:val="both"/>
      </w:pPr>
      <w:r>
        <w:rPr>
          <w:b w:val="0"/>
          <w:i w:val="0"/>
          <w:smallCaps w:val="0"/>
          <w:sz w:val="16"/>
        </w:rPr>
        <w:t>[3]</w:t>
        <w:tab/>
        <w:t xml:space="preserve">G. Charan </w:t>
      </w:r>
      <w:r>
        <w:rPr>
          <w:b w:val="0"/>
          <w:i/>
          <w:smallCaps w:val="0"/>
          <w:sz w:val="16"/>
        </w:rPr>
        <w:t>et al.</w:t>
      </w:r>
      <w:r>
        <w:rPr>
          <w:b w:val="0"/>
          <w:i w:val="0"/>
          <w:smallCaps w:val="0"/>
          <w:sz w:val="16"/>
        </w:rPr>
        <w:t xml:space="preserve">, "Towards real-world 6G drone communication: Position and camera aided beam prediction," in </w:t>
      </w:r>
      <w:r>
        <w:rPr>
          <w:b w:val="0"/>
          <w:i/>
          <w:smallCaps w:val="0"/>
          <w:sz w:val="16"/>
        </w:rPr>
        <w:t>Proc. IEEE GLOBECOM</w:t>
      </w:r>
      <w:r>
        <w:rPr>
          <w:b w:val="0"/>
          <w:i w:val="0"/>
          <w:smallCaps w:val="0"/>
          <w:sz w:val="16"/>
        </w:rPr>
        <w:t>, 2022, pp. 2951–2956.</w:t>
      </w:r>
    </w:p>
    <w:p>
      <w:pPr>
        <w:keepNext w:val="0"/>
        <w:tabs>
          <w:tab w:pos="432" w:val="left"/>
        </w:tabs>
        <w:spacing w:before="0" w:after="0"/>
        <w:ind w:left="432" w:hanging="432"/>
        <w:jc w:val="both"/>
      </w:pPr>
      <w:r>
        <w:rPr>
          <w:b w:val="0"/>
          <w:i w:val="0"/>
          <w:smallCaps w:val="0"/>
          <w:sz w:val="16"/>
        </w:rPr>
        <w:t>[4]</w:t>
        <w:tab/>
        <w:t xml:space="preserve">V. A. Nugroho and B. M. Lee, "GPS-aided deep learning for beam prediction and tracking in UAV mmWave communication," </w:t>
      </w:r>
      <w:r>
        <w:rPr>
          <w:b w:val="0"/>
          <w:i/>
          <w:smallCaps w:val="0"/>
          <w:sz w:val="16"/>
        </w:rPr>
        <w:t>IEEE Access</w:t>
      </w:r>
      <w:r>
        <w:rPr>
          <w:b w:val="0"/>
          <w:i w:val="0"/>
          <w:smallCaps w:val="0"/>
          <w:sz w:val="16"/>
        </w:rPr>
        <w:t>, vol. 13, pp. 117065–117077, 2025.</w:t>
      </w:r>
    </w:p>
    <w:p>
      <w:pPr>
        <w:keepNext w:val="0"/>
        <w:tabs>
          <w:tab w:pos="432" w:val="left"/>
        </w:tabs>
        <w:spacing w:before="0" w:after="0"/>
        <w:ind w:left="432" w:hanging="432"/>
        <w:jc w:val="both"/>
      </w:pPr>
      <w:r>
        <w:rPr>
          <w:b w:val="0"/>
          <w:i w:val="0"/>
          <w:smallCaps w:val="0"/>
          <w:sz w:val="16"/>
        </w:rPr>
        <w:t>[5]</w:t>
        <w:tab/>
        <w:t xml:space="preserve">J. Dai, F. Zhu, C. Pan, H. Ren, and K. Wang, "Statistical CSI-based transmission design for reconfigurable intelligent surface-aided massive MIMO systems with hardware impairments," </w:t>
      </w:r>
      <w:r>
        <w:rPr>
          <w:b w:val="0"/>
          <w:i/>
          <w:smallCaps w:val="0"/>
          <w:sz w:val="16"/>
        </w:rPr>
        <w:t>IEEE Wireless Commun. Lett.</w:t>
      </w:r>
      <w:r>
        <w:rPr>
          <w:b w:val="0"/>
          <w:i w:val="0"/>
          <w:smallCaps w:val="0"/>
          <w:sz w:val="16"/>
        </w:rPr>
        <w:t>, vol. 11, no. 1, pp. 38–42, Jan. 2022.</w:t>
      </w:r>
    </w:p>
    <w:p>
      <w:pPr>
        <w:keepNext w:val="0"/>
        <w:tabs>
          <w:tab w:pos="432" w:val="left"/>
        </w:tabs>
        <w:spacing w:before="0" w:after="0"/>
        <w:ind w:left="432" w:hanging="432"/>
        <w:jc w:val="both"/>
      </w:pPr>
      <w:r>
        <w:rPr>
          <w:b w:val="0"/>
          <w:i w:val="0"/>
          <w:smallCaps w:val="0"/>
          <w:sz w:val="16"/>
        </w:rPr>
        <w:t>[6]</w:t>
        <w:tab/>
        <w:t xml:space="preserve">M. Meles, A. Rajasekaran, L. Mela, and R. Jäntti, "RIS-assisted three-dimensional drone localization and tracking under hardware impairments," </w:t>
      </w:r>
      <w:r>
        <w:rPr>
          <w:b w:val="0"/>
          <w:i/>
          <w:smallCaps w:val="0"/>
          <w:sz w:val="16"/>
        </w:rPr>
        <w:t>IEEE Access</w:t>
      </w:r>
      <w:r>
        <w:rPr>
          <w:b w:val="0"/>
          <w:i w:val="0"/>
          <w:smallCaps w:val="0"/>
          <w:sz w:val="16"/>
        </w:rPr>
        <w:t>, vol. 12, pp. 81348–81361, 2024.</w:t>
      </w:r>
    </w:p>
    <w:p>
      <w:pPr>
        <w:keepNext w:val="0"/>
        <w:tabs>
          <w:tab w:pos="432" w:val="left"/>
        </w:tabs>
        <w:spacing w:before="0" w:after="0"/>
        <w:ind w:left="432" w:hanging="432"/>
        <w:jc w:val="both"/>
      </w:pPr>
      <w:r>
        <w:rPr>
          <w:b w:val="0"/>
          <w:i w:val="0"/>
          <w:smallCaps w:val="0"/>
          <w:sz w:val="16"/>
        </w:rPr>
        <w:t>[7]</w:t>
        <w:tab/>
      </w:r>
      <w:r>
        <w:rPr>
          <w:b/>
          <w:i w:val="0"/>
          <w:smallCaps w:val="0"/>
          <w:sz w:val="16"/>
          <w:highlight w:val="yellow"/>
        </w:rPr>
        <w:t>[VERIFY: authors missing]</w:t>
      </w:r>
      <w:r>
        <w:rPr>
          <w:b w:val="0"/>
          <w:i w:val="0"/>
          <w:smallCaps w:val="0"/>
          <w:sz w:val="16"/>
        </w:rPr>
        <w:t xml:space="preserve"> "Fundamentals of wobbling and hardware impairments-aware air-to-ground channel model," </w:t>
      </w:r>
      <w:r>
        <w:rPr>
          <w:b w:val="0"/>
          <w:i/>
          <w:smallCaps w:val="0"/>
          <w:sz w:val="16"/>
        </w:rPr>
        <w:t>IEEE Trans. Veh. Technol.</w:t>
      </w:r>
      <w:r>
        <w:rPr>
          <w:b w:val="0"/>
          <w:i w:val="0"/>
          <w:smallCaps w:val="0"/>
          <w:sz w:val="16"/>
        </w:rPr>
        <w:t>, vol. 73, no. 12, pp. 17946–17962, Dec. 2024.</w:t>
      </w:r>
    </w:p>
    <w:p>
      <w:pPr>
        <w:keepNext w:val="0"/>
        <w:tabs>
          <w:tab w:pos="432" w:val="left"/>
        </w:tabs>
        <w:spacing w:before="0" w:after="0"/>
        <w:ind w:left="432" w:hanging="432"/>
        <w:jc w:val="both"/>
      </w:pPr>
      <w:r>
        <w:rPr>
          <w:b w:val="0"/>
          <w:i w:val="0"/>
          <w:smallCaps w:val="0"/>
          <w:sz w:val="16"/>
        </w:rPr>
        <w:t>[8]</w:t>
        <w:tab/>
        <w:t>Recommendation ITU-R P.676-13, "Attenuation by atmospheric gases and related effects," ITU, 2022.</w:t>
      </w:r>
    </w:p>
    <w:p>
      <w:pPr>
        <w:keepNext w:val="0"/>
        <w:tabs>
          <w:tab w:pos="432" w:val="left"/>
        </w:tabs>
        <w:spacing w:before="0" w:after="0"/>
        <w:ind w:left="432" w:hanging="432"/>
        <w:jc w:val="both"/>
      </w:pPr>
      <w:r>
        <w:rPr>
          <w:b w:val="0"/>
          <w:i w:val="0"/>
          <w:smallCaps w:val="0"/>
          <w:sz w:val="16"/>
        </w:rPr>
        <w:t>[9]</w:t>
        <w:tab/>
        <w:t xml:space="preserve">A. A. M. Saleh, "Frequency-independent and frequency-dependent nonlinear models of TWT amplifiers," </w:t>
      </w:r>
      <w:r>
        <w:rPr>
          <w:b w:val="0"/>
          <w:i/>
          <w:smallCaps w:val="0"/>
          <w:sz w:val="16"/>
        </w:rPr>
        <w:t>IEEE Trans. Commun.</w:t>
      </w:r>
      <w:r>
        <w:rPr>
          <w:b w:val="0"/>
          <w:i w:val="0"/>
          <w:smallCaps w:val="0"/>
          <w:sz w:val="16"/>
        </w:rPr>
        <w:t>, vol. COM-29, no. 11, pp. 1715–1720, Nov. 1981.</w:t>
      </w:r>
    </w:p>
    <w:p>
      <w:pPr>
        <w:keepNext w:val="0"/>
        <w:tabs>
          <w:tab w:pos="432" w:val="left"/>
        </w:tabs>
        <w:spacing w:before="0" w:after="0"/>
        <w:ind w:left="432" w:hanging="432"/>
        <w:jc w:val="both"/>
      </w:pPr>
      <w:r>
        <w:rPr>
          <w:b w:val="0"/>
          <w:i w:val="0"/>
          <w:smallCaps w:val="0"/>
          <w:sz w:val="16"/>
        </w:rPr>
        <w:t>[10]</w:t>
        <w:tab/>
        <w:t xml:space="preserve">A. Alkhateeb </w:t>
      </w:r>
      <w:r>
        <w:rPr>
          <w:b w:val="0"/>
          <w:i/>
          <w:smallCaps w:val="0"/>
          <w:sz w:val="16"/>
        </w:rPr>
        <w:t>et al.</w:t>
      </w:r>
      <w:r>
        <w:rPr>
          <w:b w:val="0"/>
          <w:i w:val="0"/>
          <w:smallCaps w:val="0"/>
          <w:sz w:val="16"/>
        </w:rPr>
        <w:t xml:space="preserve">, "DeepSense 6G: A large-scale real-world multi-modal sensing and communication dataset," </w:t>
      </w:r>
      <w:r>
        <w:rPr>
          <w:b w:val="0"/>
          <w:i/>
          <w:smallCaps w:val="0"/>
          <w:sz w:val="16"/>
        </w:rPr>
        <w:t>IEEE Commun. Mag.</w:t>
      </w:r>
      <w:r>
        <w:rPr>
          <w:b w:val="0"/>
          <w:i w:val="0"/>
          <w:smallCaps w:val="0"/>
          <w:sz w:val="16"/>
        </w:rPr>
        <w:t>, vol. 61, no. 9, pp. 122–128, Sep. 2023.</w:t>
      </w:r>
    </w:p>
    <w:p>
      <w:pPr>
        <w:keepNext w:val="0"/>
        <w:tabs>
          <w:tab w:pos="432" w:val="left"/>
        </w:tabs>
        <w:spacing w:before="0" w:after="0"/>
        <w:ind w:left="432" w:hanging="432"/>
        <w:jc w:val="both"/>
      </w:pPr>
      <w:r>
        <w:rPr>
          <w:b w:val="0"/>
          <w:i w:val="0"/>
          <w:smallCaps w:val="0"/>
          <w:sz w:val="16"/>
        </w:rPr>
        <w:t>[11]</w:t>
        <w:tab/>
        <w:t xml:space="preserve">L. Breiman, "Random forests," </w:t>
      </w:r>
      <w:r>
        <w:rPr>
          <w:b w:val="0"/>
          <w:i/>
          <w:smallCaps w:val="0"/>
          <w:sz w:val="16"/>
        </w:rPr>
        <w:t>Mach. Learn.</w:t>
      </w:r>
      <w:r>
        <w:rPr>
          <w:b w:val="0"/>
          <w:i w:val="0"/>
          <w:smallCaps w:val="0"/>
          <w:sz w:val="16"/>
        </w:rPr>
        <w:t>, vol. 45, no. 1, pp. 5–32, 2001.</w:t>
      </w:r>
    </w:p>
    <w:p>
      <w:pPr>
        <w:keepNext w:val="0"/>
        <w:tabs>
          <w:tab w:pos="432" w:val="left"/>
        </w:tabs>
        <w:spacing w:before="0" w:after="0"/>
        <w:ind w:left="432" w:hanging="432"/>
        <w:jc w:val="both"/>
      </w:pPr>
      <w:r>
        <w:rPr>
          <w:b w:val="0"/>
          <w:i w:val="0"/>
          <w:smallCaps w:val="0"/>
          <w:sz w:val="16"/>
        </w:rPr>
        <w:t>[12]</w:t>
        <w:tab/>
        <w:t xml:space="preserve">K. Cho </w:t>
      </w:r>
      <w:r>
        <w:rPr>
          <w:b w:val="0"/>
          <w:i/>
          <w:smallCaps w:val="0"/>
          <w:sz w:val="16"/>
        </w:rPr>
        <w:t>et al.</w:t>
      </w:r>
      <w:r>
        <w:rPr>
          <w:b w:val="0"/>
          <w:i w:val="0"/>
          <w:smallCaps w:val="0"/>
          <w:sz w:val="16"/>
        </w:rPr>
        <w:t xml:space="preserve">, "Learning phrase representations using RNN encoder-decoder for statistical machine translation," in </w:t>
      </w:r>
      <w:r>
        <w:rPr>
          <w:b w:val="0"/>
          <w:i/>
          <w:smallCaps w:val="0"/>
          <w:sz w:val="16"/>
        </w:rPr>
        <w:t>Proc. EMNLP</w:t>
      </w:r>
      <w:r>
        <w:rPr>
          <w:b w:val="0"/>
          <w:i w:val="0"/>
          <w:smallCaps w:val="0"/>
          <w:sz w:val="16"/>
        </w:rPr>
        <w:t>, 2014.</w:t>
      </w:r>
    </w:p>
    <w:p>
      <w:pPr>
        <w:keepNext w:val="0"/>
        <w:tabs>
          <w:tab w:pos="432" w:val="left"/>
        </w:tabs>
        <w:spacing w:before="0" w:after="0"/>
        <w:ind w:left="432" w:hanging="432"/>
        <w:jc w:val="both"/>
      </w:pPr>
      <w:r>
        <w:rPr>
          <w:b w:val="0"/>
          <w:i w:val="0"/>
          <w:smallCaps w:val="0"/>
          <w:sz w:val="16"/>
        </w:rPr>
        <w:t>[13]</w:t>
        <w:tab/>
        <w:t xml:space="preserve">R. E. Kalman, "A new approach to linear filtering and prediction problems," </w:t>
      </w:r>
      <w:r>
        <w:rPr>
          <w:b w:val="0"/>
          <w:i/>
          <w:smallCaps w:val="0"/>
          <w:sz w:val="16"/>
        </w:rPr>
        <w:t>J. Basic Eng.</w:t>
      </w:r>
      <w:r>
        <w:rPr>
          <w:b w:val="0"/>
          <w:i w:val="0"/>
          <w:smallCaps w:val="0"/>
          <w:sz w:val="16"/>
        </w:rPr>
        <w:t>, vol. 82, no. 1, pp. 35–45, 1960.</w:t>
      </w:r>
    </w:p>
    <w:p>
      <w:pPr>
        <w:keepNext w:val="0"/>
        <w:tabs>
          <w:tab w:pos="432" w:val="left"/>
        </w:tabs>
        <w:spacing w:before="0" w:after="0"/>
        <w:ind w:left="432" w:hanging="432"/>
        <w:jc w:val="both"/>
      </w:pPr>
      <w:r>
        <w:rPr>
          <w:b w:val="0"/>
          <w:i w:val="0"/>
          <w:smallCaps w:val="0"/>
          <w:sz w:val="16"/>
        </w:rPr>
        <w:t>[14]</w:t>
        <w:tab/>
        <w:t xml:space="preserve">Q. Wu and R. Zhang, "Towards smart and reconfigurable environment: Intelligent reflecting surface aided wireless network," </w:t>
      </w:r>
      <w:r>
        <w:rPr>
          <w:b w:val="0"/>
          <w:i/>
          <w:smallCaps w:val="0"/>
          <w:sz w:val="16"/>
        </w:rPr>
        <w:t>IEEE Commun. Mag.</w:t>
      </w:r>
      <w:r>
        <w:rPr>
          <w:b w:val="0"/>
          <w:i w:val="0"/>
          <w:smallCaps w:val="0"/>
          <w:sz w:val="16"/>
        </w:rPr>
        <w:t>, vol. 58, no. 1, pp. 106–112, Jan. 2020.</w:t>
      </w:r>
    </w:p>
    <w:p>
      <w:pPr>
        <w:keepNext w:val="0"/>
        <w:tabs>
          <w:tab w:pos="432" w:val="left"/>
        </w:tabs>
        <w:spacing w:before="0" w:after="0"/>
        <w:ind w:left="432" w:hanging="432"/>
        <w:jc w:val="both"/>
      </w:pPr>
      <w:r>
        <w:rPr>
          <w:b w:val="0"/>
          <w:i w:val="0"/>
          <w:smallCaps w:val="0"/>
          <w:sz w:val="16"/>
        </w:rPr>
        <w:t>[15]</w:t>
        <w:tab/>
        <w:t xml:space="preserve">S. Abeywickrama, R. Zhang, Q. Wu, and C. Yuen, "Intelligent reflecting surface: Practical phase shift model and beamforming optimization," </w:t>
      </w:r>
      <w:r>
        <w:rPr>
          <w:b w:val="0"/>
          <w:i/>
          <w:smallCaps w:val="0"/>
          <w:sz w:val="16"/>
        </w:rPr>
        <w:t>IEEE Trans. Commun.</w:t>
      </w:r>
      <w:r>
        <w:rPr>
          <w:b w:val="0"/>
          <w:i w:val="0"/>
          <w:smallCaps w:val="0"/>
          <w:sz w:val="16"/>
        </w:rPr>
        <w:t>, vol. 68, no. 9, pp. 5849–5863, Sep. 2020.</w:t>
      </w:r>
    </w:p>
    <w:p>
      <w:pPr>
        <w:keepNext w:val="0"/>
        <w:tabs>
          <w:tab w:pos="432" w:val="left"/>
        </w:tabs>
        <w:spacing w:before="0" w:after="0"/>
        <w:ind w:left="432" w:hanging="432"/>
        <w:jc w:val="both"/>
      </w:pPr>
      <w:r>
        <w:rPr>
          <w:b w:val="0"/>
          <w:i w:val="0"/>
          <w:smallCaps w:val="0"/>
          <w:sz w:val="16"/>
        </w:rPr>
        <w:t>[16]</w:t>
        <w:tab/>
        <w:t xml:space="preserve">W. Tang </w:t>
      </w:r>
      <w:r>
        <w:rPr>
          <w:b w:val="0"/>
          <w:i/>
          <w:smallCaps w:val="0"/>
          <w:sz w:val="16"/>
        </w:rPr>
        <w:t>et al.</w:t>
      </w:r>
      <w:r>
        <w:rPr>
          <w:b w:val="0"/>
          <w:i w:val="0"/>
          <w:smallCaps w:val="0"/>
          <w:sz w:val="16"/>
        </w:rPr>
        <w:t xml:space="preserve">, "Wireless communications with reconfigurable intelligent surface: Path loss modeling and experimental measurement," </w:t>
      </w:r>
      <w:r>
        <w:rPr>
          <w:b w:val="0"/>
          <w:i/>
          <w:smallCaps w:val="0"/>
          <w:sz w:val="16"/>
        </w:rPr>
        <w:t>IEEE Trans. Wireless Commun.</w:t>
      </w:r>
      <w:r>
        <w:rPr>
          <w:b w:val="0"/>
          <w:i w:val="0"/>
          <w:smallCaps w:val="0"/>
          <w:sz w:val="16"/>
        </w:rPr>
        <w:t>, vol. 20, no. 1, pp. 421–439, Jan. 2021.</w:t>
      </w:r>
    </w:p>
    <w:p>
      <w:pPr>
        <w:keepNext w:val="0"/>
        <w:tabs>
          <w:tab w:pos="432" w:val="left"/>
        </w:tabs>
        <w:spacing w:before="0" w:after="0"/>
        <w:ind w:left="432" w:hanging="432"/>
        <w:jc w:val="both"/>
      </w:pPr>
      <w:r>
        <w:rPr>
          <w:b w:val="0"/>
          <w:i w:val="0"/>
          <w:smallCaps w:val="0"/>
          <w:sz w:val="16"/>
        </w:rPr>
        <w:t>[17]</w:t>
        <w:tab/>
        <w:t>J. J. Bussgang, "Crosscorrelation functions of amplitude-distorted Gaussian signals," MIT Research Laboratory of Electronics, Tech. Rep. 216, 1952.</w:t>
      </w:r>
    </w:p>
    <w:p>
      <w:pPr>
        <w:keepNext w:val="0"/>
        <w:tabs>
          <w:tab w:pos="432" w:val="left"/>
        </w:tabs>
        <w:spacing w:before="0" w:after="0"/>
        <w:ind w:left="432" w:hanging="432"/>
        <w:jc w:val="both"/>
      </w:pPr>
      <w:r>
        <w:rPr>
          <w:b w:val="0"/>
          <w:i w:val="0"/>
          <w:smallCaps w:val="0"/>
          <w:sz w:val="16"/>
        </w:rPr>
        <w:t>[18]</w:t>
        <w:tab/>
        <w:t xml:space="preserve">E. Björnson, J. Hoydis, and L. Sanguinetti, "Massive MIMO networks: Spectral, energy, and hardware efficiency," </w:t>
      </w:r>
      <w:r>
        <w:rPr>
          <w:b w:val="0"/>
          <w:i/>
          <w:smallCaps w:val="0"/>
          <w:sz w:val="16"/>
        </w:rPr>
        <w:t>Found. Trends Signal Process.</w:t>
      </w:r>
      <w:r>
        <w:rPr>
          <w:b w:val="0"/>
          <w:i w:val="0"/>
          <w:smallCaps w:val="0"/>
          <w:sz w:val="16"/>
        </w:rPr>
        <w:t>, vol. 11, no. 3–4, pp. 154–655, 2017.</w:t>
      </w:r>
    </w:p>
    <w:p>
      <w:pPr>
        <w:keepNext w:val="0"/>
        <w:tabs>
          <w:tab w:pos="432" w:val="left"/>
        </w:tabs>
        <w:spacing w:before="0" w:after="0"/>
        <w:ind w:left="432" w:hanging="432"/>
        <w:jc w:val="both"/>
      </w:pPr>
      <w:r>
        <w:rPr>
          <w:b w:val="0"/>
          <w:i w:val="0"/>
          <w:smallCaps w:val="0"/>
          <w:sz w:val="16"/>
        </w:rPr>
        <w:t>[19]</w:t>
        <w:tab/>
        <w:t xml:space="preserve">A. K. Menon </w:t>
      </w:r>
      <w:r>
        <w:rPr>
          <w:b w:val="0"/>
          <w:i/>
          <w:smallCaps w:val="0"/>
          <w:sz w:val="16"/>
        </w:rPr>
        <w:t>et al.</w:t>
      </w:r>
      <w:r>
        <w:rPr>
          <w:b w:val="0"/>
          <w:i w:val="0"/>
          <w:smallCaps w:val="0"/>
          <w:sz w:val="16"/>
        </w:rPr>
        <w:t xml:space="preserve">, "Long-tail learning via logit adjustment," in </w:t>
      </w:r>
      <w:r>
        <w:rPr>
          <w:b w:val="0"/>
          <w:i/>
          <w:smallCaps w:val="0"/>
          <w:sz w:val="16"/>
        </w:rPr>
        <w:t>Proc. ICLR</w:t>
      </w:r>
      <w:r>
        <w:rPr>
          <w:b w:val="0"/>
          <w:i w:val="0"/>
          <w:smallCaps w:val="0"/>
          <w:sz w:val="16"/>
        </w:rPr>
        <w:t>, 2021.</w:t>
      </w:r>
    </w:p>
    <w:p>
      <w:pPr>
        <w:keepNext w:val="0"/>
        <w:tabs>
          <w:tab w:pos="432" w:val="left"/>
        </w:tabs>
        <w:spacing w:before="0" w:after="0"/>
        <w:ind w:left="432" w:hanging="432"/>
        <w:jc w:val="both"/>
      </w:pPr>
      <w:r>
        <w:rPr>
          <w:b w:val="0"/>
          <w:i w:val="0"/>
          <w:smallCaps w:val="0"/>
          <w:sz w:val="16"/>
        </w:rPr>
        <w:t>[20]</w:t>
        <w:tab/>
        <w:t xml:space="preserve">A. S. H. Ahmed </w:t>
      </w:r>
      <w:r>
        <w:rPr>
          <w:b w:val="0"/>
          <w:i/>
          <w:smallCaps w:val="0"/>
          <w:sz w:val="16"/>
        </w:rPr>
        <w:t>et al.</w:t>
      </w:r>
      <w:r>
        <w:rPr>
          <w:b w:val="0"/>
          <w:i w:val="0"/>
          <w:smallCaps w:val="0"/>
          <w:sz w:val="16"/>
        </w:rPr>
        <w:t xml:space="preserve">, "A 140GHz power amplifier with 20.5dBm output power and 20.8% PAE in 250-nm InP HBT technology," in </w:t>
      </w:r>
      <w:r>
        <w:rPr>
          <w:b w:val="0"/>
          <w:i/>
          <w:smallCaps w:val="0"/>
          <w:sz w:val="16"/>
        </w:rPr>
        <w:t>Proc. IEEE IMS</w:t>
      </w:r>
      <w:r>
        <w:rPr>
          <w:b w:val="0"/>
          <w:i w:val="0"/>
          <w:smallCaps w:val="0"/>
          <w:sz w:val="16"/>
        </w:rPr>
        <w:t xml:space="preserve">, 2020. </w:t>
      </w:r>
      <w:r>
        <w:rPr>
          <w:b/>
          <w:i w:val="0"/>
          <w:smallCaps w:val="0"/>
          <w:sz w:val="16"/>
          <w:highlight w:val="yellow"/>
        </w:rPr>
        <w:t>[VERIFY author list]</w:t>
      </w:r>
    </w:p>
    <w:p>
      <w:pPr>
        <w:keepNext w:val="0"/>
        <w:tabs>
          <w:tab w:pos="432" w:val="left"/>
        </w:tabs>
        <w:spacing w:before="0" w:after="0"/>
        <w:ind w:left="432" w:hanging="432"/>
        <w:jc w:val="both"/>
      </w:pPr>
      <w:r>
        <w:rPr>
          <w:b w:val="0"/>
          <w:i w:val="0"/>
          <w:smallCaps w:val="0"/>
          <w:sz w:val="16"/>
        </w:rPr>
        <w:t>[21]</w:t>
        <w:tab/>
      </w:r>
      <w:r>
        <w:rPr>
          <w:b/>
          <w:i w:val="0"/>
          <w:smallCaps w:val="0"/>
          <w:sz w:val="16"/>
          <w:highlight w:val="yellow"/>
        </w:rPr>
        <w:t>[VERIFY: cite a D-band (≈140 GHz) SiGe LNA with ≈10 dB noise figure; a 0.13 µm SiGe 5-stage amplifier with NF down to 10 dB was found but its full citation needs checking.]</w:t>
      </w:r>
    </w:p>
    <w:p>
      <w:pPr>
        <w:keepNext w:val="0"/>
        <w:tabs>
          <w:tab w:pos="432" w:val="left"/>
        </w:tabs>
        <w:spacing w:before="0" w:after="0"/>
        <w:ind w:left="432" w:hanging="432"/>
        <w:jc w:val="both"/>
      </w:pPr>
      <w:r>
        <w:rPr>
          <w:b w:val="0"/>
          <w:i w:val="0"/>
          <w:smallCaps w:val="0"/>
          <w:sz w:val="16"/>
        </w:rPr>
        <w:t>[22]</w:t>
        <w:tab/>
        <w:t xml:space="preserve">3GPP TS 38.213, "NR; Physical layer procedures for control," Sec. 4.1 (SS/PBCH block candidate positions, case D). </w:t>
      </w:r>
      <w:r>
        <w:rPr>
          <w:b/>
          <w:i w:val="0"/>
          <w:smallCaps w:val="0"/>
          <w:sz w:val="16"/>
          <w:highlight w:val="yellow"/>
        </w:rPr>
        <w:t>[VERIFY: release and version.]</w:t>
      </w:r>
    </w:p>
    <w:p>
      <w:pPr>
        <w:sectPr>
          <w:type w:val="continuous"/>
          <w:pgSz w:w="12240" w:h="15840"/>
          <w:pgMar w:top="1080" w:right="900" w:bottom="1440" w:left="900" w:header="720" w:footer="720" w:gutter="0"/>
          <w:cols w:space="360" w:num="2"/>
          <w:docGrid w:linePitch="360"/>
        </w:sectPr>
      </w:pPr>
    </w:p>
    <w:sectPr w:rsidR="00FC693F" w:rsidRPr="0006063C" w:rsidSect="00034616">
      <w:type w:val="continuous"/>
      <w:pgSz w:w="12240" w:h="15840"/>
      <w:pgMar w:top="1080" w:right="900" w:bottom="1440" w:left="90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