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val="0"/>
        <w:keepLines w:val="0"/>
        <w:spacing w:before="0" w:after="0"/>
        <w:ind w:firstLine="288"/>
        <w:jc w:val="both"/>
      </w:pPr>
      <w:r>
        <w:rPr>
          <w:b w:val="0"/>
          <w:i w:val="0"/>
          <w:smallCaps w:val="0"/>
          <w:sz w:val="20"/>
        </w:rPr>
        <w:t>Fig. 1 summarises the two parts of this work: a hardware-aware model of the RIS-assisted link (Secs. II–IV), evaluated in simulation, and beam management on real 60 GHz measurements (Secs. V–VI), where sensing proposes candidate beams that are then measured.</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568396"/>
                  <wp:docPr id="1" name="Picture 1"/>
                  <wp:cNvGraphicFramePr>
                    <a:graphicFrameLocks noChangeAspect="1"/>
                  </wp:cNvGraphicFramePr>
                  <a:graphic>
                    <a:graphicData uri="http://schemas.openxmlformats.org/drawingml/2006/picture">
                      <pic:pic>
                        <pic:nvPicPr>
                          <pic:cNvPr id="0" name="fig_system.png"/>
                          <pic:cNvPicPr/>
                        </pic:nvPicPr>
                        <pic:blipFill>
                          <a:blip r:embed="rId9"/>
                          <a:stretch>
                            <a:fillRect/>
                          </a:stretch>
                        </pic:blipFill>
                        <pic:spPr>
                          <a:xfrm>
                            <a:off x="0" y="0"/>
                            <a:ext cx="5943600" cy="2568396"/>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System overview. Top: the simulated hardware-aware link, from the BS power amplifier through the impaired RIS to the UAV, and channel estimation. Bottom: the sensing-aided beam-management loop evaluated on DeepSense Scenario 23; the camera and GPS of the previous step propose candidates, the base station measures them with SSB beams, keeps the strongest, and sweeps all 64 beams only on beam loss.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2):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2" name="Picture 2"/>
                  <wp:cNvGraphicFramePr>
                    <a:graphicFrameLocks noChangeAspect="1"/>
                  </wp:cNvGraphicFramePr>
                  <a:graphic>
                    <a:graphicData uri="http://schemas.openxmlformats.org/drawingml/2006/picture">
                      <pic:pic>
                        <pic:nvPicPr>
                          <pic:cNvPr id="0" name="fig_impairment_ablation.png"/>
                          <pic:cNvPicPr/>
                        </pic:nvPicPr>
                        <pic:blipFill>
                          <a:blip r:embed="rId10"/>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3). Over a 20 → 320 m flight, a 64×64 RIS gives 100% availability (SNDR ≥ 0 dB) with ideal hardware but only 57% with realistic hardware; a 96×96 RIS (24 cm) restores 100%. The hardware cost is therefore about 2.25× in element count.</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3" name="Picture 3"/>
                  <wp:cNvGraphicFramePr>
                    <a:graphicFrameLocks noChangeAspect="1"/>
                  </wp:cNvGraphicFramePr>
                  <a:graphic>
                    <a:graphicData uri="http://schemas.openxmlformats.org/drawingml/2006/picture">
                      <pic:pic>
                        <pic:nvPicPr>
                          <pic:cNvPr id="0" name="fig_ris_sizing.png"/>
                          <pic:cNvPicPr/>
                        </pic:nvPicPr>
                        <pic:blipFill>
                          <a:blip r:embed="rId11"/>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Link availability over the flight versus RIS size. Left: 60 GHz, ideal versus realistic hardware with coupling-aware control. Right: 140 GHz with D-band transceiver hardware, realistic RIS, for receiver noise figures of 6, 7 and 10 dB (dashed: ideal hardware).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keepNext w:val="0"/>
        <w:keepLines w:val="0"/>
        <w:spacing w:before="0" w:after="0"/>
        <w:ind w:firstLine="288"/>
        <w:jc w:val="both"/>
      </w:pPr>
      <w:r>
        <w:rPr>
          <w:b/>
          <w:i w:val="0"/>
          <w:smallCaps w:val="0"/>
          <w:sz w:val="20"/>
        </w:rPr>
        <w:t>Sensitivity to assumed values.</w:t>
      </w:r>
      <w:r>
        <w:rPr>
          <w:b w:val="0"/>
          <w:i w:val="0"/>
          <w:smallCaps w:val="0"/>
          <w:sz w:val="20"/>
        </w:rPr>
        <w:t xml:space="preserve"> Three further inputs are literature values or assumptions rather than measurements, so we vary each. (i) The Saleh coefficients are Saleh's travelling-wave-tube fit; how much they matter depends on how hard the PA is driven. From 3 to 12 dB input back-off the PA alone costs 2.6 to 0.4 dB at 50 m, and all impairments with coupling-aware control 7.8 to 6.9 dB, so amplitude–phase coupling remains the dominant impairment at every operating point. (ii) For element obliquity exponents from 0 (isotropic) to 2, the 60 GHz RIS needs 64×64 elements for full coverage with ideal hardware and 96×96 (24 cm) with realistic hardware, the same 2.25× as with the default 1.5; only a strongly directive element (exponent 3) changes it, to 80×80 and 112×112 (1.96×). (iii) Around the assumed 14 dBm D-band average power, 11 and 17 dBm move the 140 GHz panel to 36 and 28 cm (NF 10 dB).</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4).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4" name="Picture 4"/>
                  <wp:cNvGraphicFramePr>
                    <a:graphicFrameLocks noChangeAspect="1"/>
                  </wp:cNvGraphicFramePr>
                  <a:graphic>
                    <a:graphicData uri="http://schemas.openxmlformats.org/drawingml/2006/picture">
                      <pic:pic>
                        <pic:nvPicPr>
                          <pic:cNvPr id="0" name="fig_tracking_gain.png"/>
                          <pic:cNvPicPr/>
                        </pic:nvPicPr>
                        <pic:blipFill>
                          <a:blip r:embed="rId12"/>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Delivered array gain versus prediction horizon (held-out trajectories); the Kalman and the learned ridge predictors overlap above 98.8%.</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keepLines/>
              <w:spacing w:before="0" w:after="0"/>
              <w:jc w:val="left"/>
            </w:pPr>
            <w:r>
              <w:rPr>
                <w:b/>
                <w:i w:val="0"/>
                <w:smallCaps w:val="0"/>
                <w:sz w:val="16"/>
              </w:rPr>
              <w:t>Horizon</w:t>
            </w:r>
          </w:p>
        </w:tc>
        <w:tc>
          <w:tcPr>
            <w:tcW w:type="dxa" w:w="2049"/>
            <w:tcBorders>
              <w:bottom w:val="single" w:sz="4" w:color="000000"/>
            </w:tcBorders>
          </w:tcPr>
          <w:p>
            <w:pPr>
              <w:keepNext/>
              <w:keepLines/>
              <w:spacing w:before="0" w:after="0"/>
              <w:jc w:val="left"/>
            </w:pPr>
            <w:r>
              <w:rPr>
                <w:b/>
                <w:i w:val="0"/>
                <w:smallCaps w:val="0"/>
                <w:sz w:val="16"/>
              </w:rPr>
              <w:t>Model</w:t>
            </w:r>
          </w:p>
        </w:tc>
        <w:tc>
          <w:tcPr>
            <w:tcW w:type="dxa" w:w="1272"/>
            <w:tcBorders>
              <w:bottom w:val="single" w:sz="4" w:color="000000"/>
            </w:tcBorders>
          </w:tcPr>
          <w:p>
            <w:pPr>
              <w:keepNext/>
              <w:keepLines/>
              <w:spacing w:before="0" w:after="0"/>
              <w:jc w:val="center"/>
            </w:pPr>
            <w:r>
              <w:rPr>
                <w:b/>
                <w:i w:val="0"/>
                <w:smallCaps w:val="0"/>
                <w:sz w:val="16"/>
              </w:rPr>
              <w:t>Within noise</w:t>
            </w:r>
          </w:p>
        </w:tc>
        <w:tc>
          <w:tcPr>
            <w:tcW w:type="dxa" w:w="2146"/>
            <w:tcBorders>
              <w:bottom w:val="single" w:sz="4" w:color="000000"/>
            </w:tcBorders>
          </w:tcPr>
          <w:p>
            <w:pPr>
              <w:keepNext/>
              <w:keepLines/>
              <w:spacing w:before="0" w:after="0"/>
              <w:jc w:val="center"/>
            </w:pPr>
            <w:r>
              <w:rPr>
                <w:b/>
                <w:i w:val="0"/>
                <w:smallCaps w:val="0"/>
                <w:sz w:val="16"/>
              </w:rPr>
              <w:t>Balanced within noise</w:t>
            </w:r>
          </w:p>
        </w:tc>
        <w:tc>
          <w:tcPr>
            <w:tcW w:type="dxa" w:w="593"/>
            <w:tcBorders>
              <w:bottom w:val="single" w:sz="4" w:color="000000"/>
            </w:tcBorders>
          </w:tcPr>
          <w:p>
            <w:pPr>
              <w:keepNext/>
              <w:keepLines/>
              <w:spacing w:before="0" w:after="0"/>
              <w:jc w:val="center"/>
            </w:pPr>
            <w:r>
              <w:rPr>
                <w:b/>
                <w:i w:val="0"/>
                <w:smallCaps w:val="0"/>
                <w:sz w:val="16"/>
              </w:rPr>
              <w:t>Top-3</w:t>
            </w:r>
          </w:p>
        </w:tc>
        <w:tc>
          <w:tcPr>
            <w:tcW w:type="dxa" w:w="1175"/>
            <w:tcBorders>
              <w:bottom w:val="single" w:sz="4" w:color="000000"/>
            </w:tcBorders>
          </w:tcPr>
          <w:p>
            <w:pPr>
              <w:keepNext/>
              <w:keepLines/>
              <w:spacing w:before="0" w:after="0"/>
              <w:jc w:val="center"/>
            </w:pPr>
            <w:r>
              <w:rPr>
                <w:b/>
                <w:i w:val="0"/>
                <w:smallCaps w:val="0"/>
                <w:sz w:val="16"/>
              </w:rPr>
              <w:t>Power ratio</w:t>
            </w:r>
          </w:p>
        </w:tc>
        <w:tc>
          <w:tcPr>
            <w:tcW w:type="dxa" w:w="1175"/>
            <w:tcBorders>
              <w:bottom w:val="single" w:sz="4" w:color="000000"/>
            </w:tcBorders>
          </w:tcPr>
          <w:p>
            <w:pPr>
              <w:keepNext/>
              <w:keepLines/>
              <w:spacing w:before="0" w:after="0"/>
              <w:jc w:val="center"/>
            </w:pPr>
            <w:r>
              <w:rPr>
                <w:b/>
                <w:i w:val="0"/>
                <w:smallCaps w:val="0"/>
                <w:sz w:val="16"/>
              </w:rPr>
              <w:t>Exact top-1</w:t>
            </w:r>
          </w:p>
        </w:tc>
        <w:tc>
          <w:tcPr>
            <w:tcW w:type="dxa" w:w="884"/>
            <w:tcBorders>
              <w:bottom w:val="single" w:sz="4" w:color="000000"/>
            </w:tcBorders>
          </w:tcPr>
          <w:p>
            <w:pPr>
              <w:keepNext/>
              <w:keepLines/>
              <w:spacing w:before="0" w:after="0"/>
              <w:jc w:val="center"/>
            </w:pPr>
            <w:r>
              <w:rPr>
                <w:b/>
                <w:i w:val="0"/>
                <w:smallCaps w:val="0"/>
                <w:sz w:val="16"/>
              </w:rPr>
              <w:t>Macro-F1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86.3</w:t>
            </w:r>
          </w:p>
        </w:tc>
        <w:tc>
          <w:tcPr>
            <w:tcW w:type="dxa" w:w="593"/>
          </w:tcPr>
          <w:p>
            <w:pPr>
              <w:keepNext/>
              <w:keepLines/>
              <w:spacing w:before="0" w:after="0"/>
              <w:jc w:val="center"/>
            </w:pPr>
            <w:r>
              <w:rPr>
                <w:b w:val="0"/>
                <w:i w:val="0"/>
                <w:smallCaps w:val="0"/>
                <w:sz w:val="16"/>
              </w:rPr>
              <w:t>94.5</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69.2</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RF + sweep prior</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86.7</w:t>
            </w:r>
          </w:p>
        </w:tc>
        <w:tc>
          <w:tcPr>
            <w:tcW w:type="dxa" w:w="593"/>
          </w:tcPr>
          <w:p>
            <w:pPr>
              <w:keepNext/>
              <w:keepLines/>
              <w:spacing w:before="0" w:after="0"/>
              <w:jc w:val="center"/>
            </w:pPr>
            <w:r>
              <w:rPr>
                <w:b w:val="0"/>
                <w:i w:val="0"/>
                <w:smallCaps w:val="0"/>
                <w:sz w:val="16"/>
              </w:rPr>
              <w:t>94.9</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70.4</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82.3</w:t>
            </w:r>
          </w:p>
        </w:tc>
        <w:tc>
          <w:tcPr>
            <w:tcW w:type="dxa" w:w="593"/>
          </w:tcPr>
          <w:p>
            <w:pPr>
              <w:keepNext/>
              <w:keepLines/>
              <w:spacing w:before="0" w:after="0"/>
              <w:jc w:val="center"/>
            </w:pPr>
            <w:r>
              <w:rPr>
                <w:b w:val="0"/>
                <w:i w:val="0"/>
                <w:smallCaps w:val="0"/>
                <w:sz w:val="16"/>
              </w:rPr>
              <w:t>94.6</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95.6</w:t>
            </w:r>
          </w:p>
        </w:tc>
        <w:tc>
          <w:tcPr>
            <w:tcW w:type="dxa" w:w="2146"/>
          </w:tcPr>
          <w:p>
            <w:pPr>
              <w:keepNext/>
              <w:keepLines/>
              <w:spacing w:before="0" w:after="0"/>
              <w:jc w:val="center"/>
            </w:pPr>
            <w:r>
              <w:rPr>
                <w:b w:val="0"/>
                <w:i w:val="0"/>
                <w:smallCaps w:val="0"/>
                <w:sz w:val="16"/>
              </w:rPr>
              <w:t>89.3</w:t>
            </w:r>
          </w:p>
        </w:tc>
        <w:tc>
          <w:tcPr>
            <w:tcW w:type="dxa" w:w="593"/>
          </w:tcPr>
          <w:p>
            <w:pPr>
              <w:keepNext/>
              <w:keepLines/>
              <w:spacing w:before="0" w:after="0"/>
              <w:jc w:val="center"/>
            </w:pPr>
            <w:r>
              <w:rPr>
                <w:b w:val="0"/>
                <w:i w:val="0"/>
                <w:smallCaps w:val="0"/>
                <w:sz w:val="16"/>
              </w:rPr>
              <w:t>95.1</w:t>
            </w:r>
          </w:p>
        </w:tc>
        <w:tc>
          <w:tcPr>
            <w:tcW w:type="dxa" w:w="1175"/>
          </w:tcPr>
          <w:p>
            <w:pPr>
              <w:keepNext/>
              <w:keepLines/>
              <w:spacing w:before="0" w:after="0"/>
              <w:jc w:val="center"/>
            </w:pPr>
            <w:r>
              <w:rPr>
                <w:b w:val="0"/>
                <w:i w:val="0"/>
                <w:smallCaps w:val="0"/>
                <w:sz w:val="16"/>
              </w:rPr>
              <w:t>98.9</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i w:val="0"/>
                <w:smallCaps w:val="0"/>
                <w:sz w:val="16"/>
              </w:rPr>
              <w:t>GRU ensemble, augmented</w:t>
            </w:r>
          </w:p>
        </w:tc>
        <w:tc>
          <w:tcPr>
            <w:tcW w:type="dxa" w:w="1272"/>
          </w:tcPr>
          <w:p>
            <w:pPr>
              <w:keepNext/>
              <w:keepLines/>
              <w:spacing w:before="0" w:after="0"/>
              <w:jc w:val="center"/>
            </w:pPr>
            <w:r>
              <w:rPr>
                <w:b/>
                <w:i w:val="0"/>
                <w:smallCaps w:val="0"/>
                <w:sz w:val="16"/>
              </w:rPr>
              <w:t>96.4</w:t>
            </w:r>
          </w:p>
        </w:tc>
        <w:tc>
          <w:tcPr>
            <w:tcW w:type="dxa" w:w="2146"/>
          </w:tcPr>
          <w:p>
            <w:pPr>
              <w:keepNext/>
              <w:keepLines/>
              <w:spacing w:before="0" w:after="0"/>
              <w:jc w:val="center"/>
            </w:pPr>
            <w:r>
              <w:rPr>
                <w:b/>
                <w:i w:val="0"/>
                <w:smallCaps w:val="0"/>
                <w:sz w:val="16"/>
              </w:rPr>
              <w:t>91.7</w:t>
            </w:r>
          </w:p>
        </w:tc>
        <w:tc>
          <w:tcPr>
            <w:tcW w:type="dxa" w:w="593"/>
          </w:tcPr>
          <w:p>
            <w:pPr>
              <w:keepNext/>
              <w:keepLines/>
              <w:spacing w:before="0" w:after="0"/>
              <w:jc w:val="center"/>
            </w:pPr>
            <w:r>
              <w:rPr>
                <w:b/>
                <w:i w:val="0"/>
                <w:smallCaps w:val="0"/>
                <w:sz w:val="16"/>
              </w:rPr>
              <w:t>96.1</w:t>
            </w:r>
          </w:p>
        </w:tc>
        <w:tc>
          <w:tcPr>
            <w:tcW w:type="dxa" w:w="1175"/>
          </w:tcPr>
          <w:p>
            <w:pPr>
              <w:keepNext/>
              <w:keepLines/>
              <w:spacing w:before="0" w:after="0"/>
              <w:jc w:val="center"/>
            </w:pPr>
            <w:r>
              <w:rPr>
                <w:b/>
                <w:i w:val="0"/>
                <w:smallCaps w:val="0"/>
                <w:sz w:val="16"/>
              </w:rPr>
              <w:t>99.1</w:t>
            </w:r>
          </w:p>
        </w:tc>
        <w:tc>
          <w:tcPr>
            <w:tcW w:type="dxa" w:w="1175"/>
          </w:tcPr>
          <w:p>
            <w:pPr>
              <w:keepNext/>
              <w:keepLines/>
              <w:spacing w:before="0" w:after="0"/>
              <w:jc w:val="center"/>
            </w:pPr>
            <w:r>
              <w:rPr>
                <w:b/>
                <w:i w:val="0"/>
                <w:smallCaps w:val="0"/>
                <w:sz w:val="16"/>
              </w:rPr>
              <w:t>72.1</w:t>
            </w:r>
          </w:p>
        </w:tc>
        <w:tc>
          <w:tcPr>
            <w:tcW w:type="dxa" w:w="884"/>
          </w:tcPr>
          <w:p>
            <w:pPr>
              <w:keepNext/>
              <w:keepLines/>
              <w:spacing w:before="0" w:after="0"/>
              <w:jc w:val="center"/>
            </w:pPr>
            <w:r>
              <w:rPr>
                <w:b/>
                <w:i w:val="0"/>
                <w:smallCaps w:val="0"/>
                <w:sz w:val="16"/>
              </w:rPr>
              <w:t>0.48</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78.1</w:t>
            </w:r>
          </w:p>
        </w:tc>
        <w:tc>
          <w:tcPr>
            <w:tcW w:type="dxa" w:w="2146"/>
          </w:tcPr>
          <w:p>
            <w:pPr>
              <w:keepNext/>
              <w:keepLines/>
              <w:spacing w:before="0" w:after="0"/>
              <w:jc w:val="center"/>
            </w:pPr>
            <w:r>
              <w:rPr>
                <w:b w:val="0"/>
                <w:i w:val="0"/>
                <w:smallCaps w:val="0"/>
                <w:sz w:val="16"/>
              </w:rPr>
              <w:t>66.1</w:t>
            </w:r>
          </w:p>
        </w:tc>
        <w:tc>
          <w:tcPr>
            <w:tcW w:type="dxa" w:w="593"/>
          </w:tcPr>
          <w:p>
            <w:pPr>
              <w:keepNext/>
              <w:keepLines/>
              <w:spacing w:before="0" w:after="0"/>
              <w:jc w:val="center"/>
            </w:pPr>
            <w:r>
              <w:rPr>
                <w:b w:val="0"/>
                <w:i w:val="0"/>
                <w:smallCaps w:val="0"/>
                <w:sz w:val="16"/>
              </w:rPr>
              <w:t>80.3</w:t>
            </w:r>
          </w:p>
        </w:tc>
        <w:tc>
          <w:tcPr>
            <w:tcW w:type="dxa" w:w="1175"/>
          </w:tcPr>
          <w:p>
            <w:pPr>
              <w:keepNext/>
              <w:keepLines/>
              <w:spacing w:before="0" w:after="0"/>
              <w:jc w:val="center"/>
            </w:pPr>
            <w:r>
              <w:rPr>
                <w:b w:val="0"/>
                <w:i w:val="0"/>
                <w:smallCaps w:val="0"/>
                <w:sz w:val="16"/>
              </w:rPr>
              <w:t>93.7</w:t>
            </w:r>
          </w:p>
        </w:tc>
        <w:tc>
          <w:tcPr>
            <w:tcW w:type="dxa" w:w="1175"/>
          </w:tcPr>
          <w:p>
            <w:pPr>
              <w:keepNext/>
              <w:keepLines/>
              <w:spacing w:before="0" w:after="0"/>
              <w:jc w:val="center"/>
            </w:pPr>
            <w:r>
              <w:rPr>
                <w:b w:val="0"/>
                <w:i w:val="0"/>
                <w:smallCaps w:val="0"/>
                <w:sz w:val="16"/>
              </w:rPr>
              <w:t>53.3</w:t>
            </w:r>
          </w:p>
        </w:tc>
        <w:tc>
          <w:tcPr>
            <w:tcW w:type="dxa" w:w="884"/>
          </w:tcPr>
          <w:p>
            <w:pPr>
              <w:keepNext/>
              <w:keepLines/>
              <w:spacing w:before="0" w:after="0"/>
              <w:jc w:val="center"/>
            </w:pPr>
            <w:r>
              <w:rPr>
                <w:b w:val="0"/>
                <w:i w:val="0"/>
                <w:smallCaps w:val="0"/>
                <w:sz w:val="16"/>
              </w:rPr>
              <w:t>0.26</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73.2</w:t>
            </w:r>
          </w:p>
        </w:tc>
        <w:tc>
          <w:tcPr>
            <w:tcW w:type="dxa" w:w="2146"/>
          </w:tcPr>
          <w:p>
            <w:pPr>
              <w:keepNext/>
              <w:keepLines/>
              <w:spacing w:before="0" w:after="0"/>
              <w:jc w:val="center"/>
            </w:pPr>
            <w:r>
              <w:rPr>
                <w:b w:val="0"/>
                <w:i w:val="0"/>
                <w:smallCaps w:val="0"/>
                <w:sz w:val="16"/>
              </w:rPr>
              <w:t>57.9</w:t>
            </w:r>
          </w:p>
        </w:tc>
        <w:tc>
          <w:tcPr>
            <w:tcW w:type="dxa" w:w="593"/>
          </w:tcPr>
          <w:p>
            <w:pPr>
              <w:keepNext/>
              <w:keepLines/>
              <w:spacing w:before="0" w:after="0"/>
              <w:jc w:val="center"/>
            </w:pPr>
            <w:r>
              <w:rPr>
                <w:b w:val="0"/>
                <w:i w:val="0"/>
                <w:smallCaps w:val="0"/>
                <w:sz w:val="16"/>
              </w:rPr>
              <w:t>80.6</w:t>
            </w:r>
          </w:p>
        </w:tc>
        <w:tc>
          <w:tcPr>
            <w:tcW w:type="dxa" w:w="1175"/>
          </w:tcPr>
          <w:p>
            <w:pPr>
              <w:keepNext/>
              <w:keepLines/>
              <w:spacing w:before="0" w:after="0"/>
              <w:jc w:val="center"/>
            </w:pPr>
            <w:r>
              <w:rPr>
                <w:b w:val="0"/>
                <w:i w:val="0"/>
                <w:smallCaps w:val="0"/>
                <w:sz w:val="16"/>
              </w:rPr>
              <w:t>93.1</w:t>
            </w:r>
          </w:p>
        </w:tc>
        <w:tc>
          <w:tcPr>
            <w:tcW w:type="dxa" w:w="1175"/>
          </w:tcPr>
          <w:p>
            <w:pPr>
              <w:keepNext/>
              <w:keepLines/>
              <w:spacing w:before="0" w:after="0"/>
              <w:jc w:val="center"/>
            </w:pPr>
            <w:r>
              <w:rPr>
                <w:b w:val="0"/>
                <w:i w:val="0"/>
                <w:smallCaps w:val="0"/>
                <w:sz w:val="16"/>
              </w:rPr>
              <w:t>49.5</w:t>
            </w:r>
          </w:p>
        </w:tc>
        <w:tc>
          <w:tcPr>
            <w:tcW w:type="dxa" w:w="884"/>
          </w:tcPr>
          <w:p>
            <w:pPr>
              <w:keepNext/>
              <w:keepLines/>
              <w:spacing w:before="0" w:after="0"/>
              <w:jc w:val="center"/>
            </w:pPr>
            <w:r>
              <w:rPr>
                <w:b w:val="0"/>
                <w:i w:val="0"/>
                <w:smallCaps w:val="0"/>
                <w:sz w:val="16"/>
              </w:rPr>
              <w:t>0.21</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81.1</w:t>
            </w:r>
          </w:p>
        </w:tc>
        <w:tc>
          <w:tcPr>
            <w:tcW w:type="dxa" w:w="2146"/>
          </w:tcPr>
          <w:p>
            <w:pPr>
              <w:keepNext/>
              <w:keepLines/>
              <w:spacing w:before="0" w:after="0"/>
              <w:jc w:val="center"/>
            </w:pPr>
            <w:r>
              <w:rPr>
                <w:b w:val="0"/>
                <w:i w:val="0"/>
                <w:smallCaps w:val="0"/>
                <w:sz w:val="16"/>
              </w:rPr>
              <w:t>65.8</w:t>
            </w:r>
          </w:p>
        </w:tc>
        <w:tc>
          <w:tcPr>
            <w:tcW w:type="dxa" w:w="593"/>
          </w:tcPr>
          <w:p>
            <w:pPr>
              <w:keepNext/>
              <w:keepLines/>
              <w:spacing w:before="0" w:after="0"/>
              <w:jc w:val="center"/>
            </w:pPr>
            <w:r>
              <w:rPr>
                <w:b w:val="0"/>
                <w:i w:val="0"/>
                <w:smallCaps w:val="0"/>
                <w:sz w:val="16"/>
              </w:rPr>
              <w:t>84.8</w:t>
            </w:r>
          </w:p>
        </w:tc>
        <w:tc>
          <w:tcPr>
            <w:tcW w:type="dxa" w:w="1175"/>
          </w:tcPr>
          <w:p>
            <w:pPr>
              <w:keepNext/>
              <w:keepLines/>
              <w:spacing w:before="0" w:after="0"/>
              <w:jc w:val="center"/>
            </w:pPr>
            <w:r>
              <w:rPr>
                <w:b w:val="0"/>
                <w:i w:val="0"/>
                <w:smallCaps w:val="0"/>
                <w:sz w:val="16"/>
              </w:rPr>
              <w:t>95.5</w:t>
            </w:r>
          </w:p>
        </w:tc>
        <w:tc>
          <w:tcPr>
            <w:tcW w:type="dxa" w:w="1175"/>
          </w:tcPr>
          <w:p>
            <w:pPr>
              <w:keepNext/>
              <w:keepLines/>
              <w:spacing w:before="0" w:after="0"/>
              <w:jc w:val="center"/>
            </w:pPr>
            <w:r>
              <w:rPr>
                <w:b w:val="0"/>
                <w:i w:val="0"/>
                <w:smallCaps w:val="0"/>
                <w:sz w:val="16"/>
              </w:rPr>
              <w:t>55.3</w:t>
            </w:r>
          </w:p>
        </w:tc>
        <w:tc>
          <w:tcPr>
            <w:tcW w:type="dxa" w:w="884"/>
          </w:tcPr>
          <w:p>
            <w:pPr>
              <w:keepNext/>
              <w:keepLines/>
              <w:spacing w:before="0" w:after="0"/>
              <w:jc w:val="center"/>
            </w:pPr>
            <w:r>
              <w:rPr>
                <w:b w:val="0"/>
                <w:i w:val="0"/>
                <w:smallCaps w:val="0"/>
                <w:sz w:val="16"/>
              </w:rPr>
              <w:t>0.24</w:t>
            </w:r>
          </w:p>
        </w:tc>
      </w:tr>
      <w:tr>
        <w:trPr>
          <w:cantSplit/>
        </w:trPr>
        <w:tc>
          <w:tcPr>
            <w:tcW w:type="dxa" w:w="787"/>
          </w:tcPr>
          <w:p>
            <w:pPr>
              <w:keepNext w:val="0"/>
              <w:keepLines w:val="0"/>
              <w:spacing w:before="0" w:after="0"/>
              <w:jc w:val="left"/>
            </w:pPr>
            <w:r>
              <w:rPr>
                <w:b w:val="0"/>
                <w:i w:val="0"/>
                <w:smallCaps w:val="0"/>
                <w:sz w:val="16"/>
              </w:rPr>
              <w:t>t+3</w:t>
            </w:r>
          </w:p>
        </w:tc>
        <w:tc>
          <w:tcPr>
            <w:tcW w:type="dxa" w:w="2049"/>
          </w:tcPr>
          <w:p>
            <w:pPr>
              <w:keepNext w:val="0"/>
              <w:keepLines w:val="0"/>
              <w:spacing w:before="0" w:after="0"/>
              <w:jc w:val="left"/>
            </w:pPr>
            <w:r>
              <w:rPr>
                <w:b/>
                <w:i w:val="0"/>
                <w:smallCaps w:val="0"/>
                <w:sz w:val="16"/>
              </w:rPr>
              <w:t>GRU ensemble, augmented</w:t>
            </w:r>
          </w:p>
        </w:tc>
        <w:tc>
          <w:tcPr>
            <w:tcW w:type="dxa" w:w="1272"/>
          </w:tcPr>
          <w:p>
            <w:pPr>
              <w:keepNext w:val="0"/>
              <w:keepLines w:val="0"/>
              <w:spacing w:before="0" w:after="0"/>
              <w:jc w:val="center"/>
            </w:pPr>
            <w:r>
              <w:rPr>
                <w:b/>
                <w:i w:val="0"/>
                <w:smallCaps w:val="0"/>
                <w:sz w:val="16"/>
              </w:rPr>
              <w:t>86.0</w:t>
            </w:r>
          </w:p>
        </w:tc>
        <w:tc>
          <w:tcPr>
            <w:tcW w:type="dxa" w:w="2146"/>
          </w:tcPr>
          <w:p>
            <w:pPr>
              <w:keepNext w:val="0"/>
              <w:keepLines w:val="0"/>
              <w:spacing w:before="0" w:after="0"/>
              <w:jc w:val="center"/>
            </w:pPr>
            <w:r>
              <w:rPr>
                <w:b/>
                <w:i w:val="0"/>
                <w:smallCaps w:val="0"/>
                <w:sz w:val="16"/>
              </w:rPr>
              <w:t>75.5</w:t>
            </w:r>
          </w:p>
        </w:tc>
        <w:tc>
          <w:tcPr>
            <w:tcW w:type="dxa" w:w="593"/>
          </w:tcPr>
          <w:p>
            <w:pPr>
              <w:keepNext w:val="0"/>
              <w:keepLines w:val="0"/>
              <w:spacing w:before="0" w:after="0"/>
              <w:jc w:val="center"/>
            </w:pPr>
            <w:r>
              <w:rPr>
                <w:b/>
                <w:i w:val="0"/>
                <w:smallCaps w:val="0"/>
                <w:sz w:val="16"/>
              </w:rPr>
              <w:t>86.9</w:t>
            </w:r>
          </w:p>
        </w:tc>
        <w:tc>
          <w:tcPr>
            <w:tcW w:type="dxa" w:w="1175"/>
          </w:tcPr>
          <w:p>
            <w:pPr>
              <w:keepNext w:val="0"/>
              <w:keepLines w:val="0"/>
              <w:spacing w:before="0" w:after="0"/>
              <w:jc w:val="center"/>
            </w:pPr>
            <w:r>
              <w:rPr>
                <w:b/>
                <w:i w:val="0"/>
                <w:smallCaps w:val="0"/>
                <w:sz w:val="16"/>
              </w:rPr>
              <w:t>96.8</w:t>
            </w:r>
          </w:p>
        </w:tc>
        <w:tc>
          <w:tcPr>
            <w:tcW w:type="dxa" w:w="1175"/>
          </w:tcPr>
          <w:p>
            <w:pPr>
              <w:keepNext w:val="0"/>
              <w:keepLines w:val="0"/>
              <w:spacing w:before="0" w:after="0"/>
              <w:jc w:val="center"/>
            </w:pPr>
            <w:r>
              <w:rPr>
                <w:b/>
                <w:i w:val="0"/>
                <w:smallCaps w:val="0"/>
                <w:sz w:val="16"/>
              </w:rPr>
              <w:t>56.7</w:t>
            </w:r>
          </w:p>
        </w:tc>
        <w:tc>
          <w:tcPr>
            <w:tcW w:type="dxa" w:w="884"/>
          </w:tcPr>
          <w:p>
            <w:pPr>
              <w:keepNext w:val="0"/>
              <w:keepLines w:val="0"/>
              <w:spacing w:before="0" w:after="0"/>
              <w:jc w:val="center"/>
            </w:pPr>
            <w:r>
              <w:rPr>
                <w:b/>
                <w:i w:val="0"/>
                <w:smallCaps w:val="0"/>
                <w:sz w:val="16"/>
              </w:rPr>
              <w:t>0.28</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5).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5" name="Picture 5"/>
                  <wp:cNvGraphicFramePr>
                    <a:graphicFrameLocks noChangeAspect="1"/>
                  </wp:cNvGraphicFramePr>
                  <a:graphic>
                    <a:graphicData uri="http://schemas.openxmlformats.org/drawingml/2006/picture">
                      <pic:pic>
                        <pic:nvPicPr>
                          <pic:cNvPr id="0" name="fig_beam_training.png"/>
                          <pic:cNvPicPr/>
                        </pic:nvPicPr>
                        <pic:blipFill>
                          <a:blip r:embed="rId13"/>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6).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6" name="Picture 6"/>
                  <wp:cNvGraphicFramePr>
                    <a:graphicFrameLocks noChangeAspect="1"/>
                  </wp:cNvGraphicFramePr>
                  <a:graphic>
                    <a:graphicData uri="http://schemas.openxmlformats.org/drawingml/2006/picture">
                      <pic:pic>
                        <pic:nvPicPr>
                          <pic:cNvPr id="0" name="fig_conformal.png"/>
                          <pic:cNvPicPr/>
                        </pic:nvPicPr>
                        <pic:blipFill>
                          <a:blip r:embed="rId14"/>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7).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7" name="Picture 7"/>
                  <wp:cNvGraphicFramePr>
                    <a:graphicFrameLocks noChangeAspect="1"/>
                  </wp:cNvGraphicFramePr>
                  <a:graphic>
                    <a:graphicData uri="http://schemas.openxmlformats.org/drawingml/2006/picture">
                      <pic:pic>
                        <pic:nvPicPr>
                          <pic:cNvPr id="0" name="fig_closed_loop.png"/>
                          <pic:cNvPicPr/>
                        </pic:nvPicPr>
                        <pic:blipFill>
                          <a:blip r:embed="rId15"/>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8).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4.4 m). The UAV is nearly overhead (elevation 71–90°) and its height is not recorded consistently, so a pixel fixes the direction but not the distance; in the frames with the largest disagreement the detection is visibly on the UAV. The pixel jumps by more than 100 px between consecutive frames in 1.8% of frame pairs, while the GPS moves at most 2.2 m (99th percentile), so about 1% of frames are misdetected.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8" name="Picture 8"/>
                  <wp:cNvGraphicFramePr>
                    <a:graphicFrameLocks noChangeAspect="1"/>
                  </wp:cNvGraphicFramePr>
                  <a:graphic>
                    <a:graphicData uri="http://schemas.openxmlformats.org/drawingml/2006/picture">
                      <pic:pic>
                        <pic:nvPicPr>
                          <pic:cNvPr id="0" name="fig_side_information.png"/>
                          <pic:cNvPicPr/>
                        </pic:nvPicPr>
                        <pic:blipFill>
                          <a:blip r:embed="rId16"/>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9).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9" name="Picture 9"/>
                  <wp:cNvGraphicFramePr>
                    <a:graphicFrameLocks noChangeAspect="1"/>
                  </wp:cNvGraphicFramePr>
                  <a:graphic>
                    <a:graphicData uri="http://schemas.openxmlformats.org/drawingml/2006/picture">
                      <pic:pic>
                        <pic:nvPicPr>
                          <pic:cNvPr id="0" name="fig_significance.png"/>
                          <pic:cNvPicPr/>
                        </pic:nvPicPr>
                        <pic:blipFill>
                          <a:blip r:embed="rId17"/>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10).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10" name="Picture 10"/>
                  <wp:cNvGraphicFramePr>
                    <a:graphicFrameLocks noChangeAspect="1"/>
                  </wp:cNvGraphicFramePr>
                  <a:graphic>
                    <a:graphicData uri="http://schemas.openxmlformats.org/drawingml/2006/picture">
                      <pic:pic>
                        <pic:nvPicPr>
                          <pic:cNvPr id="0" name="fig_side_tracking.png"/>
                          <pic:cNvPicPr/>
                        </pic:nvPicPr>
                        <pic:blipFill>
                          <a:blip r:embed="rId18"/>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10.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