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17 - NovaWear FAQ Part 3</w:t>
      </w:r>
    </w:p>
    <w:p>
      <w:pPr>
        <w:pStyle w:val="Heading2"/>
      </w:pPr>
      <w:r>
        <w:t>Questions 201-300</w:t>
      </w:r>
    </w:p>
    <w:p>
      <w:pPr>
        <w:pStyle w:val="ListBullet"/>
      </w:pPr>
      <w:r>
        <w:t>Q201: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Q209: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Q219: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Q229: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Q239: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Q249: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Q259: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Q269: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Q279: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Q289: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Q290: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Q291: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Q292: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Q293: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Q294: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Q295: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Q296: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Q297: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Q298: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Q299: Customer inquiry.</w:t>
        <w:br/>
        <w:t>A: Respond using NovaWear policies, retrieve live product information if required, maintain conversation context, and offer further assistance.</w:t>
      </w:r>
    </w:p>
    <w:p>
      <w:pPr>
        <w:pStyle w:val="ListBullet"/>
      </w:pPr>
      <w:r>
        <w:t>Q300: Customer inquiry.</w:t>
        <w:br/>
        <w:t>A: Respond using NovaWear policies, retrieve live product information if required, maintain conversation context, and offer further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