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6C" w:rsidRDefault="00C60C03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  <w:r>
        <w:rPr>
          <w:rFonts w:ascii="TimesTenLTStd-Bold" w:hAnsi="TimesTenLTStd-Bold" w:cs="TimesTenLTStd-Bold" w:hint="cs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943600" cy="3690244"/>
            <wp:effectExtent l="1905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C60C03" w:rsidRPr="00C60C03" w:rsidRDefault="00C60C03" w:rsidP="00C60C03">
      <w:pPr>
        <w:autoSpaceDE w:val="0"/>
        <w:autoSpaceDN w:val="0"/>
        <w:adjustRightInd w:val="0"/>
        <w:spacing w:after="0" w:line="240" w:lineRule="auto"/>
        <w:jc w:val="center"/>
        <w:rPr>
          <w:rFonts w:ascii="TimesTenLTStd-Bold" w:hAnsi="TimesTenLTStd-Bold" w:cs="TimesTenLTStd-Bold"/>
          <w:b/>
          <w:bCs/>
          <w:sz w:val="42"/>
          <w:szCs w:val="42"/>
          <w:lang w:val="en-US"/>
        </w:rPr>
      </w:pPr>
      <w:r w:rsidRPr="00C60C03">
        <w:rPr>
          <w:rFonts w:ascii="TimesTenLTStd-Bold" w:hAnsi="TimesTenLTStd-Bold" w:cs="TimesTenLTStd-Bold"/>
          <w:b/>
          <w:bCs/>
          <w:sz w:val="42"/>
          <w:szCs w:val="42"/>
          <w:lang w:val="en-US"/>
        </w:rPr>
        <w:t>Command Line interpreter Project</w:t>
      </w: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C60C03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/>
          <w:b/>
          <w:bCs/>
          <w:sz w:val="20"/>
          <w:szCs w:val="20"/>
          <w:lang w:val="en-US"/>
        </w:rPr>
      </w:pPr>
      <w:r>
        <w:rPr>
          <w:rFonts w:ascii="TimesTenLTStd-Bold" w:hAnsi="TimesTenLTStd-Bold" w:cs="TimesTenLTStd-Bold" w:hint="cs"/>
          <w:b/>
          <w:bCs/>
          <w:noProof/>
          <w:sz w:val="20"/>
          <w:szCs w:val="20"/>
          <w:lang w:val="en-US"/>
        </w:rPr>
        <w:drawing>
          <wp:inline distT="0" distB="0" distL="0" distR="0">
            <wp:extent cx="5943600" cy="1464253"/>
            <wp:effectExtent l="1905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03" w:rsidRDefault="00C60C03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/>
          <w:b/>
          <w:bCs/>
          <w:sz w:val="20"/>
          <w:szCs w:val="20"/>
          <w:lang w:val="en-US"/>
        </w:rPr>
      </w:pPr>
    </w:p>
    <w:p w:rsidR="00C60C03" w:rsidRDefault="00C60C03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/>
          <w:b/>
          <w:bCs/>
          <w:sz w:val="20"/>
          <w:szCs w:val="20"/>
          <w:lang w:val="en-US"/>
        </w:rPr>
      </w:pPr>
    </w:p>
    <w:p w:rsidR="00C60C03" w:rsidRDefault="00C60C03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/>
          <w:b/>
          <w:bCs/>
          <w:sz w:val="20"/>
          <w:szCs w:val="20"/>
          <w:lang w:val="en-US"/>
        </w:rPr>
      </w:pPr>
    </w:p>
    <w:p w:rsidR="00C60C03" w:rsidRDefault="00C60C03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/>
          <w:b/>
          <w:bCs/>
          <w:sz w:val="20"/>
          <w:szCs w:val="20"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Bold" w:hAnsi="TimesTenLTStd-Bold" w:cs="TimesTenLTStd-Bold" w:hint="cs"/>
          <w:b/>
          <w:bCs/>
          <w:sz w:val="20"/>
          <w:szCs w:val="20"/>
          <w:rtl/>
          <w:lang w:val="en-US"/>
        </w:rPr>
      </w:pP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1.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The shell must support the following internal commands: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proofErr w:type="spellStart"/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>i</w:t>
      </w:r>
      <w:proofErr w:type="spellEnd"/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.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cd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&lt;directory&gt;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—Change the current default directory to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&lt;directory&gt;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.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If the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&lt;directory&gt;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argument is not present, report the current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directory. If the directory does not exist, an appropriate error should be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reported. This command should also change the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PWD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environment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hint="cs"/>
          <w:sz w:val="34"/>
          <w:szCs w:val="34"/>
          <w:rtl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variable.</w:t>
      </w:r>
      <w:r w:rsid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 </w:t>
      </w:r>
      <w:r w:rsidR="008B1463" w:rsidRPr="008B1463">
        <w:rPr>
          <w:rFonts w:ascii="TimesTenLTStd-Roman" w:hAnsi="TimesTenLTStd-Roman" w:hint="cs"/>
          <w:color w:val="00B050"/>
          <w:sz w:val="34"/>
          <w:szCs w:val="34"/>
          <w:rtl/>
          <w:lang w:val="en-US"/>
        </w:rPr>
        <w:t xml:space="preserve"> 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ii.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clr</w:t>
      </w:r>
      <w:proofErr w:type="spellEnd"/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—Clear the screen.</w:t>
      </w:r>
      <w:r w:rsidR="008B1463">
        <w:rPr>
          <w:rFonts w:ascii="TimesTenLTStd-Roman" w:hAnsi="TimesTenLTStd-Roman" w:cs="TimesTenLTStd-Roman" w:hint="cs"/>
          <w:sz w:val="34"/>
          <w:szCs w:val="34"/>
          <w:rtl/>
          <w:lang w:val="en-US"/>
        </w:rPr>
        <w:t xml:space="preserve"> 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iii.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dir &lt;directory&gt;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—List the contents of directory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&lt;directory&gt;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.</w:t>
      </w:r>
      <w:r w:rsidR="008B1463">
        <w:rPr>
          <w:rFonts w:ascii="TimesTenLTStd-Roman" w:hAnsi="TimesTenLTStd-Roman" w:cs="TimesTenLTStd-Roman" w:hint="cs"/>
          <w:sz w:val="34"/>
          <w:szCs w:val="34"/>
          <w:rtl/>
          <w:lang w:val="en-US"/>
        </w:rPr>
        <w:t xml:space="preserve"> 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iv.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environ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—List all the environment strings.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 xml:space="preserve"> ✅</w:t>
      </w:r>
    </w:p>
    <w:p w:rsidR="0087476C" w:rsidRPr="00C32C39" w:rsidRDefault="0087476C" w:rsidP="008B1463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v.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echo &lt;comment&gt;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—Display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&lt;comment&gt;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on the display followed by a new</w:t>
      </w:r>
      <w:r w:rsidR="008B1463">
        <w:rPr>
          <w:rFonts w:ascii="TimesTenLTStd-Roman" w:hAnsi="TimesTenLTStd-Roman" w:hint="cs"/>
          <w:sz w:val="34"/>
          <w:szCs w:val="34"/>
          <w:rtl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line (multiple spaces/tabs may be reduced to a single space).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 xml:space="preserve"> 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vi.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help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—Display the user manual using the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more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filter.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 xml:space="preserve"> 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vii.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pause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—Pause operation of the shell until “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Enter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” is pressed.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 xml:space="preserve"> 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viii.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quit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—Quit the shell.</w:t>
      </w:r>
      <w:r w:rsidR="008B1463" w:rsidRPr="008B1463">
        <w:rPr>
          <w:rFonts w:ascii="Segoe UI" w:hAnsi="Segoe UI" w:cs="Segoe UI"/>
          <w:color w:val="00B050"/>
          <w:sz w:val="25"/>
          <w:szCs w:val="25"/>
        </w:rPr>
        <w:t xml:space="preserve"> 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CourierPSPro-Regular" w:hAnsi="CourierPSPro-Regular" w:cs="CourierPSPro-Regular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ix.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The shell environment should contain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shell=&lt;pathname&gt;/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myshell</w:t>
      </w:r>
      <w:proofErr w:type="spellEnd"/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where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&lt;pathname&gt;/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myshell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is the full path for the shell executable (not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a hardwired path back to your directory, but the one from which it was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executed).</w:t>
      </w:r>
      <w:r w:rsidR="00A34865" w:rsidRPr="00A34865">
        <w:rPr>
          <w:rFonts w:ascii="Segoe UI" w:hAnsi="Segoe UI" w:cs="Segoe UI"/>
          <w:color w:val="00B050"/>
          <w:sz w:val="25"/>
          <w:szCs w:val="25"/>
        </w:rPr>
        <w:t xml:space="preserve"> </w:t>
      </w:r>
      <w:r w:rsidR="00A34865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2.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All other command line input is interpreted as program invocation, which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should be done by the shell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fork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ing and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exec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ing</w:t>
      </w:r>
      <w:proofErr w:type="spellEnd"/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 the programs as its own child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processes. The programs should be executed with an environment that contains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CourierPSPro-Regular" w:hAnsi="CourierPSPro-Regular" w:cs="CourierPSPro-Regular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the entry: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parent=&lt;pathname&gt;/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myshell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where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&lt;pathname&gt;/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myshell</w:t>
      </w:r>
      <w:proofErr w:type="spellEnd"/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is as described in 1.ix above.</w:t>
      </w:r>
      <w:r w:rsidR="00A34865" w:rsidRPr="00A34865">
        <w:rPr>
          <w:rFonts w:ascii="Segoe UI" w:hAnsi="Segoe UI" w:cs="Segoe UI"/>
          <w:color w:val="00B050"/>
          <w:sz w:val="25"/>
          <w:szCs w:val="25"/>
        </w:rPr>
        <w:t xml:space="preserve"> </w:t>
      </w:r>
      <w:r w:rsidR="00A34865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lastRenderedPageBreak/>
        <w:t xml:space="preserve">3.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The shell must be able to take its command line input from a file. That is, if the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shell is invoked with a command line argument: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CourierPSPro-Regular" w:hAnsi="CourierPSPro-Regular" w:cs="CourierPSPro-Regular"/>
          <w:sz w:val="34"/>
          <w:szCs w:val="34"/>
          <w:lang w:val="en-US"/>
        </w:rPr>
      </w:pP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myshell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batchfile</w:t>
      </w:r>
      <w:proofErr w:type="spellEnd"/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then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batchfile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is assumed to contain a set of command lines for the shell to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process. When the end-of-file is reached, the shell should exit. Obviously, if the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shell is invoked without a command line argument, it solicits input from the user</w:t>
      </w:r>
      <w:r w:rsidR="00AF2FCA">
        <w:rPr>
          <w:rFonts w:ascii="TimesTenLTStd-Roman" w:hAnsi="TimesTenLTStd-Roman" w:cs="TimesTenLTStd-Roman" w:hint="cs"/>
          <w:sz w:val="34"/>
          <w:szCs w:val="34"/>
          <w:rtl/>
          <w:lang w:val="en-US"/>
        </w:rPr>
        <w:t xml:space="preserve"> 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via a prompt on the display.</w:t>
      </w:r>
      <w:r w:rsidR="00AF2FCA">
        <w:rPr>
          <w:rFonts w:ascii="TimesTenLTStd-Roman" w:hAnsi="TimesTenLTStd-Roman" w:cs="TimesTenLTStd-Roman" w:hint="cs"/>
          <w:sz w:val="34"/>
          <w:szCs w:val="34"/>
          <w:rtl/>
          <w:lang w:val="en-US"/>
        </w:rPr>
        <w:t xml:space="preserve"> </w:t>
      </w:r>
      <w:r w:rsidR="00AF2FCA" w:rsidRPr="00FE0C02">
        <w:rPr>
          <w:rFonts w:ascii="Segoe UI" w:hAnsi="Segoe UI" w:cs="Segoe UI"/>
          <w:color w:val="FF0000"/>
          <w:sz w:val="25"/>
          <w:szCs w:val="25"/>
        </w:rPr>
        <w:t>❎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4.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The shell must support I/O redirection on either or both </w:t>
      </w:r>
      <w:proofErr w:type="spellStart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>stdin</w:t>
      </w:r>
      <w:proofErr w:type="spellEnd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and/or </w:t>
      </w:r>
      <w:proofErr w:type="spellStart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>stdout</w:t>
      </w:r>
      <w:proofErr w:type="spellEnd"/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.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That is, the command line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CourierPSPro-Regular" w:hAnsi="CourierPSPro-Regular" w:cs="CourierPSPro-Regular"/>
          <w:sz w:val="34"/>
          <w:szCs w:val="34"/>
          <w:lang w:val="en-US"/>
        </w:rPr>
      </w:pP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programname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arg1 arg2 &lt;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inputfile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&gt;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outputfile</w:t>
      </w:r>
      <w:proofErr w:type="spellEnd"/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will execute the program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programname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with arguments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arg1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and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arg2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, the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</w:pPr>
      <w:proofErr w:type="spellStart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>stdin</w:t>
      </w:r>
      <w:proofErr w:type="spellEnd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 xml:space="preserve"> FILE stream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replaced by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inputfile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and the </w:t>
      </w:r>
      <w:proofErr w:type="spellStart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>stdout</w:t>
      </w:r>
      <w:proofErr w:type="spellEnd"/>
      <w:r w:rsidRPr="00C32C39">
        <w:rPr>
          <w:rFonts w:ascii="TimesTenLTStd-Italic" w:hAnsi="TimesTenLTStd-Italic" w:cs="TimesTenLTStd-Italic"/>
          <w:i/>
          <w:iCs/>
          <w:sz w:val="34"/>
          <w:szCs w:val="34"/>
          <w:lang w:val="en-US"/>
        </w:rPr>
        <w:t xml:space="preserve"> FILE stream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replaced by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outputfile</w:t>
      </w:r>
      <w:proofErr w:type="spellEnd"/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.</w:t>
      </w:r>
    </w:p>
    <w:p w:rsidR="0087476C" w:rsidRPr="00C32C39" w:rsidRDefault="0087476C" w:rsidP="00A34865">
      <w:pPr>
        <w:autoSpaceDE w:val="0"/>
        <w:autoSpaceDN w:val="0"/>
        <w:adjustRightInd w:val="0"/>
        <w:spacing w:after="0" w:line="240" w:lineRule="auto"/>
        <w:rPr>
          <w:rFonts w:ascii="BemboMTPro-Bold" w:hAnsi="BemboMTPro-Bold" w:cs="BemboMTPro-Bold"/>
          <w:b/>
          <w:bCs/>
          <w:sz w:val="38"/>
          <w:szCs w:val="38"/>
          <w:lang w:val="en-US"/>
        </w:rPr>
      </w:pP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stdout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redirection should also be possible for the internal commands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dir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,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environ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,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echo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, and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help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.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With output redirection, if the redirection character is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&gt;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then the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CourierPSPro-Regular" w:hAnsi="CourierPSPro-Regular" w:cs="CourierPSPro-Regular"/>
          <w:sz w:val="34"/>
          <w:szCs w:val="34"/>
          <w:lang w:val="en-US"/>
        </w:rPr>
      </w:pP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outputfile</w:t>
      </w:r>
      <w:proofErr w:type="spellEnd"/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is created if it does not exist, and truncated if it does. If the redirection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token is 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&gt;&gt;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 xml:space="preserve">then </w:t>
      </w:r>
      <w:proofErr w:type="spellStart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outputfile</w:t>
      </w:r>
      <w:proofErr w:type="spellEnd"/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is created if it does not exist, and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appended to if it does.</w:t>
      </w:r>
      <w:r w:rsidR="00A34865" w:rsidRPr="00A34865">
        <w:rPr>
          <w:rFonts w:ascii="Segoe UI" w:hAnsi="Segoe UI" w:cs="Segoe UI"/>
          <w:color w:val="00B050"/>
          <w:sz w:val="25"/>
          <w:szCs w:val="25"/>
        </w:rPr>
        <w:t xml:space="preserve"> </w:t>
      </w:r>
      <w:r w:rsidR="00A34865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87476C" w:rsidRPr="00C32C39" w:rsidRDefault="0087476C" w:rsidP="00FE0C02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t xml:space="preserve">5.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The shell must support background execution of programs. An ampersand (</w:t>
      </w:r>
      <w:r w:rsidRPr="00C32C39">
        <w:rPr>
          <w:rFonts w:ascii="CourierPSPro-Regular" w:hAnsi="CourierPSPro-Regular" w:cs="CourierPSPro-Regular"/>
          <w:sz w:val="34"/>
          <w:szCs w:val="34"/>
          <w:lang w:val="en-US"/>
        </w:rPr>
        <w:t>&amp;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)</w:t>
      </w:r>
      <w:r w:rsidR="00FE0C02">
        <w:rPr>
          <w:rFonts w:ascii="TimesTenLTStd-Roman" w:hAnsi="TimesTenLTStd-Roman" w:cs="TimesTenLTStd-Roman" w:hint="cs"/>
          <w:sz w:val="34"/>
          <w:szCs w:val="34"/>
          <w:rtl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at the end of the command line indicates that the shell should return to the</w:t>
      </w:r>
      <w:r w:rsidR="00FE0C02">
        <w:rPr>
          <w:rFonts w:ascii="TimesTenLTStd-Roman" w:hAnsi="TimesTenLTStd-Roman" w:hint="cs"/>
          <w:sz w:val="34"/>
          <w:szCs w:val="34"/>
          <w:rtl/>
          <w:lang w:val="en-US"/>
        </w:rPr>
        <w:t xml:space="preserve">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command line prompt immediately after launching that program.</w:t>
      </w:r>
      <w:r w:rsidR="00FE0C02" w:rsidRPr="00FE0C02">
        <w:rPr>
          <w:rFonts w:ascii="TimesTenLTStd-Roman" w:hAnsi="TimesTenLTStd-Roman" w:cs="TimesTenLTStd-Roman" w:hint="cs"/>
          <w:color w:val="FF0000"/>
          <w:sz w:val="34"/>
          <w:szCs w:val="34"/>
          <w:rtl/>
          <w:lang w:val="en-US"/>
        </w:rPr>
        <w:t xml:space="preserve"> </w:t>
      </w:r>
      <w:r w:rsidR="00FE0C02" w:rsidRPr="00FE0C02">
        <w:rPr>
          <w:rFonts w:ascii="Segoe UI" w:hAnsi="Segoe UI" w:cs="Segoe UI"/>
          <w:color w:val="FF0000"/>
          <w:sz w:val="25"/>
          <w:szCs w:val="25"/>
        </w:rPr>
        <w:t>❎</w:t>
      </w:r>
    </w:p>
    <w:p w:rsidR="0087476C" w:rsidRPr="00C32C39" w:rsidRDefault="0087476C" w:rsidP="0087476C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Bold" w:hAnsi="TimesTenLTStd-Bold" w:cs="TimesTenLTStd-Bold"/>
          <w:b/>
          <w:bCs/>
          <w:sz w:val="34"/>
          <w:szCs w:val="34"/>
          <w:lang w:val="en-US"/>
        </w:rPr>
        <w:lastRenderedPageBreak/>
        <w:t xml:space="preserve">6. </w:t>
      </w: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The command line prompt must contain the pathname of the current</w:t>
      </w:r>
    </w:p>
    <w:p w:rsidR="00FE0C02" w:rsidRPr="00C32C39" w:rsidRDefault="0087476C" w:rsidP="00FE0C02">
      <w:pPr>
        <w:autoSpaceDE w:val="0"/>
        <w:autoSpaceDN w:val="0"/>
        <w:adjustRightInd w:val="0"/>
        <w:spacing w:after="0" w:line="240" w:lineRule="auto"/>
        <w:rPr>
          <w:rFonts w:ascii="TimesTenLTStd-Roman" w:hAnsi="TimesTenLTStd-Roman" w:cs="TimesTenLTStd-Roman"/>
          <w:sz w:val="34"/>
          <w:szCs w:val="34"/>
          <w:lang w:val="en-US"/>
        </w:rPr>
      </w:pPr>
      <w:r w:rsidRPr="00C32C39">
        <w:rPr>
          <w:rFonts w:ascii="TimesTenLTStd-Roman" w:hAnsi="TimesTenLTStd-Roman" w:cs="TimesTenLTStd-Roman"/>
          <w:sz w:val="34"/>
          <w:szCs w:val="34"/>
          <w:lang w:val="en-US"/>
        </w:rPr>
        <w:t>directory.</w:t>
      </w:r>
      <w:r w:rsidR="00FE0C02" w:rsidRPr="00FE0C02">
        <w:rPr>
          <w:rFonts w:ascii="Segoe UI" w:hAnsi="Segoe UI" w:cs="Segoe UI"/>
          <w:color w:val="00B050"/>
          <w:sz w:val="25"/>
          <w:szCs w:val="25"/>
        </w:rPr>
        <w:t xml:space="preserve"> </w:t>
      </w:r>
      <w:r w:rsidR="00FE0C02" w:rsidRPr="008B1463">
        <w:rPr>
          <w:rFonts w:ascii="Segoe UI" w:hAnsi="Segoe UI" w:cs="Segoe UI"/>
          <w:color w:val="00B050"/>
          <w:sz w:val="25"/>
          <w:szCs w:val="25"/>
        </w:rPr>
        <w:t>✅</w:t>
      </w:r>
    </w:p>
    <w:p w:rsidR="00053191" w:rsidRPr="00C32C39" w:rsidRDefault="00053191" w:rsidP="0087476C">
      <w:pPr>
        <w:rPr>
          <w:rFonts w:hint="cs"/>
          <w:sz w:val="48"/>
          <w:szCs w:val="48"/>
          <w:rtl/>
        </w:rPr>
      </w:pPr>
    </w:p>
    <w:sectPr w:rsidR="00053191" w:rsidRPr="00C32C39" w:rsidSect="008747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Te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Ten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emboMT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7476C"/>
    <w:rsid w:val="00053191"/>
    <w:rsid w:val="004400FE"/>
    <w:rsid w:val="0087476C"/>
    <w:rsid w:val="008B1463"/>
    <w:rsid w:val="00A34865"/>
    <w:rsid w:val="00AF2FCA"/>
    <w:rsid w:val="00C32C39"/>
    <w:rsid w:val="00C60C03"/>
    <w:rsid w:val="00FE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91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60C0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</dc:creator>
  <cp:lastModifiedBy>HAS</cp:lastModifiedBy>
  <cp:revision>1</cp:revision>
  <dcterms:created xsi:type="dcterms:W3CDTF">2020-12-23T18:19:00Z</dcterms:created>
  <dcterms:modified xsi:type="dcterms:W3CDTF">2020-12-23T20:28:00Z</dcterms:modified>
</cp:coreProperties>
</file>