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100"/>
      </w:pPr>
      <w:r>
        <w:rPr>
          <w:b/>
          <w:bCs/>
          <w:color w:val="0F2740"/>
          <w:sz w:val="64"/>
          <w:szCs w:val="64"/>
        </w:rPr>
        <w:t xml:space="preserve">DocVault — OSCE Module</w:t>
      </w:r>
    </w:p>
    <w:p>
      <w:pPr>
        <w:spacing w:after="80"/>
      </w:pPr>
      <w:r>
        <w:rPr>
          <w:b/>
          <w:bCs/>
          <w:color w:val="0E7C7B"/>
          <w:sz w:val="24"/>
          <w:szCs w:val="24"/>
        </w:rPr>
        <w:t xml:space="preserve">Voice + video AI examiner, scored against UK exam rubrics, with mock-exam packs as the high-margin product line</w:t>
      </w:r>
    </w:p>
    <w:p>
      <w:pPr>
        <w:spacing w:after="600"/>
      </w:pPr>
      <w:r>
        <w:rPr>
          <w:i/>
          <w:iCs/>
          <w:color w:val="5A647A"/>
          <w:sz w:val="21"/>
          <w:szCs w:val="21"/>
        </w:rPr>
        <w:t xml:space="preserve">Exam map, persona library design, voice + avatar architecture, rubric pattern, cost model, phased rollout</w:t>
      </w:r>
    </w:p>
    <w:p>
      <w:pPr>
        <w:pBdr>
          <w:bottom w:val="single" w:color="0E7C7B" w:sz="6" w:space="6"/>
        </w:pBdr>
        <w:spacing w:after="100"/>
      </w:pPr>
      <w:r>
        <w:t xml:space="preserve"> </w:t>
      </w:r>
    </w:p>
    <w:p>
      <w:pPr>
        <w:spacing w:after="120" w:line="300"/>
      </w:pPr>
      <w:r>
        <w:rPr>
          <w:b/>
          <w:bCs/>
          <w:color w:val="111827"/>
          <w:sz w:val="21"/>
          <w:szCs w:val="21"/>
        </w:rPr>
        <w:t xml:space="preserve">Companion to: </w:t>
      </w:r>
      <w:r>
        <w:rPr>
          <w:color w:val="111827"/>
          <w:sz w:val="21"/>
          <w:szCs w:val="21"/>
        </w:rPr>
        <w:t xml:space="preserve">DocVault Adaptive Engine + Video Tutor spec  •  </w:t>
      </w:r>
      <w:r>
        <w:rPr>
          <w:b/>
          <w:bCs/>
          <w:color w:val="111827"/>
          <w:sz w:val="21"/>
          <w:szCs w:val="21"/>
        </w:rPr>
        <w:t xml:space="preserve">Date: </w:t>
      </w:r>
      <w:r>
        <w:rPr>
          <w:color w:val="111827"/>
          <w:sz w:val="21"/>
          <w:szCs w:val="21"/>
        </w:rPr>
        <w:t xml:space="preserve">May 2026</w:t>
      </w:r>
    </w:p>
    <w:p>
      <w:r>
        <w:br w:type="page"/>
      </w:r>
    </w:p>
    <w:p>
      <w:pPr>
        <w:pStyle w:val="Heading1"/>
        <w:spacing w:after="160" w:before="360"/>
      </w:pPr>
      <w:r>
        <w:rPr>
          <w:b/>
          <w:bCs/>
          <w:color w:val="0F2740"/>
          <w:sz w:val="36"/>
          <w:szCs w:val="36"/>
        </w:rPr>
        <w:t xml:space="preserve">Why OSCE is the high-margin endgame</w:t>
      </w:r>
    </w:p>
    <w:p>
      <w:pPr>
        <w:spacing w:after="120" w:line="300"/>
      </w:pPr>
      <w:r>
        <w:rPr>
          <w:color w:val="111827"/>
          <w:sz w:val="21"/>
          <w:szCs w:val="21"/>
        </w:rPr>
        <w:t xml:space="preserve">Written banks are a content business — competitive, fragmented, hard to differentiate after year one. </w:t>
      </w:r>
      <w:r>
        <w:rPr>
          <w:b/>
          <w:bCs/>
          <w:color w:val="111827"/>
          <w:sz w:val="21"/>
          <w:szCs w:val="21"/>
        </w:rPr>
        <w:t xml:space="preserve">OSCE is a coaching business</w:t>
      </w:r>
      <w:r>
        <w:rPr>
          <w:color w:val="111827"/>
          <w:sz w:val="21"/>
          <w:szCs w:val="21"/>
        </w:rPr>
        <w:t xml:space="preserve">, and coaching businesses earn premium pricing, retain longer, and compound through reputation. The price points written-exam users tolerate (£60–180/year) jump 5–10× for OSCE prep: PLAB 2 candidates regularly pay £400–800 for in-person mock circuits, MRCS Part B candidates spend £300–600 on tutorial weeks, MRCGP SCA candidates pay £200–500 for simulated consultations. Meanwhile the existing AI players — Geeky Medics virtual patients, PatientGPT, Dartmouth's actor — are early, fragmented, and </w:t>
      </w:r>
      <w:r>
        <w:rPr>
          <w:b/>
          <w:bCs/>
          <w:color w:val="111827"/>
          <w:sz w:val="21"/>
          <w:szCs w:val="21"/>
        </w:rPr>
        <w:t xml:space="preserve">none of them combine UK rubric grounding + persona library + voice/video analysis + adaptive feedback that feeds the planner</w:t>
      </w:r>
      <w:r>
        <w:rPr>
          <w:color w:val="111827"/>
          <w:sz w:val="21"/>
          <w:szCs w:val="21"/>
        </w:rPr>
        <w:t xml:space="preserve">. That's the open lane.</w:t>
      </w:r>
    </w:p>
    <w:p>
      <w:pPr>
        <w:spacing w:after="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24"/>
              <w:left w:val="single" w:color="0E7C7B" w:sz="4"/>
              <w:bottom w:val="single" w:color="EAF6F5" w:sz="4"/>
              <w:right w:val="single" w:color="EAF6F5" w:sz="4"/>
            </w:tcBorders>
            <w:shd w:fill="EAF6F5" w:val="clear"/>
            <w:tcMar>
              <w:top w:type="dxa" w:w="160"/>
              <w:left w:type="dxa" w:w="200"/>
              <w:bottom w:type="dxa" w:w="160"/>
              <w:right w:type="dxa" w:w="200"/>
            </w:tcMar>
          </w:tcPr>
          <w:p>
            <w:pPr>
              <w:spacing w:after="60"/>
            </w:pPr>
            <w:r>
              <w:rPr>
                <w:b/>
                <w:bCs/>
                <w:color w:val="0E7C7B"/>
                <w:sz w:val="22"/>
                <w:szCs w:val="22"/>
              </w:rPr>
              <w:t xml:space="preserve">The bet, in one paragraph</w:t>
            </w:r>
          </w:p>
          <w:p>
            <w:pPr>
              <w:spacing w:after="0" w:line="300"/>
            </w:pPr>
            <w:r>
              <w:rPr>
                <w:color w:val="111827"/>
                <w:sz w:val="21"/>
                <w:szCs w:val="21"/>
              </w:rPr>
              <w:t xml:space="preserve">DocVault ships a </w:t>
            </w:r>
            <w:r>
              <w:rPr>
                <w:b/>
                <w:bCs/>
                <w:color w:val="111827"/>
                <w:sz w:val="21"/>
                <w:szCs w:val="21"/>
              </w:rPr>
              <w:t xml:space="preserve">3-tier OSCE module</w:t>
            </w:r>
            <w:r>
              <w:rPr>
                <w:color w:val="111827"/>
                <w:sz w:val="21"/>
                <w:szCs w:val="21"/>
              </w:rPr>
              <w:t xml:space="preserve">: (1) </w:t>
            </w:r>
            <w:r>
              <w:rPr>
                <w:b/>
                <w:bCs/>
                <w:color w:val="111827"/>
                <w:sz w:val="21"/>
                <w:szCs w:val="21"/>
              </w:rPr>
              <w:t xml:space="preserve">Learn — pre-rendered avatar videos </w:t>
            </w:r>
            <w:r>
              <w:rPr>
                <w:color w:val="111827"/>
                <w:sz w:val="21"/>
                <w:szCs w:val="21"/>
              </w:rPr>
              <w:t xml:space="preserve">of "how to approach this station" with dos/don'ts and exam-yield call-outs (cheap to produce). (2) </w:t>
            </w:r>
            <w:r>
              <w:rPr>
                <w:b/>
                <w:bCs/>
                <w:color w:val="111827"/>
                <w:sz w:val="21"/>
                <w:szCs w:val="21"/>
              </w:rPr>
              <w:t xml:space="preserve">Practice — real-time voice + video conversation </w:t>
            </w:r>
            <w:r>
              <w:rPr>
                <w:color w:val="111827"/>
                <w:sz w:val="21"/>
                <w:szCs w:val="21"/>
              </w:rPr>
              <w:t xml:space="preserve">with persona-coded AI examiners (Mr Henderson the kind cardiac patient, Mrs Davies the distressed family member, Dr Singh the sceptical examiner), each session voice-toned, paced, transcribed, and scored against a custom rubric you author per exam. (3) </w:t>
            </w:r>
            <w:r>
              <w:rPr>
                <w:b/>
                <w:bCs/>
                <w:color w:val="111827"/>
                <w:sz w:val="21"/>
                <w:szCs w:val="21"/>
              </w:rPr>
              <w:t xml:space="preserve">Mock — full timed station circuits </w:t>
            </w:r>
            <w:r>
              <w:rPr>
                <w:color w:val="111827"/>
                <w:sz w:val="21"/>
                <w:szCs w:val="21"/>
              </w:rPr>
              <w:t xml:space="preserve">at £49–99 per pack, with premium video avatars and a written debrief. The persona library is the brand moat; the rubric library is the trust moat; the mock packs are where the margin lives.</w:t>
            </w:r>
          </w:p>
        </w:tc>
      </w:tr>
    </w:tbl>
    <w:p>
      <w:pPr>
        <w:pStyle w:val="Heading2"/>
        <w:spacing w:after="100" w:before="240"/>
      </w:pPr>
      <w:r>
        <w:rPr>
          <w:b/>
          <w:bCs/>
          <w:color w:val="0E7C7B"/>
          <w:sz w:val="26"/>
          <w:szCs w:val="26"/>
        </w:rPr>
        <w:t xml:space="preserve">The 3-tier architecture</w:t>
      </w:r>
    </w:p>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F2740" w:sz="4"/>
              <w:left w:val="single" w:color="0F2740" w:sz="4"/>
              <w:bottom w:val="single" w:color="0F2740" w:sz="4"/>
              <w:right w:val="single" w:color="0F2740" w:sz="4"/>
            </w:tcBorders>
            <w:shd w:fill="0F2740" w:val="clear"/>
            <w:tcMar>
              <w:top w:type="dxa" w:w="160"/>
              <w:left w:type="dxa" w:w="160"/>
              <w:bottom w:type="dxa" w:w="160"/>
              <w:right w:type="dxa" w:w="160"/>
            </w:tcMar>
          </w:tcPr>
          <w:p>
            <w:pPr>
              <w:spacing w:after="40"/>
              <w:jc w:val="center"/>
            </w:pPr>
            <w:r>
              <w:rPr>
                <w:b/>
                <w:bCs/>
                <w:color w:val="FFFFFF"/>
                <w:sz w:val="20"/>
                <w:szCs w:val="20"/>
              </w:rPr>
              <w:t xml:space="preserve">LEARN</w:t>
            </w:r>
          </w:p>
          <w:p>
            <w:pPr>
              <w:spacing w:after="80"/>
              <w:jc w:val="center"/>
            </w:pPr>
            <w:r>
              <w:rPr>
                <w:i/>
                <w:iCs/>
                <w:color w:val="FFFFFF"/>
                <w:sz w:val="16"/>
                <w:szCs w:val="16"/>
              </w:rPr>
              <w:t xml:space="preserve">How to approach</w:t>
            </w:r>
          </w:p>
          <w:p>
            <w:pPr>
              <w:spacing w:after="40" w:line="240"/>
            </w:pPr>
            <w:r>
              <w:rPr>
                <w:color w:val="FFFFFF"/>
                <w:sz w:val="16"/>
                <w:szCs w:val="16"/>
              </w:rPr>
              <w:t xml:space="preserve">• Pre-rendered avatar videos</w:t>
            </w:r>
          </w:p>
          <w:p>
            <w:pPr>
              <w:spacing w:after="40" w:line="240"/>
            </w:pPr>
            <w:r>
              <w:rPr>
                <w:color w:val="FFFFFF"/>
                <w:sz w:val="16"/>
                <w:szCs w:val="16"/>
              </w:rPr>
              <w:t xml:space="preserve">• "Anatomy of a station"</w:t>
            </w:r>
          </w:p>
          <w:p>
            <w:pPr>
              <w:spacing w:after="40" w:line="240"/>
            </w:pPr>
            <w:r>
              <w:rPr>
                <w:color w:val="FFFFFF"/>
                <w:sz w:val="16"/>
                <w:szCs w:val="16"/>
              </w:rPr>
              <w:t xml:space="preserve">• Dos / don'ts callouts</w:t>
            </w:r>
          </w:p>
          <w:p>
            <w:pPr>
              <w:spacing w:after="40" w:line="240"/>
            </w:pPr>
            <w:r>
              <w:rPr>
                <w:color w:val="FFFFFF"/>
                <w:sz w:val="16"/>
                <w:szCs w:val="16"/>
              </w:rPr>
              <w:t xml:space="preserve">• Common-pitfall montage</w:t>
            </w:r>
          </w:p>
          <w:p>
            <w:pPr>
              <w:spacing w:after="40" w:line="240"/>
            </w:pPr>
            <w:r>
              <w:rPr>
                <w:color w:val="FFFFFF"/>
                <w:sz w:val="16"/>
                <w:szCs w:val="16"/>
              </w:rPr>
              <w:t xml:space="preserve">• Worked example walkthrough</w:t>
            </w:r>
          </w:p>
          <w:p>
            <w:pPr>
              <w:spacing w:after="40" w:line="240"/>
            </w:pPr>
            <w:r>
              <w:rPr>
                <w:color w:val="FFFFFF"/>
                <w:sz w:val="16"/>
                <w:szCs w:val="16"/>
              </w:rPr>
              <w:t xml:space="preserve">• Domain-tagged metadata</w:t>
            </w:r>
          </w:p>
          <w:p>
            <w:pPr>
              <w:spacing w:after="40" w:line="240"/>
            </w:pPr>
            <w:r>
              <w:rPr>
                <w:color w:val="FFFFFF"/>
                <w:sz w:val="16"/>
                <w:szCs w:val="16"/>
              </w:rPr>
              <w:t xml:space="preserve">= cheap, scalable, branded</w:t>
            </w:r>
          </w:p>
        </w:tc>
        <w:tc>
          <w:tcPr>
            <w:tcW w:type="dxa" w:w="3120"/>
            <w:tcBorders>
              <w:top w:val="single" w:color="0E7C7B" w:sz="4"/>
              <w:left w:val="single" w:color="0E7C7B" w:sz="4"/>
              <w:bottom w:val="single" w:color="0E7C7B" w:sz="4"/>
              <w:right w:val="single" w:color="0E7C7B" w:sz="4"/>
            </w:tcBorders>
            <w:shd w:fill="0E7C7B" w:val="clear"/>
            <w:tcMar>
              <w:top w:type="dxa" w:w="160"/>
              <w:left w:type="dxa" w:w="160"/>
              <w:bottom w:type="dxa" w:w="160"/>
              <w:right w:type="dxa" w:w="160"/>
            </w:tcMar>
          </w:tcPr>
          <w:p>
            <w:pPr>
              <w:spacing w:after="40"/>
              <w:jc w:val="center"/>
            </w:pPr>
            <w:r>
              <w:rPr>
                <w:b/>
                <w:bCs/>
                <w:color w:val="FFFFFF"/>
                <w:sz w:val="20"/>
                <w:szCs w:val="20"/>
              </w:rPr>
              <w:t xml:space="preserve">PRACTICE</w:t>
            </w:r>
          </w:p>
          <w:p>
            <w:pPr>
              <w:spacing w:after="80"/>
              <w:jc w:val="center"/>
            </w:pPr>
            <w:r>
              <w:rPr>
                <w:i/>
                <w:iCs/>
                <w:color w:val="FFFFFF"/>
                <w:sz w:val="16"/>
                <w:szCs w:val="16"/>
              </w:rPr>
              <w:t xml:space="preserve">Live AI station</w:t>
            </w:r>
          </w:p>
          <w:p>
            <w:pPr>
              <w:spacing w:after="40" w:line="240"/>
            </w:pPr>
            <w:r>
              <w:rPr>
                <w:color w:val="FFFFFF"/>
                <w:sz w:val="16"/>
                <w:szCs w:val="16"/>
              </w:rPr>
              <w:t xml:space="preserve">• Real-time voice conversation</w:t>
            </w:r>
          </w:p>
          <w:p>
            <w:pPr>
              <w:spacing w:after="40" w:line="240"/>
            </w:pPr>
            <w:r>
              <w:rPr>
                <w:color w:val="FFFFFF"/>
                <w:sz w:val="16"/>
                <w:szCs w:val="16"/>
              </w:rPr>
              <w:t xml:space="preserve">• Lip-synced persona avatar</w:t>
            </w:r>
          </w:p>
          <w:p>
            <w:pPr>
              <w:spacing w:after="40" w:line="240"/>
            </w:pPr>
            <w:r>
              <w:rPr>
                <w:color w:val="FFFFFF"/>
                <w:sz w:val="16"/>
                <w:szCs w:val="16"/>
              </w:rPr>
              <w:t xml:space="preserve">• Voice tone + pace analysis</w:t>
            </w:r>
          </w:p>
          <w:p>
            <w:pPr>
              <w:spacing w:after="40" w:line="240"/>
            </w:pPr>
            <w:r>
              <w:rPr>
                <w:color w:val="FFFFFF"/>
                <w:sz w:val="16"/>
                <w:szCs w:val="16"/>
              </w:rPr>
              <w:t xml:space="preserve">• Transcript + coverage check</w:t>
            </w:r>
          </w:p>
          <w:p>
            <w:pPr>
              <w:spacing w:after="40" w:line="240"/>
            </w:pPr>
            <w:r>
              <w:rPr>
                <w:color w:val="FFFFFF"/>
                <w:sz w:val="16"/>
                <w:szCs w:val="16"/>
              </w:rPr>
              <w:t xml:space="preserve">• Async video review (offline)</w:t>
            </w:r>
          </w:p>
          <w:p>
            <w:pPr>
              <w:spacing w:after="40" w:line="240"/>
            </w:pPr>
            <w:r>
              <w:rPr>
                <w:color w:val="FFFFFF"/>
                <w:sz w:val="16"/>
                <w:szCs w:val="16"/>
              </w:rPr>
              <w:t xml:space="preserve">• Detailed scored feedback</w:t>
            </w:r>
          </w:p>
          <w:p>
            <w:pPr>
              <w:spacing w:after="40" w:line="240"/>
            </w:pPr>
            <w:r>
              <w:rPr>
                <w:color w:val="FFFFFF"/>
                <w:sz w:val="16"/>
                <w:szCs w:val="16"/>
              </w:rPr>
              <w:t xml:space="preserve">= the differentiator</w:t>
            </w:r>
          </w:p>
        </w:tc>
        <w:tc>
          <w:tcPr>
            <w:tcW w:type="dxa" w:w="3120"/>
            <w:tcBorders>
              <w:top w:val="single" w:color="5B43B5" w:sz="4"/>
              <w:left w:val="single" w:color="5B43B5" w:sz="4"/>
              <w:bottom w:val="single" w:color="5B43B5" w:sz="4"/>
              <w:right w:val="single" w:color="5B43B5" w:sz="4"/>
            </w:tcBorders>
            <w:shd w:fill="5B43B5" w:val="clear"/>
            <w:tcMar>
              <w:top w:type="dxa" w:w="160"/>
              <w:left w:type="dxa" w:w="160"/>
              <w:bottom w:type="dxa" w:w="160"/>
              <w:right w:type="dxa" w:w="160"/>
            </w:tcMar>
          </w:tcPr>
          <w:p>
            <w:pPr>
              <w:spacing w:after="40"/>
              <w:jc w:val="center"/>
            </w:pPr>
            <w:r>
              <w:rPr>
                <w:b/>
                <w:bCs/>
                <w:color w:val="FFFFFF"/>
                <w:sz w:val="20"/>
                <w:szCs w:val="20"/>
              </w:rPr>
              <w:t xml:space="preserve">MOCK</w:t>
            </w:r>
          </w:p>
          <w:p>
            <w:pPr>
              <w:spacing w:after="80"/>
              <w:jc w:val="center"/>
            </w:pPr>
            <w:r>
              <w:rPr>
                <w:i/>
                <w:iCs/>
                <w:color w:val="FFFFFF"/>
                <w:sz w:val="16"/>
                <w:szCs w:val="16"/>
              </w:rPr>
              <w:t xml:space="preserve">Full simulated exam</w:t>
            </w:r>
          </w:p>
          <w:p>
            <w:pPr>
              <w:spacing w:after="40" w:line="240"/>
            </w:pPr>
            <w:r>
              <w:rPr>
                <w:color w:val="FFFFFF"/>
                <w:sz w:val="16"/>
                <w:szCs w:val="16"/>
              </w:rPr>
              <w:t xml:space="preserve">• 4 / 8 / 16 station packs</w:t>
            </w:r>
          </w:p>
          <w:p>
            <w:pPr>
              <w:spacing w:after="40" w:line="240"/>
            </w:pPr>
            <w:r>
              <w:rPr>
                <w:color w:val="FFFFFF"/>
                <w:sz w:val="16"/>
                <w:szCs w:val="16"/>
              </w:rPr>
              <w:t xml:space="preserve">• Timed circuit format</w:t>
            </w:r>
          </w:p>
          <w:p>
            <w:pPr>
              <w:spacing w:after="40" w:line="240"/>
            </w:pPr>
            <w:r>
              <w:rPr>
                <w:color w:val="FFFFFF"/>
                <w:sz w:val="16"/>
                <w:szCs w:val="16"/>
              </w:rPr>
              <w:t xml:space="preserve">• Premium video avatars</w:t>
            </w:r>
          </w:p>
          <w:p>
            <w:pPr>
              <w:spacing w:after="40" w:line="240"/>
            </w:pPr>
            <w:r>
              <w:rPr>
                <w:color w:val="FFFFFF"/>
                <w:sz w:val="16"/>
                <w:szCs w:val="16"/>
              </w:rPr>
              <w:t xml:space="preserve">• Examiner debrief at end</w:t>
            </w:r>
          </w:p>
          <w:p>
            <w:pPr>
              <w:spacing w:after="40" w:line="240"/>
            </w:pPr>
            <w:r>
              <w:rPr>
                <w:color w:val="FFFFFF"/>
                <w:sz w:val="16"/>
                <w:szCs w:val="16"/>
              </w:rPr>
              <w:t xml:space="preserve">• Score sheet + readiness</w:t>
            </w:r>
          </w:p>
          <w:p>
            <w:pPr>
              <w:spacing w:after="40" w:line="240"/>
            </w:pPr>
            <w:r>
              <w:rPr>
                <w:color w:val="FFFFFF"/>
                <w:sz w:val="16"/>
                <w:szCs w:val="16"/>
              </w:rPr>
              <w:t xml:space="preserve">• Shareable certificate</w:t>
            </w:r>
          </w:p>
          <w:p>
            <w:pPr>
              <w:spacing w:after="40" w:line="240"/>
            </w:pPr>
            <w:r>
              <w:rPr>
                <w:color w:val="FFFFFF"/>
                <w:sz w:val="16"/>
                <w:szCs w:val="16"/>
              </w:rPr>
              <w:t xml:space="preserve">= the high-margin product</w:t>
            </w:r>
          </w:p>
        </w:tc>
      </w:tr>
    </w:tbl>
    <w:p>
      <w:pPr>
        <w:spacing w:after="120"/>
      </w:pPr>
      <w:r>
        <w:t xml:space="preserve"> </w:t>
      </w:r>
    </w:p>
    <w:p>
      <w:pPr>
        <w:spacing w:after="120" w:line="300"/>
      </w:pPr>
      <w:r>
        <w:rPr>
          <w:color w:val="111827"/>
          <w:sz w:val="21"/>
          <w:szCs w:val="21"/>
        </w:rPr>
        <w:t xml:space="preserve">Each tier serves a different job in the user's prep journey: Learn builds the mental model, Practice builds the muscle memory, Mock validates readiness. The same persona library and rubric stack power all three.</w:t>
      </w:r>
    </w:p>
    <w:p>
      <w:r>
        <w:br w:type="page"/>
      </w:r>
    </w:p>
    <w:p>
      <w:pPr>
        <w:pStyle w:val="Heading1"/>
        <w:spacing w:after="160" w:before="360"/>
      </w:pPr>
      <w:r>
        <w:rPr>
          <w:b/>
          <w:bCs/>
          <w:color w:val="0F2740"/>
          <w:sz w:val="36"/>
          <w:szCs w:val="36"/>
        </w:rPr>
        <w:t xml:space="preserve">UK OSCE exam map — what you need to support</w:t>
      </w:r>
    </w:p>
    <w:p>
      <w:pPr>
        <w:spacing w:after="120" w:line="300"/>
      </w:pPr>
      <w:r>
        <w:rPr>
          <w:color w:val="111827"/>
          <w:sz w:val="21"/>
          <w:szCs w:val="21"/>
        </w:rPr>
        <w:t xml:space="preserve">Eleven major UK clinical-skills exams. Some are entry/licensing; some are postgraduate; all use station-circuit formats with examiner-marking against a rubric. Each has its own rhythm, length, and competency emphasis.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900"/>
        <w:gridCol w:w="1860"/>
      </w:tblGrid>
      <w:tr>
        <w:trPr>
          <w:tblHeader/>
        </w:trPr>
        <w:tc>
          <w:tcPr>
            <w:tcW w:type="dxa" w:w="27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Exam</w:t>
            </w:r>
          </w:p>
        </w:tc>
        <w:tc>
          <w:tcPr>
            <w:tcW w:type="dxa" w:w="19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Stations × time</w:t>
            </w:r>
          </w:p>
        </w:tc>
        <w:tc>
          <w:tcPr>
            <w:tcW w:type="dxa" w:w="29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Format emphasis</w:t>
            </w:r>
          </w:p>
        </w:tc>
        <w:tc>
          <w:tcPr>
            <w:tcW w:type="dxa" w:w="18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Annual UK candidates (approx)</w:t>
            </w:r>
          </w:p>
        </w:tc>
      </w:tr>
      <w:tr>
        <w:tc>
          <w:tcPr>
            <w:tcW w:type="dxa" w:w="2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PLAB 2</w:t>
            </w:r>
          </w:p>
        </w:tc>
        <w:tc>
          <w:tcPr>
            <w:tcW w:type="dxa" w:w="1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16 × 8 min stations</w:t>
            </w:r>
          </w:p>
        </w:tc>
        <w:tc>
          <w:tcPr>
            <w:tcW w:type="dxa" w:w="2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IMG entry; consultation skills, patient-safety, examination</w:t>
            </w:r>
          </w:p>
        </w:tc>
        <w:tc>
          <w:tcPr>
            <w:tcW w:type="dxa" w:w="18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~13,000+ (largest pool, IMG-dominant)</w:t>
            </w:r>
          </w:p>
        </w:tc>
      </w:tr>
      <w:tr>
        <w:tc>
          <w:tcPr>
            <w:tcW w:type="dxa" w:w="2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UKMLA CPSA (Clinical Professional Skills Assessment)</w:t>
            </w:r>
          </w:p>
        </w:tc>
        <w:tc>
          <w:tcPr>
            <w:tcW w:type="dxa" w:w="1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Multiple stations, varies</w:t>
            </w:r>
          </w:p>
        </w:tc>
        <w:tc>
          <w:tcPr>
            <w:tcW w:type="dxa" w:w="2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UK med-school exit; replaces finals OSCE</w:t>
            </w:r>
          </w:p>
        </w:tc>
        <w:tc>
          <w:tcPr>
            <w:tcW w:type="dxa" w:w="18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~10,000 UK med students</w:t>
            </w:r>
          </w:p>
        </w:tc>
      </w:tr>
      <w:tr>
        <w:tc>
          <w:tcPr>
            <w:tcW w:type="dxa" w:w="2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MRCS Part B</w:t>
            </w:r>
          </w:p>
        </w:tc>
        <w:tc>
          <w:tcPr>
            <w:tcW w:type="dxa" w:w="1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18 × 9 min stations (3 circuits of 6)</w:t>
            </w:r>
          </w:p>
        </w:tc>
        <w:tc>
          <w:tcPr>
            <w:tcW w:type="dxa" w:w="2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Surgical clinical skills, anatomy, comms, ethics, history-taking</w:t>
            </w:r>
          </w:p>
        </w:tc>
        <w:tc>
          <w:tcPr>
            <w:tcW w:type="dxa" w:w="18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~3,000–4,000</w:t>
            </w:r>
          </w:p>
        </w:tc>
      </w:tr>
      <w:tr>
        <w:tc>
          <w:tcPr>
            <w:tcW w:type="dxa" w:w="2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PACES (MRCP Pt 2 Clinical)</w:t>
            </w:r>
          </w:p>
        </w:tc>
        <w:tc>
          <w:tcPr>
            <w:tcW w:type="dxa" w:w="1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 stations + 2 patient encounters (~125 min)</w:t>
            </w:r>
          </w:p>
        </w:tc>
        <w:tc>
          <w:tcPr>
            <w:tcW w:type="dxa" w:w="2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Internal medicine; physical exam, communication, ethics, brief consultation</w:t>
            </w:r>
          </w:p>
        </w:tc>
        <w:tc>
          <w:tcPr>
            <w:tcW w:type="dxa" w:w="18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~5,000+</w:t>
            </w:r>
          </w:p>
        </w:tc>
      </w:tr>
      <w:tr>
        <w:tc>
          <w:tcPr>
            <w:tcW w:type="dxa" w:w="2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MRCGP SCA (Simulated Consultation Assessment)</w:t>
            </w:r>
          </w:p>
        </w:tc>
        <w:tc>
          <w:tcPr>
            <w:tcW w:type="dxa" w:w="1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12 × ~12 min simulated consultations</w:t>
            </w:r>
          </w:p>
        </w:tc>
        <w:tc>
          <w:tcPr>
            <w:tcW w:type="dxa" w:w="2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GP consultation skills (replaced CSA in 2023)</w:t>
            </w:r>
          </w:p>
        </w:tc>
        <w:tc>
          <w:tcPr>
            <w:tcW w:type="dxa" w:w="18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~3,000</w:t>
            </w:r>
          </w:p>
        </w:tc>
      </w:tr>
      <w:tr>
        <w:tc>
          <w:tcPr>
            <w:tcW w:type="dxa" w:w="2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MRCEM OSCE</w:t>
            </w:r>
          </w:p>
        </w:tc>
        <w:tc>
          <w:tcPr>
            <w:tcW w:type="dxa" w:w="1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16 × 7 min stations</w:t>
            </w:r>
          </w:p>
        </w:tc>
        <w:tc>
          <w:tcPr>
            <w:tcW w:type="dxa" w:w="2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EM resus, communication, procedural, ethics</w:t>
            </w:r>
          </w:p>
        </w:tc>
        <w:tc>
          <w:tcPr>
            <w:tcW w:type="dxa" w:w="18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~1,500</w:t>
            </w:r>
          </w:p>
        </w:tc>
      </w:tr>
      <w:tr>
        <w:tc>
          <w:tcPr>
            <w:tcW w:type="dxa" w:w="2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MRCPCH Clinical</w:t>
            </w:r>
          </w:p>
        </w:tc>
        <w:tc>
          <w:tcPr>
            <w:tcW w:type="dxa" w:w="1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 × 9 min stations</w:t>
            </w:r>
          </w:p>
        </w:tc>
        <w:tc>
          <w:tcPr>
            <w:tcW w:type="dxa" w:w="2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Paeds clinical exam, comms, history, video</w:t>
            </w:r>
          </w:p>
        </w:tc>
        <w:tc>
          <w:tcPr>
            <w:tcW w:type="dxa" w:w="18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~1,500</w:t>
            </w:r>
          </w:p>
        </w:tc>
      </w:tr>
      <w:tr>
        <w:tc>
          <w:tcPr>
            <w:tcW w:type="dxa" w:w="2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MRCPsych CASC</w:t>
            </w:r>
          </w:p>
        </w:tc>
        <w:tc>
          <w:tcPr>
            <w:tcW w:type="dxa" w:w="1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16 × 7–10 min stations (linked-pair format)</w:t>
            </w:r>
          </w:p>
        </w:tc>
        <w:tc>
          <w:tcPr>
            <w:tcW w:type="dxa" w:w="2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Psych history-taking, MSE, risk assessment, capacity</w:t>
            </w:r>
          </w:p>
        </w:tc>
        <w:tc>
          <w:tcPr>
            <w:tcW w:type="dxa" w:w="18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~1,500</w:t>
            </w:r>
          </w:p>
        </w:tc>
      </w:tr>
      <w:tr>
        <w:tc>
          <w:tcPr>
            <w:tcW w:type="dxa" w:w="2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MRCOG Part 3</w:t>
            </w:r>
          </w:p>
        </w:tc>
        <w:tc>
          <w:tcPr>
            <w:tcW w:type="dxa" w:w="1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14 × 10 min stations</w:t>
            </w:r>
          </w:p>
        </w:tc>
        <w:tc>
          <w:tcPr>
            <w:tcW w:type="dxa" w:w="2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O&amp;G clinical scenarios, professional judgement</w:t>
            </w:r>
          </w:p>
        </w:tc>
        <w:tc>
          <w:tcPr>
            <w:tcW w:type="dxa" w:w="18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~1,000</w:t>
            </w:r>
          </w:p>
        </w:tc>
      </w:tr>
      <w:tr>
        <w:tc>
          <w:tcPr>
            <w:tcW w:type="dxa" w:w="2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FRCA Primary OSCE/SOE</w:t>
            </w:r>
          </w:p>
        </w:tc>
        <w:tc>
          <w:tcPr>
            <w:tcW w:type="dxa" w:w="1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OSCE 17 × 7 min + SOE viva</w:t>
            </w:r>
          </w:p>
        </w:tc>
        <w:tc>
          <w:tcPr>
            <w:tcW w:type="dxa" w:w="2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Anaesthesia procedural, equipment, resuscitation</w:t>
            </w:r>
          </w:p>
        </w:tc>
        <w:tc>
          <w:tcPr>
            <w:tcW w:type="dxa" w:w="18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~1,500</w:t>
            </w:r>
          </w:p>
        </w:tc>
      </w:tr>
      <w:tr>
        <w:tc>
          <w:tcPr>
            <w:tcW w:type="dxa" w:w="2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OSCE Finals (medical schools)</w:t>
            </w:r>
          </w:p>
        </w:tc>
        <w:tc>
          <w:tcPr>
            <w:tcW w:type="dxa" w:w="1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varies, typically 8–16 stations</w:t>
            </w:r>
          </w:p>
        </w:tc>
        <w:tc>
          <w:tcPr>
            <w:tcW w:type="dxa" w:w="2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Pre-UKMLA in some schools; UKMLA-CPSA in others</w:t>
            </w:r>
          </w:p>
        </w:tc>
        <w:tc>
          <w:tcPr>
            <w:tcW w:type="dxa" w:w="18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~10,000</w:t>
            </w:r>
          </w:p>
        </w:tc>
      </w:tr>
    </w:tbl>
    <w:p>
      <w:pPr>
        <w:pStyle w:val="Heading2"/>
        <w:spacing w:after="100" w:before="240"/>
      </w:pPr>
      <w:r>
        <w:rPr>
          <w:b/>
          <w:bCs/>
          <w:color w:val="0E7C7B"/>
          <w:sz w:val="26"/>
          <w:szCs w:val="26"/>
        </w:rPr>
        <w:t xml:space="preserve">Two strategic implications</w:t>
      </w:r>
    </w:p>
    <w:p>
      <w:pPr>
        <w:pStyle w:val="ListParagraph"/>
        <w:numPr>
          <w:ilvl w:val="0"/>
          <w:numId w:val="2"/>
        </w:numPr>
        <w:spacing w:after="60" w:line="280"/>
      </w:pPr>
      <w:r>
        <w:rPr>
          <w:b/>
          <w:bCs/>
          <w:color w:val="111827"/>
          <w:sz w:val="21"/>
          <w:szCs w:val="21"/>
        </w:rPr>
        <w:t xml:space="preserve">PLAB 2 is the single biggest single-exam OSCE market</w:t>
      </w:r>
      <w:r>
        <w:rPr>
          <w:color w:val="111827"/>
          <w:sz w:val="21"/>
          <w:szCs w:val="21"/>
        </w:rPr>
        <w:t xml:space="preserve"> in the UK. ~13k candidates per year, IMG-dominated, paying £400–800 for in-person mocks. Win this exam and you have £2–4M of UK OSCE TAM in one product line.</w:t>
      </w:r>
    </w:p>
    <w:p>
      <w:pPr>
        <w:pStyle w:val="ListParagraph"/>
        <w:numPr>
          <w:ilvl w:val="0"/>
          <w:numId w:val="2"/>
        </w:numPr>
        <w:spacing w:after="60" w:line="280"/>
      </w:pPr>
      <w:r>
        <w:rPr>
          <w:b/>
          <w:bCs/>
          <w:color w:val="111827"/>
          <w:sz w:val="21"/>
          <w:szCs w:val="21"/>
        </w:rPr>
        <w:t xml:space="preserve">Format-family clustering. </w:t>
      </w:r>
      <w:r>
        <w:rPr>
          <w:color w:val="111827"/>
          <w:sz w:val="21"/>
          <w:szCs w:val="21"/>
        </w:rPr>
        <w:t xml:space="preserve">Many of these exams share station archetypes (history-taking, breaking bad news, examination, consent, capacity, calculation). A persona + rubric built once for PLAB 2 "breaking bad news" works with adaptation for MRCS Part B, PACES, MRCGP SCA, MRCEM, MRCPCH, CASC, and MRCOG 3. The </w:t>
      </w:r>
      <w:r>
        <w:rPr>
          <w:b/>
          <w:bCs/>
          <w:color w:val="111827"/>
          <w:sz w:val="21"/>
          <w:szCs w:val="21"/>
        </w:rPr>
        <w:t xml:space="preserve">station-archetype library is more important than the exam library</w:t>
      </w:r>
      <w:r>
        <w:rPr>
          <w:color w:val="111827"/>
          <w:sz w:val="21"/>
          <w:szCs w:val="21"/>
        </w:rPr>
        <w:t xml:space="preserve">.</w:t>
      </w:r>
    </w:p>
    <w:p>
      <w:r>
        <w:br w:type="page"/>
      </w:r>
    </w:p>
    <w:p>
      <w:pPr>
        <w:pStyle w:val="Heading1"/>
        <w:spacing w:after="160" w:before="360"/>
      </w:pPr>
      <w:r>
        <w:rPr>
          <w:b/>
          <w:bCs/>
          <w:color w:val="0F2740"/>
          <w:sz w:val="36"/>
          <w:szCs w:val="36"/>
        </w:rPr>
        <w:t xml:space="preserve">The persona library — your visual brand moat</w:t>
      </w:r>
    </w:p>
    <w:p>
      <w:pPr>
        <w:spacing w:after="120" w:line="300"/>
      </w:pPr>
      <w:r>
        <w:rPr>
          <w:color w:val="111827"/>
          <w:sz w:val="21"/>
          <w:szCs w:val="21"/>
        </w:rPr>
        <w:t xml:space="preserve">Geeky Medics' virtual patients are functional but generic. The product moment that pulls users in is when they meet </w:t>
      </w:r>
      <w:r>
        <w:rPr>
          <w:b/>
          <w:bCs/>
          <w:color w:val="111827"/>
          <w:sz w:val="21"/>
          <w:szCs w:val="21"/>
        </w:rPr>
        <w:t xml:space="preserve">recurring characters</w:t>
      </w:r>
      <w:r>
        <w:rPr>
          <w:color w:val="111827"/>
          <w:sz w:val="21"/>
          <w:szCs w:val="21"/>
        </w:rPr>
        <w:t xml:space="preserve"> — patients and examiners with names, faces, voices, and personalities they come back to. Like Duolingo's owl or Headspace's Andy, the persona library becomes the shorthand brand that travels on social media.</w:t>
      </w:r>
    </w:p>
    <w:p>
      <w:pPr>
        <w:pStyle w:val="Heading2"/>
        <w:spacing w:after="100" w:before="240"/>
      </w:pPr>
      <w:r>
        <w:rPr>
          <w:b/>
          <w:bCs/>
          <w:color w:val="0E7C7B"/>
          <w:sz w:val="26"/>
          <w:szCs w:val="26"/>
        </w:rPr>
        <w:t xml:space="preserve">Persona archetypes to launch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300"/>
        <w:gridCol w:w="2860"/>
      </w:tblGrid>
      <w:tr>
        <w:trPr>
          <w:tblHeader/>
        </w:trPr>
        <w:tc>
          <w:tcPr>
            <w:tcW w:type="dxa" w:w="17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Persona</w:t>
            </w:r>
          </w:p>
        </w:tc>
        <w:tc>
          <w:tcPr>
            <w:tcW w:type="dxa" w:w="25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Typical role</w:t>
            </w:r>
          </w:p>
        </w:tc>
        <w:tc>
          <w:tcPr>
            <w:tcW w:type="dxa" w:w="23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Voice + face profile</w:t>
            </w:r>
          </w:p>
        </w:tc>
        <w:tc>
          <w:tcPr>
            <w:tcW w:type="dxa" w:w="28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Stations they fit</w:t>
            </w:r>
          </w:p>
        </w:tc>
      </w:tr>
      <w:tr>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Mr Henderson</w:t>
            </w:r>
          </w:p>
        </w:tc>
        <w:tc>
          <w:tcPr>
            <w:tcW w:type="dxa" w:w="2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Kind elderly cardiac patient</w:t>
            </w:r>
          </w:p>
        </w:tc>
        <w:tc>
          <w:tcPr>
            <w:tcW w:type="dxa" w:w="2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Warm British male, 70s</w:t>
            </w:r>
          </w:p>
        </w:tc>
        <w:tc>
          <w:tcPr>
            <w:tcW w:type="dxa" w:w="28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History (cardio), exam, breaking bad news</w:t>
            </w:r>
          </w:p>
        </w:tc>
      </w:tr>
      <w:tr>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Mrs Davies</w:t>
            </w:r>
          </w:p>
        </w:tc>
        <w:tc>
          <w:tcPr>
            <w:tcW w:type="dxa" w:w="2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Distressed family member</w:t>
            </w:r>
          </w:p>
        </w:tc>
        <w:tc>
          <w:tcPr>
            <w:tcW w:type="dxa" w:w="2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Anxious South Wales female, 50s</w:t>
            </w:r>
          </w:p>
        </w:tc>
        <w:tc>
          <w:tcPr>
            <w:tcW w:type="dxa" w:w="28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Breaking bad news, ethics, communication</w:t>
            </w:r>
          </w:p>
        </w:tc>
      </w:tr>
      <w:tr>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Tom (16)</w:t>
            </w:r>
          </w:p>
        </w:tc>
        <w:tc>
          <w:tcPr>
            <w:tcW w:type="dxa" w:w="2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Anxious teenage patient</w:t>
            </w:r>
          </w:p>
        </w:tc>
        <w:tc>
          <w:tcPr>
            <w:tcW w:type="dxa" w:w="2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Quiet, monosyllabic male teen</w:t>
            </w:r>
          </w:p>
        </w:tc>
        <w:tc>
          <w:tcPr>
            <w:tcW w:type="dxa" w:w="28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Adolescent communication, mental health, consent</w:t>
            </w:r>
          </w:p>
        </w:tc>
      </w:tr>
      <w:tr>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Dr Singh</w:t>
            </w:r>
          </w:p>
        </w:tc>
        <w:tc>
          <w:tcPr>
            <w:tcW w:type="dxa" w:w="2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Sceptical examiner</w:t>
            </w:r>
          </w:p>
        </w:tc>
        <w:tc>
          <w:tcPr>
            <w:tcW w:type="dxa" w:w="2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Professional South Asian female, 50s</w:t>
            </w:r>
          </w:p>
        </w:tc>
        <w:tc>
          <w:tcPr>
            <w:tcW w:type="dxa" w:w="28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MRCS / PACES exam structure</w:t>
            </w:r>
          </w:p>
        </w:tc>
      </w:tr>
      <w:tr>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Mrs Okonkwo</w:t>
            </w:r>
          </w:p>
        </w:tc>
        <w:tc>
          <w:tcPr>
            <w:tcW w:type="dxa" w:w="2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Newly-diagnosed diabetic</w:t>
            </w:r>
          </w:p>
        </w:tc>
        <w:tc>
          <w:tcPr>
            <w:tcW w:type="dxa" w:w="2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Nigerian-British female, 40s</w:t>
            </w:r>
          </w:p>
        </w:tc>
        <w:tc>
          <w:tcPr>
            <w:tcW w:type="dxa" w:w="28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Education, lifestyle counselling, NICE NG28</w:t>
            </w:r>
          </w:p>
        </w:tc>
      </w:tr>
      <w:tr>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Father Murphy</w:t>
            </w:r>
          </w:p>
        </w:tc>
        <w:tc>
          <w:tcPr>
            <w:tcW w:type="dxa" w:w="2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Patient with religious concerns</w:t>
            </w:r>
          </w:p>
        </w:tc>
        <w:tc>
          <w:tcPr>
            <w:tcW w:type="dxa" w:w="2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Older Irish male</w:t>
            </w:r>
          </w:p>
        </w:tc>
        <w:tc>
          <w:tcPr>
            <w:tcW w:type="dxa" w:w="28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Ethics, refusal of treatment, capacity</w:t>
            </w:r>
          </w:p>
        </w:tc>
      </w:tr>
      <w:tr>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Aisha (28)</w:t>
            </w:r>
          </w:p>
        </w:tc>
        <w:tc>
          <w:tcPr>
            <w:tcW w:type="dxa" w:w="2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Young professional, mental health</w:t>
            </w:r>
          </w:p>
        </w:tc>
        <w:tc>
          <w:tcPr>
            <w:tcW w:type="dxa" w:w="2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Anxious British female, late 20s</w:t>
            </w:r>
          </w:p>
        </w:tc>
        <w:tc>
          <w:tcPr>
            <w:tcW w:type="dxa" w:w="28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MRCPsych CASC, CBT-style consultations</w:t>
            </w:r>
          </w:p>
        </w:tc>
      </w:tr>
      <w:tr>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Mr Khan</w:t>
            </w:r>
          </w:p>
        </w:tc>
        <w:tc>
          <w:tcPr>
            <w:tcW w:type="dxa" w:w="2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IMG-doctor IMG-patient</w:t>
            </w:r>
          </w:p>
        </w:tc>
        <w:tc>
          <w:tcPr>
            <w:tcW w:type="dxa" w:w="2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Pakistani-British male, 60s</w:t>
            </w:r>
          </w:p>
        </w:tc>
        <w:tc>
          <w:tcPr>
            <w:tcW w:type="dxa" w:w="28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Cultural sensitivity, language, PLAB 2</w:t>
            </w:r>
          </w:p>
        </w:tc>
      </w:tr>
      <w:tr>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Sarah (32)</w:t>
            </w:r>
          </w:p>
        </w:tc>
        <w:tc>
          <w:tcPr>
            <w:tcW w:type="dxa" w:w="2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Pregnant patient with concerns</w:t>
            </w:r>
          </w:p>
        </w:tc>
        <w:tc>
          <w:tcPr>
            <w:tcW w:type="dxa" w:w="2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Calm British female, 30s</w:t>
            </w:r>
          </w:p>
        </w:tc>
        <w:tc>
          <w:tcPr>
            <w:tcW w:type="dxa" w:w="28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MRCOG, antenatal communication</w:t>
            </w:r>
          </w:p>
        </w:tc>
      </w:tr>
      <w:tr>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Mrs Brown</w:t>
            </w:r>
          </w:p>
        </w:tc>
        <w:tc>
          <w:tcPr>
            <w:tcW w:type="dxa" w:w="2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Capacity-borderline elderly</w:t>
            </w:r>
          </w:p>
        </w:tc>
        <w:tc>
          <w:tcPr>
            <w:tcW w:type="dxa" w:w="2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Hesitant Northern English female, 80s</w:t>
            </w:r>
          </w:p>
        </w:tc>
        <w:tc>
          <w:tcPr>
            <w:tcW w:type="dxa" w:w="28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Capacity assessment, ethics</w:t>
            </w:r>
          </w:p>
        </w:tc>
      </w:tr>
      <w:tr>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Charlie (4)</w:t>
            </w:r>
          </w:p>
        </w:tc>
        <w:tc>
          <w:tcPr>
            <w:tcW w:type="dxa" w:w="2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Paediatric simulated through parent</w:t>
            </w:r>
          </w:p>
        </w:tc>
        <w:tc>
          <w:tcPr>
            <w:tcW w:type="dxa" w:w="2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Child voiced, parent-mediated</w:t>
            </w:r>
          </w:p>
        </w:tc>
        <w:tc>
          <w:tcPr>
            <w:tcW w:type="dxa" w:w="28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MRCPCH, paeds communication</w:t>
            </w:r>
          </w:p>
        </w:tc>
      </w:tr>
      <w:tr>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Mr Patel</w:t>
            </w:r>
          </w:p>
        </w:tc>
        <w:tc>
          <w:tcPr>
            <w:tcW w:type="dxa" w:w="2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Hostile / angry patient</w:t>
            </w:r>
          </w:p>
        </w:tc>
        <w:tc>
          <w:tcPr>
            <w:tcW w:type="dxa" w:w="2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Frustrated British-Asian male, 40s</w:t>
            </w:r>
          </w:p>
        </w:tc>
        <w:tc>
          <w:tcPr>
            <w:tcW w:type="dxa" w:w="28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De-escalation, complaint handling</w:t>
            </w:r>
          </w:p>
        </w:tc>
      </w:tr>
    </w:tbl>
    <w:p>
      <w:pPr>
        <w:pStyle w:val="Heading2"/>
        <w:spacing w:after="100" w:before="240"/>
      </w:pPr>
      <w:r>
        <w:rPr>
          <w:b/>
          <w:bCs/>
          <w:color w:val="0E7C7B"/>
          <w:sz w:val="26"/>
          <w:szCs w:val="26"/>
        </w:rPr>
        <w:t xml:space="preserve">Persona construction — one-time cost per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Component</w:t>
            </w:r>
          </w:p>
        </w:tc>
        <w:tc>
          <w:tcPr>
            <w:tcW w:type="dxa" w:w="45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Build approach</w:t>
            </w:r>
          </w:p>
        </w:tc>
        <w:tc>
          <w:tcPr>
            <w:tcW w:type="dxa" w:w="24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Cost per persona</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Photo / portrait</w:t>
            </w:r>
          </w:p>
        </w:tc>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AI-generated portrait via Midjourney v7 or Stable Diffusion 3.5 with consent-free synthetic person prompts. £0 ongoing.</w:t>
            </w:r>
          </w:p>
        </w:tc>
        <w:tc>
          <w:tcPr>
            <w:tcW w:type="dxa" w:w="2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 (designer time)</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Voice profile</w:t>
            </w:r>
          </w:p>
        </w:tc>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ElevenLabs voice cloned from a consenting voice actor (£30–80 paid actor) OR ElevenLabs synthetic voice library</w:t>
            </w:r>
          </w:p>
        </w:tc>
        <w:tc>
          <w:tcPr>
            <w:tcW w:type="dxa" w:w="2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£30–80</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Backstory document</w:t>
            </w:r>
          </w:p>
        </w:tc>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Founder + reviewer authored: medical history, social circumstances, communication style, idioms, what the persona does/doesn't reveal under questioning</w:t>
            </w:r>
          </w:p>
        </w:tc>
        <w:tc>
          <w:tcPr>
            <w:tcW w:type="dxa" w:w="2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£20 (your time)</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Lip-sync video clips (Wav2Lip / Hedra)</w:t>
            </w:r>
          </w:p>
        </w:tc>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Pre-rendered: 60 seconds of "idle" + smile + nod + concerned looks</w:t>
            </w:r>
          </w:p>
        </w:tc>
        <w:tc>
          <w:tcPr>
            <w:tcW w:type="dxa" w:w="2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£20 (compute)</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Total per persona</w:t>
            </w:r>
          </w:p>
        </w:tc>
        <w:tc>
          <w:tcPr>
            <w:tcW w:type="dxa" w:w="4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w:t>
            </w:r>
          </w:p>
        </w:tc>
        <w:tc>
          <w:tcPr>
            <w:tcW w:type="dxa" w:w="2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£80–130</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Initial library of 12 personas</w:t>
            </w:r>
          </w:p>
        </w:tc>
        <w:tc>
          <w:tcPr>
            <w:tcW w:type="dxa" w:w="4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Launch set</w:t>
            </w:r>
          </w:p>
        </w:tc>
        <w:tc>
          <w:tcPr>
            <w:tcW w:type="dxa" w:w="2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£1,000–1,600 one-time</w:t>
            </w:r>
          </w:p>
        </w:tc>
      </w:tr>
    </w:tbl>
    <w:p>
      <w:pPr>
        <w:spacing w:after="120" w:line="300"/>
      </w:pPr>
      <w:r>
        <w:rPr>
          <w:color w:val="111827"/>
          <w:sz w:val="21"/>
          <w:szCs w:val="21"/>
        </w:rPr>
        <w:t xml:space="preserve">This is shockingly cheap for the brand value. £1,500 buys you a recurring cast of UK-coded medical characters that appears in every video, every practice, every mock. Sketchy spent millions on cartoon mnemonics; you can spend £1,500 on a stronger brand asset that </w:t>
      </w:r>
      <w:r>
        <w:rPr>
          <w:b/>
          <w:bCs/>
          <w:color w:val="111827"/>
          <w:sz w:val="21"/>
          <w:szCs w:val="21"/>
        </w:rPr>
        <w:t xml:space="preserve">doubles as content machinery</w:t>
      </w:r>
      <w:r>
        <w:rPr>
          <w:color w:val="111827"/>
          <w:sz w:val="21"/>
          <w:szCs w:val="21"/>
        </w:rPr>
        <w:t xml:space="preserve">.</w:t>
      </w:r>
    </w:p>
    <w:p>
      <w:r>
        <w:br w:type="page"/>
      </w:r>
    </w:p>
    <w:p>
      <w:pPr>
        <w:pStyle w:val="Heading1"/>
        <w:spacing w:after="160" w:before="360"/>
      </w:pPr>
      <w:r>
        <w:rPr>
          <w:b/>
          <w:bCs/>
          <w:color w:val="0F2740"/>
          <w:sz w:val="36"/>
          <w:szCs w:val="36"/>
        </w:rPr>
        <w:t xml:space="preserve">Voice + video architecture</w:t>
      </w:r>
    </w:p>
    <w:p>
      <w:pPr>
        <w:pStyle w:val="Heading2"/>
        <w:spacing w:after="100" w:before="240"/>
      </w:pPr>
      <w:r>
        <w:rPr>
          <w:b/>
          <w:bCs/>
          <w:color w:val="0E7C7B"/>
          <w:sz w:val="26"/>
          <w:szCs w:val="26"/>
        </w:rPr>
        <w:t xml:space="preserve">Real-time conversational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Layer</w:t>
            </w:r>
          </w:p>
        </w:tc>
        <w:tc>
          <w:tcPr>
            <w:tcW w:type="dxa" w:w="35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Tool / model</w:t>
            </w:r>
          </w:p>
        </w:tc>
        <w:tc>
          <w:tcPr>
            <w:tcW w:type="dxa" w:w="36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Role</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Voice in (user → AI)</w:t>
            </w:r>
          </w:p>
        </w:tc>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Browser MediaRecorder → WebSocket → server</w:t>
            </w:r>
          </w:p>
        </w:tc>
        <w:tc>
          <w:tcPr>
            <w:tcW w:type="dxa" w:w="36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Capture user audio with low latency</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Conversational AI (real-time)</w:t>
            </w:r>
          </w:p>
        </w:tc>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GPT-4o Realtime API (Tier 1) or Gemini 2.5 Live (alt)</w:t>
            </w:r>
          </w:p>
        </w:tc>
        <w:tc>
          <w:tcPr>
            <w:tcW w:type="dxa" w:w="36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Sub-300ms voice round-trip; persona prompt loaded as system message</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Voice tone analysis</w:t>
            </w:r>
          </w:p>
        </w:tc>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Hume AI EVI (Empathic Voice Interface) or Deepgram + custom features</w:t>
            </w:r>
          </w:p>
        </w:tc>
        <w:tc>
          <w:tcPr>
            <w:tcW w:type="dxa" w:w="36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Confidence, pace, hedge-words, empathy markers</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Voice out (AI → user)</w:t>
            </w:r>
          </w:p>
        </w:tc>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Native Realtime voice OR ElevenLabs Turbo v2.5 with pre-cached persona voice</w:t>
            </w:r>
          </w:p>
        </w:tc>
        <w:tc>
          <w:tcPr>
            <w:tcW w:type="dxa" w:w="36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Character voice consistency</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Video avatar (Pro tier)</w:t>
            </w:r>
          </w:p>
        </w:tc>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Wav2Lip + animated still + Hedra for emotion clips</w:t>
            </w:r>
          </w:p>
        </w:tc>
        <w:tc>
          <w:tcPr>
            <w:tcW w:type="dxa" w:w="36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£0.10–0.30 / minute, looks 80% as good as Tavus for 10% the cost</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Video avatar (Specialist / Mock)</w:t>
            </w:r>
          </w:p>
        </w:tc>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Tavus Conversational Video Interface (CVI), sub-1s latency</w:t>
            </w:r>
          </w:p>
        </w:tc>
        <w:tc>
          <w:tcPr>
            <w:tcW w:type="dxa" w:w="36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Premium quality for paid mock packs</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Video in (user → AI, async)</w:t>
            </w:r>
          </w:p>
        </w:tc>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Browser MediaRecorder → upload to R2 → MediaPipe + Gemini 2.5 Pro Vision</w:t>
            </w:r>
          </w:p>
        </w:tc>
        <w:tc>
          <w:tcPr>
            <w:tcW w:type="dxa" w:w="36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Eye contact, posture, gestures (analysed AFTER session, not real-time)</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Marking engine</w:t>
            </w:r>
          </w:p>
        </w:tc>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Sonnet 4.6 LLM-judge on transcript + voice features + video features → rubric</w:t>
            </w:r>
          </w:p>
        </w:tc>
        <w:tc>
          <w:tcPr>
            <w:tcW w:type="dxa" w:w="36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Per-exam rubric scoring</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Persistence</w:t>
            </w:r>
          </w:p>
        </w:tc>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Postgres + R2 video storage + transcript log</w:t>
            </w:r>
          </w:p>
        </w:tc>
        <w:tc>
          <w:tcPr>
            <w:tcW w:type="dxa" w:w="36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User can replay; reviewer can audit</w:t>
            </w:r>
          </w:p>
        </w:tc>
      </w:tr>
    </w:tbl>
    <w:p>
      <w:pPr>
        <w:pStyle w:val="Heading2"/>
        <w:spacing w:after="100" w:before="240"/>
      </w:pPr>
      <w:r>
        <w:rPr>
          <w:b/>
          <w:bCs/>
          <w:color w:val="0E7C7B"/>
          <w:sz w:val="26"/>
          <w:szCs w:val="26"/>
        </w:rPr>
        <w:t xml:space="preserve">Why async video analysis (not real-time)</w:t>
      </w:r>
    </w:p>
    <w:p>
      <w:pPr>
        <w:spacing w:after="120" w:line="300"/>
      </w:pPr>
      <w:r>
        <w:rPr>
          <w:color w:val="111827"/>
          <w:sz w:val="21"/>
          <w:szCs w:val="21"/>
        </w:rPr>
        <w:t xml:space="preserve">Analysing video in real-time is </w:t>
      </w:r>
      <w:r>
        <w:rPr>
          <w:b/>
          <w:bCs/>
          <w:color w:val="111827"/>
          <w:sz w:val="21"/>
          <w:szCs w:val="21"/>
        </w:rPr>
        <w:t xml:space="preserve">expensive and unnecessary</w:t>
      </w:r>
      <w:r>
        <w:rPr>
          <w:color w:val="111827"/>
          <w:sz w:val="21"/>
          <w:szCs w:val="21"/>
        </w:rPr>
        <w:t xml:space="preserve">. Streaming Gemini 2.5 Pro Vision over a 10-minute station costs £1.50–4.00. Analysing the same recording in batch after the session costs £0.30–0.80 and produces equivalent or better feedback (the model can review the whole tape in one pass). The user gets feedback in 2–4 minutes after the session ends — feels instant, costs 5× less.</w:t>
      </w:r>
    </w:p>
    <w:p>
      <w:pPr>
        <w:pStyle w:val="Heading2"/>
        <w:spacing w:after="100" w:before="240"/>
      </w:pPr>
      <w:r>
        <w:rPr>
          <w:b/>
          <w:bCs/>
          <w:color w:val="0E7C7B"/>
          <w:sz w:val="26"/>
          <w:szCs w:val="26"/>
        </w:rPr>
        <w:t xml:space="preserve">The marking pipeline (after a session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Step</w:t>
            </w:r>
          </w:p>
        </w:tc>
        <w:tc>
          <w:tcPr>
            <w:tcW w:type="dxa" w:w="37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What runs</w:t>
            </w:r>
          </w:p>
        </w:tc>
        <w:tc>
          <w:tcPr>
            <w:tcW w:type="dxa" w:w="34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Output</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 Transcript finalisation</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Whisper-Large-v3 + speaker diarisation</w:t>
            </w:r>
          </w:p>
        </w:tc>
        <w:tc>
          <w:tcPr>
            <w:tcW w:type="dxa" w:w="3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Timestamped clean transcript</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 Voice features</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Hume EVI + custom (WPM, pause distribution, hedge-words)</w:t>
            </w:r>
          </w:p>
        </w:tc>
        <w:tc>
          <w:tcPr>
            <w:tcW w:type="dxa" w:w="3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Tone vector — confident/empathic/paced</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 Video features (if Pro+)</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MediaPipe (pose, face landmarks) + Gemini 2.5 Pro Vision pass</w:t>
            </w:r>
          </w:p>
        </w:tc>
        <w:tc>
          <w:tcPr>
            <w:tcW w:type="dxa" w:w="3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Eye-contact %, posture stability, gesture frequency</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4. Coverage check</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Sonnet 4.6 against station rubric</w:t>
            </w:r>
          </w:p>
        </w:tc>
        <w:tc>
          <w:tcPr>
            <w:tcW w:type="dxa" w:w="3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Did they cover required domains? (binary per item)</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 Score computation</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Deterministic weighted sum of rubric items</w:t>
            </w:r>
          </w:p>
        </w:tc>
        <w:tc>
          <w:tcPr>
            <w:tcW w:type="dxa" w:w="3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Score / max + per-domain breakdown</w:t>
            </w:r>
          </w:p>
        </w:tc>
      </w:tr>
      <w:tr>
        <w:tc>
          <w:tcPr>
            <w:tcW w:type="dxa" w:w="22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6. Feedback generation</w:t>
            </w:r>
          </w:p>
        </w:tc>
        <w:tc>
          <w:tcPr>
            <w:tcW w:type="dxa" w:w="3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Sonnet 4.6 + Opus 4.6 for hardest cases</w:t>
            </w:r>
          </w:p>
        </w:tc>
        <w:tc>
          <w:tcPr>
            <w:tcW w:type="dxa" w:w="34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Constructive narrative + 3 actionables</w:t>
            </w:r>
          </w:p>
        </w:tc>
      </w:tr>
      <w:tr>
        <w:tc>
          <w:tcPr>
            <w:tcW w:type="dxa" w:w="22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7. Adaptive feed-back to planner</w:t>
            </w:r>
          </w:p>
        </w:tc>
        <w:tc>
          <w:tcPr>
            <w:tcW w:type="dxa" w:w="3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Updates user's communication-skills mastery vector</w:t>
            </w:r>
          </w:p>
        </w:tc>
        <w:tc>
          <w:tcPr>
            <w:tcW w:type="dxa" w:w="34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Future Practice + Mock plans rebalance</w:t>
            </w:r>
          </w:p>
        </w:tc>
      </w:tr>
    </w:tbl>
    <w:p>
      <w:r>
        <w:br w:type="page"/>
      </w:r>
    </w:p>
    <w:p>
      <w:pPr>
        <w:pStyle w:val="Heading1"/>
        <w:spacing w:after="160" w:before="360"/>
      </w:pPr>
      <w:r>
        <w:rPr>
          <w:b/>
          <w:bCs/>
          <w:color w:val="0F2740"/>
          <w:sz w:val="36"/>
          <w:szCs w:val="36"/>
        </w:rPr>
        <w:t xml:space="preserve">Rubric design pattern — build, never copy</w:t>
      </w:r>
    </w:p>
    <w:p>
      <w:pPr>
        <w:pStyle w:val="Heading2"/>
        <w:spacing w:after="100" w:before="240"/>
      </w:pPr>
      <w:r>
        <w:rPr>
          <w:b/>
          <w:bCs/>
          <w:color w:val="0E7C7B"/>
          <w:sz w:val="26"/>
          <w:szCs w:val="26"/>
        </w:rPr>
        <w:t xml:space="preserve">The legal line</w:t>
      </w:r>
    </w:p>
    <w:p>
      <w:pPr>
        <w:spacing w:after="120" w:line="300"/>
      </w:pPr>
      <w:r>
        <w:rPr>
          <w:color w:val="111827"/>
          <w:sz w:val="21"/>
          <w:szCs w:val="21"/>
        </w:rPr>
        <w:t xml:space="preserve">Royal College and GMC official marking schemes are not published in their full form, and where they exist publicly they are subject to assessment-body copyright. </w:t>
      </w:r>
      <w:r>
        <w:rPr>
          <w:b/>
          <w:bCs/>
          <w:color w:val="111827"/>
          <w:sz w:val="21"/>
          <w:szCs w:val="21"/>
        </w:rPr>
        <w:t xml:space="preserve">Do not copy any commercial OSCE-prep mark scheme either</w:t>
      </w:r>
      <w:r>
        <w:rPr>
          <w:color w:val="111827"/>
          <w:sz w:val="21"/>
          <w:szCs w:val="21"/>
        </w:rPr>
        <w:t xml:space="preserve"> — Pastest, Quesmed, MRCS Coach, etc. all have their own rubrics that are protected. The route is to </w:t>
      </w:r>
      <w:r>
        <w:rPr>
          <w:b/>
          <w:bCs/>
          <w:color w:val="111827"/>
          <w:sz w:val="21"/>
          <w:szCs w:val="21"/>
        </w:rPr>
        <w:t xml:space="preserve">build your own rubrics</w:t>
      </w:r>
      <w:r>
        <w:rPr>
          <w:color w:val="111827"/>
          <w:sz w:val="21"/>
          <w:szCs w:val="21"/>
        </w:rPr>
        <w:t xml:space="preserve"> from public sources:</w:t>
      </w:r>
    </w:p>
    <w:p>
      <w:pPr>
        <w:pStyle w:val="ListParagraph"/>
        <w:numPr>
          <w:ilvl w:val="0"/>
          <w:numId w:val="2"/>
        </w:numPr>
        <w:spacing w:after="60" w:line="280"/>
      </w:pPr>
      <w:r>
        <w:rPr>
          <w:b/>
          <w:bCs/>
          <w:color w:val="111827"/>
          <w:sz w:val="21"/>
          <w:szCs w:val="21"/>
        </w:rPr>
        <w:t xml:space="preserve">Royal College published assessment frameworks</w:t>
      </w:r>
      <w:r>
        <w:rPr>
          <w:color w:val="111827"/>
          <w:sz w:val="21"/>
          <w:szCs w:val="21"/>
        </w:rPr>
        <w:t xml:space="preserve"> — high-level domains (e.g., for PACES: physical examination, identifying physical signs, clinical communication, differential diagnosis, clinical judgement, managing patients' concerns).</w:t>
      </w:r>
    </w:p>
    <w:p>
      <w:pPr>
        <w:pStyle w:val="ListParagraph"/>
        <w:numPr>
          <w:ilvl w:val="0"/>
          <w:numId w:val="2"/>
        </w:numPr>
        <w:spacing w:after="60" w:line="280"/>
      </w:pPr>
      <w:r>
        <w:rPr>
          <w:b/>
          <w:bCs/>
          <w:color w:val="111827"/>
          <w:sz w:val="21"/>
          <w:szCs w:val="21"/>
        </w:rPr>
        <w:t xml:space="preserve">Public examiner reports</w:t>
      </w:r>
      <w:r>
        <w:rPr>
          <w:color w:val="111827"/>
          <w:sz w:val="21"/>
          <w:szCs w:val="21"/>
        </w:rPr>
        <w:t xml:space="preserve"> — Royal Colleges publish post-diet examiner reports with common failure patterns. Goldmine for rubric calibration.</w:t>
      </w:r>
    </w:p>
    <w:p>
      <w:pPr>
        <w:pStyle w:val="ListParagraph"/>
        <w:numPr>
          <w:ilvl w:val="0"/>
          <w:numId w:val="2"/>
        </w:numPr>
        <w:spacing w:after="60" w:line="280"/>
      </w:pPr>
      <w:r>
        <w:rPr>
          <w:b/>
          <w:bCs/>
          <w:color w:val="111827"/>
          <w:sz w:val="21"/>
          <w:szCs w:val="21"/>
        </w:rPr>
        <w:t xml:space="preserve">Generic competency frameworks</w:t>
      </w:r>
      <w:r>
        <w:rPr>
          <w:color w:val="111827"/>
          <w:sz w:val="21"/>
          <w:szCs w:val="21"/>
        </w:rPr>
        <w:t xml:space="preserve"> — GMC Good Medical Practice, Calgary-Cambridge consultation model, SPIKES protocol, capacity assessment criteria. All public, all citable.</w:t>
      </w:r>
    </w:p>
    <w:p>
      <w:pPr>
        <w:pStyle w:val="ListParagraph"/>
        <w:numPr>
          <w:ilvl w:val="0"/>
          <w:numId w:val="2"/>
        </w:numPr>
        <w:spacing w:after="60" w:line="280"/>
      </w:pPr>
      <w:r>
        <w:rPr>
          <w:b/>
          <w:bCs/>
          <w:color w:val="111827"/>
          <w:sz w:val="21"/>
          <w:szCs w:val="21"/>
        </w:rPr>
        <w:t xml:space="preserve">Your network's recent experience</w:t>
      </w:r>
      <w:r>
        <w:rPr>
          <w:color w:val="111827"/>
          <w:sz w:val="21"/>
          <w:szCs w:val="21"/>
        </w:rPr>
        <w:t xml:space="preserve"> — what their actual exam felt like, what examiners flagged. Anonymised, summarised, becomes editorial input.</w:t>
      </w:r>
    </w:p>
    <w:p>
      <w:pPr>
        <w:pStyle w:val="Heading2"/>
        <w:spacing w:after="100" w:before="240"/>
      </w:pPr>
      <w:r>
        <w:rPr>
          <w:b/>
          <w:bCs/>
          <w:color w:val="0E7C7B"/>
          <w:sz w:val="26"/>
          <w:szCs w:val="26"/>
        </w:rPr>
        <w:t xml:space="preserve">Rubric structure (universal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00"/>
        <w:gridCol w:w="2060"/>
      </w:tblGrid>
      <w:tr>
        <w:trPr>
          <w:tblHeader/>
        </w:trPr>
        <w:tc>
          <w:tcPr>
            <w:tcW w:type="dxa" w:w="24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Domain</w:t>
            </w:r>
          </w:p>
        </w:tc>
        <w:tc>
          <w:tcPr>
            <w:tcW w:type="dxa" w:w="49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Sub-criteria</w:t>
            </w:r>
          </w:p>
        </w:tc>
        <w:tc>
          <w:tcPr>
            <w:tcW w:type="dxa" w:w="20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Scoring</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Opening + introduction</w:t>
            </w:r>
          </w:p>
        </w:tc>
        <w:tc>
          <w:tcPr>
            <w:tcW w:type="dxa" w:w="4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Greets, identifies self + role, confirms patient identity, gains consent</w:t>
            </w:r>
          </w:p>
        </w:tc>
        <w:tc>
          <w:tcPr>
            <w:tcW w:type="dxa" w:w="2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Each item 0/1/2</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Information gathering</w:t>
            </w:r>
          </w:p>
        </w:tc>
        <w:tc>
          <w:tcPr>
            <w:tcW w:type="dxa" w:w="4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Open questions first, focused closed later, ICE (ideas/concerns/expectations), red-flag screen</w:t>
            </w:r>
          </w:p>
        </w:tc>
        <w:tc>
          <w:tcPr>
            <w:tcW w:type="dxa" w:w="2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Each item 0/1/2</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Communication style</w:t>
            </w:r>
          </w:p>
        </w:tc>
        <w:tc>
          <w:tcPr>
            <w:tcW w:type="dxa" w:w="4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Active listening, no jargon, empathy markers, paced appropriately</w:t>
            </w:r>
          </w:p>
        </w:tc>
        <w:tc>
          <w:tcPr>
            <w:tcW w:type="dxa" w:w="2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Holistic 0–4</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Clinical content</w:t>
            </w:r>
          </w:p>
        </w:tc>
        <w:tc>
          <w:tcPr>
            <w:tcW w:type="dxa" w:w="4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Domain-specific (e.g., for chest pain: SOCRATES, cardiac risk factors, alarm features)</w:t>
            </w:r>
          </w:p>
        </w:tc>
        <w:tc>
          <w:tcPr>
            <w:tcW w:type="dxa" w:w="2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Per-station, weighted</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Management plan</w:t>
            </w:r>
          </w:p>
        </w:tc>
        <w:tc>
          <w:tcPr>
            <w:tcW w:type="dxa" w:w="4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Appropriate investigations, safety-netting, follow-up arrangement, patient understanding check</w:t>
            </w:r>
          </w:p>
        </w:tc>
        <w:tc>
          <w:tcPr>
            <w:tcW w:type="dxa" w:w="2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Each item 0/1/2</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Professionalism</w:t>
            </w:r>
          </w:p>
        </w:tc>
        <w:tc>
          <w:tcPr>
            <w:tcW w:type="dxa" w:w="4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Capacity, confidentiality, appropriate boundaries, dignity</w:t>
            </w:r>
          </w:p>
        </w:tc>
        <w:tc>
          <w:tcPr>
            <w:tcW w:type="dxa" w:w="2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Holistic 0–4</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Examiner's global rating</w:t>
            </w:r>
          </w:p>
        </w:tc>
        <w:tc>
          <w:tcPr>
            <w:tcW w:type="dxa" w:w="4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Pass / borderline / fail</w:t>
            </w:r>
          </w:p>
        </w:tc>
        <w:tc>
          <w:tcPr>
            <w:tcW w:type="dxa" w:w="2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Modified Angoff anchored</w:t>
            </w:r>
          </w:p>
        </w:tc>
      </w:tr>
    </w:tbl>
    <w:p>
      <w:pPr>
        <w:pStyle w:val="Heading2"/>
        <w:spacing w:after="100" w:before="240"/>
      </w:pPr>
      <w:r>
        <w:rPr>
          <w:b/>
          <w:bCs/>
          <w:color w:val="0E7C7B"/>
          <w:sz w:val="26"/>
          <w:szCs w:val="26"/>
        </w:rPr>
        <w:t xml:space="preserve">Calibration over time</w:t>
      </w:r>
    </w:p>
    <w:p>
      <w:pPr>
        <w:spacing w:after="120" w:line="300"/>
      </w:pPr>
      <w:r>
        <w:rPr>
          <w:color w:val="111827"/>
          <w:sz w:val="21"/>
          <w:szCs w:val="21"/>
        </w:rPr>
        <w:t xml:space="preserve">v1 rubrics will be approximate. The differentiator over time is calibrating against real-world outcomes — when users tell you they passed (or failed) the actual exam, regress their final-mock scores against the outcome. That's how you learn whether your scoring is too kind or too harsh, and whether specific domains predict success better than others. Within 18 months, the rubric is calibrated against thousands of real outcomes and your readiness predictor becomes the most accurate in the market.</w:t>
      </w:r>
    </w:p>
    <w:p>
      <w:r>
        <w:br w:type="page"/>
      </w:r>
    </w:p>
    <w:p>
      <w:pPr>
        <w:pStyle w:val="Heading1"/>
        <w:spacing w:after="160" w:before="360"/>
      </w:pPr>
      <w:r>
        <w:rPr>
          <w:b/>
          <w:bCs/>
          <w:color w:val="0F2740"/>
          <w:sz w:val="36"/>
          <w:szCs w:val="36"/>
        </w:rPr>
        <w:t xml:space="preserve">Economics — does this work?</w:t>
      </w:r>
    </w:p>
    <w:p>
      <w:pPr>
        <w:pStyle w:val="Heading2"/>
        <w:spacing w:after="100" w:before="240"/>
      </w:pPr>
      <w:r>
        <w:rPr>
          <w:b/>
          <w:bCs/>
          <w:color w:val="0E7C7B"/>
          <w:sz w:val="26"/>
          <w:szCs w:val="26"/>
        </w:rPr>
        <w:t xml:space="preserve">Per-station cost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1700"/>
        <w:gridCol w:w="2660"/>
      </w:tblGrid>
      <w:tr>
        <w:trPr>
          <w:tblHeader/>
        </w:trPr>
        <w:tc>
          <w:tcPr>
            <w:tcW w:type="dxa" w:w="33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Cost line (10-min station)</w:t>
            </w:r>
          </w:p>
        </w:tc>
        <w:tc>
          <w:tcPr>
            <w:tcW w:type="dxa" w:w="17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Free / Practice</w:t>
            </w:r>
          </w:p>
        </w:tc>
        <w:tc>
          <w:tcPr>
            <w:tcW w:type="dxa" w:w="17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Pro Doctor</w:t>
            </w:r>
          </w:p>
        </w:tc>
        <w:tc>
          <w:tcPr>
            <w:tcW w:type="dxa" w:w="26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Specialist / Mock</w:t>
            </w:r>
          </w:p>
        </w:tc>
      </w:tr>
      <w:tr>
        <w:tc>
          <w:tcPr>
            <w:tcW w:type="dxa" w:w="3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Real-time voice (GPT-4o Realtime)</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£1.50</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£1.50</w:t>
            </w:r>
          </w:p>
        </w:tc>
        <w:tc>
          <w:tcPr>
            <w:tcW w:type="dxa" w:w="26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£1.50</w:t>
            </w:r>
          </w:p>
        </w:tc>
      </w:tr>
      <w:tr>
        <w:tc>
          <w:tcPr>
            <w:tcW w:type="dxa" w:w="3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Voice tone analysis (Hume EVI)</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£0.20</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£0.20</w:t>
            </w:r>
          </w:p>
        </w:tc>
        <w:tc>
          <w:tcPr>
            <w:tcW w:type="dxa" w:w="26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£0.30</w:t>
            </w:r>
          </w:p>
        </w:tc>
      </w:tr>
      <w:tr>
        <w:tc>
          <w:tcPr>
            <w:tcW w:type="dxa" w:w="3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Video avatar (Wav2Lip lip-sync)</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£0.10</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£0.20</w:t>
            </w:r>
          </w:p>
        </w:tc>
        <w:tc>
          <w:tcPr>
            <w:tcW w:type="dxa" w:w="26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w:t>
            </w:r>
          </w:p>
        </w:tc>
      </w:tr>
      <w:tr>
        <w:tc>
          <w:tcPr>
            <w:tcW w:type="dxa" w:w="3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Video avatar (Tavus CVI)</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w:t>
            </w:r>
          </w:p>
        </w:tc>
        <w:tc>
          <w:tcPr>
            <w:tcW w:type="dxa" w:w="26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£3.00</w:t>
            </w:r>
          </w:p>
        </w:tc>
      </w:tr>
      <w:tr>
        <w:tc>
          <w:tcPr>
            <w:tcW w:type="dxa" w:w="3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Async video analysis</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£0.40</w:t>
            </w:r>
          </w:p>
        </w:tc>
        <w:tc>
          <w:tcPr>
            <w:tcW w:type="dxa" w:w="26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£0.60</w:t>
            </w:r>
          </w:p>
        </w:tc>
      </w:tr>
      <w:tr>
        <w:tc>
          <w:tcPr>
            <w:tcW w:type="dxa" w:w="3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LLM marking + feedback</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£0.20</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£0.30</w:t>
            </w:r>
          </w:p>
        </w:tc>
        <w:tc>
          <w:tcPr>
            <w:tcW w:type="dxa" w:w="26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£0.50</w:t>
            </w:r>
          </w:p>
        </w:tc>
      </w:tr>
      <w:tr>
        <w:tc>
          <w:tcPr>
            <w:tcW w:type="dxa" w:w="3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TOTAL per station</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£2.00</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£2.60</w:t>
            </w:r>
          </w:p>
        </w:tc>
        <w:tc>
          <w:tcPr>
            <w:tcW w:type="dxa" w:w="26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£5.90</w:t>
            </w:r>
          </w:p>
        </w:tc>
      </w:tr>
      <w:tr>
        <w:tc>
          <w:tcPr>
            <w:tcW w:type="dxa" w:w="3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TOTAL per 16-station mock</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£32</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£42</w:t>
            </w:r>
          </w:p>
        </w:tc>
        <w:tc>
          <w:tcPr>
            <w:tcW w:type="dxa" w:w="26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£94</w:t>
            </w:r>
          </w:p>
        </w:tc>
      </w:tr>
    </w:tbl>
    <w:p>
      <w:pPr>
        <w:pStyle w:val="Heading2"/>
        <w:spacing w:after="100" w:before="240"/>
      </w:pPr>
      <w:r>
        <w:rPr>
          <w:b/>
          <w:bCs/>
          <w:color w:val="0E7C7B"/>
          <w:sz w:val="26"/>
          <w:szCs w:val="26"/>
        </w:rPr>
        <w:t xml:space="preserve">Mock exam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300"/>
        <w:gridCol w:w="1900"/>
        <w:gridCol w:w="2060"/>
      </w:tblGrid>
      <w:tr>
        <w:trPr>
          <w:tblHeader/>
        </w:trPr>
        <w:tc>
          <w:tcPr>
            <w:tcW w:type="dxa" w:w="24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Mock product</w:t>
            </w:r>
          </w:p>
        </w:tc>
        <w:tc>
          <w:tcPr>
            <w:tcW w:type="dxa" w:w="17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Stations</w:t>
            </w:r>
          </w:p>
        </w:tc>
        <w:tc>
          <w:tcPr>
            <w:tcW w:type="dxa" w:w="13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Price</w:t>
            </w:r>
          </w:p>
        </w:tc>
        <w:tc>
          <w:tcPr>
            <w:tcW w:type="dxa" w:w="19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Cost (Specialist tier)</w:t>
            </w:r>
          </w:p>
        </w:tc>
        <w:tc>
          <w:tcPr>
            <w:tcW w:type="dxa" w:w="20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Margin</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Quick Mock</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4 stations × 8 min</w:t>
            </w:r>
          </w:p>
        </w:tc>
        <w:tc>
          <w:tcPr>
            <w:tcW w:type="dxa" w:w="1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£14.99</w:t>
            </w:r>
          </w:p>
        </w:tc>
        <w:tc>
          <w:tcPr>
            <w:tcW w:type="dxa" w:w="1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£24</w:t>
            </w:r>
          </w:p>
        </w:tc>
        <w:tc>
          <w:tcPr>
            <w:tcW w:type="dxa" w:w="2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LOSS — limit to Pro+</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Mini PLAB 2 / PACES</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8 stations</w:t>
            </w:r>
          </w:p>
        </w:tc>
        <w:tc>
          <w:tcPr>
            <w:tcW w:type="dxa" w:w="1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£29.99</w:t>
            </w:r>
          </w:p>
        </w:tc>
        <w:tc>
          <w:tcPr>
            <w:tcW w:type="dxa" w:w="1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£47</w:t>
            </w:r>
          </w:p>
        </w:tc>
        <w:tc>
          <w:tcPr>
            <w:tcW w:type="dxa" w:w="2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Loss as Specialist; OK if Pro tier (£21)</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Full PLAB 2 / MRCS B mock</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16 stations + debrief</w:t>
            </w:r>
          </w:p>
        </w:tc>
        <w:tc>
          <w:tcPr>
            <w:tcW w:type="dxa" w:w="1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£59.99</w:t>
            </w:r>
          </w:p>
        </w:tc>
        <w:tc>
          <w:tcPr>
            <w:tcW w:type="dxa" w:w="1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£94 (Specialist) / £42 (Pro)</w:t>
            </w:r>
          </w:p>
        </w:tc>
        <w:tc>
          <w:tcPr>
            <w:tcW w:type="dxa" w:w="2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Pro tier 30% margin; Specialist tier need £119</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Premium mock day (full + 1:1 review call)</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16 stations + 30-min mentor call</w:t>
            </w:r>
          </w:p>
        </w:tc>
        <w:tc>
          <w:tcPr>
            <w:tcW w:type="dxa" w:w="1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£149</w:t>
            </w:r>
          </w:p>
        </w:tc>
        <w:tc>
          <w:tcPr>
            <w:tcW w:type="dxa" w:w="19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£94 + £40 mentor = £134</w:t>
            </w:r>
          </w:p>
        </w:tc>
        <w:tc>
          <w:tcPr>
            <w:tcW w:type="dxa" w:w="20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 margin; loss-leader for community</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Subscription mock pass (3 mocks/mo)</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w:t>
            </w:r>
          </w:p>
        </w:tc>
        <w:tc>
          <w:tcPr>
            <w:tcW w:type="dxa" w:w="1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£39.99/mo</w:t>
            </w:r>
          </w:p>
        </w:tc>
        <w:tc>
          <w:tcPr>
            <w:tcW w:type="dxa" w:w="19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~£126 cost</w:t>
            </w:r>
          </w:p>
        </w:tc>
        <w:tc>
          <w:tcPr>
            <w:tcW w:type="dxa" w:w="20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LOSS — replace with credit pack</w:t>
            </w:r>
          </w:p>
        </w:tc>
      </w:tr>
    </w:tbl>
    <w:p>
      <w:pPr>
        <w:spacing w:after="120" w:line="300"/>
      </w:pPr>
      <w:r>
        <w:rPr>
          <w:b/>
          <w:bCs/>
          <w:color w:val="111827"/>
          <w:sz w:val="21"/>
          <w:szCs w:val="21"/>
        </w:rPr>
        <w:t xml:space="preserve">Implication. </w:t>
      </w:r>
      <w:r>
        <w:rPr>
          <w:color w:val="111827"/>
          <w:sz w:val="21"/>
          <w:szCs w:val="21"/>
        </w:rPr>
        <w:t xml:space="preserve">Mock packs at £49–79 with Pro-tier video (lip-sync) work cleanly. Specialist video avatars are reserved for the £99–149 premium tier and need to be sold as a clear upgrade. The </w:t>
      </w:r>
      <w:r>
        <w:rPr>
          <w:b/>
          <w:bCs/>
          <w:color w:val="111827"/>
          <w:sz w:val="21"/>
          <w:szCs w:val="21"/>
        </w:rPr>
        <w:t xml:space="preserve">price you can charge depends on what users compare you to</w:t>
      </w:r>
      <w:r>
        <w:rPr>
          <w:color w:val="111827"/>
          <w:sz w:val="21"/>
          <w:szCs w:val="21"/>
        </w:rPr>
        <w:t xml:space="preserve"> — and the comparison is £400–800 in-person mock circuits, so £79 for an at-home AI mock with feedback is a steal that needs no discounting.</w:t>
      </w:r>
    </w:p>
    <w:p>
      <w:pPr>
        <w:pStyle w:val="Heading2"/>
        <w:spacing w:after="100" w:before="240"/>
      </w:pPr>
      <w:r>
        <w:rPr>
          <w:b/>
          <w:bCs/>
          <w:color w:val="0E7C7B"/>
          <w:sz w:val="26"/>
          <w:szCs w:val="26"/>
        </w:rPr>
        <w:t xml:space="preserve">Revenue scenarios — Year 1 OSCE module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1300"/>
        <w:gridCol w:w="1860"/>
      </w:tblGrid>
      <w:tr>
        <w:trPr>
          <w:tblHeader/>
        </w:trPr>
        <w:tc>
          <w:tcPr>
            <w:tcW w:type="dxa" w:w="24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Scenario</w:t>
            </w:r>
          </w:p>
        </w:tc>
        <w:tc>
          <w:tcPr>
            <w:tcW w:type="dxa" w:w="20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Active prep users</w:t>
            </w:r>
          </w:p>
        </w:tc>
        <w:tc>
          <w:tcPr>
            <w:tcW w:type="dxa" w:w="18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Avg mocks bought / user</w:t>
            </w:r>
          </w:p>
        </w:tc>
        <w:tc>
          <w:tcPr>
            <w:tcW w:type="dxa" w:w="13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Avg mock price</w:t>
            </w:r>
          </w:p>
        </w:tc>
        <w:tc>
          <w:tcPr>
            <w:tcW w:type="dxa" w:w="18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Annual mock revenue</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Conservative</w:t>
            </w:r>
          </w:p>
        </w:tc>
        <w:tc>
          <w:tcPr>
            <w:tcW w:type="dxa" w:w="2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1,500</w:t>
            </w:r>
          </w:p>
        </w:tc>
        <w:tc>
          <w:tcPr>
            <w:tcW w:type="dxa" w:w="18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w:t>
            </w:r>
          </w:p>
        </w:tc>
        <w:tc>
          <w:tcPr>
            <w:tcW w:type="dxa" w:w="1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£49</w:t>
            </w:r>
          </w:p>
        </w:tc>
        <w:tc>
          <w:tcPr>
            <w:tcW w:type="dxa" w:w="18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£147,000</w:t>
            </w:r>
          </w:p>
        </w:tc>
      </w:tr>
      <w:tr>
        <w:tc>
          <w:tcPr>
            <w:tcW w:type="dxa" w:w="24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Mid</w:t>
            </w:r>
          </w:p>
        </w:tc>
        <w:tc>
          <w:tcPr>
            <w:tcW w:type="dxa" w:w="20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3,000</w:t>
            </w:r>
          </w:p>
        </w:tc>
        <w:tc>
          <w:tcPr>
            <w:tcW w:type="dxa" w:w="18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w:t>
            </w:r>
          </w:p>
        </w:tc>
        <w:tc>
          <w:tcPr>
            <w:tcW w:type="dxa" w:w="13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£59</w:t>
            </w:r>
          </w:p>
        </w:tc>
        <w:tc>
          <w:tcPr>
            <w:tcW w:type="dxa" w:w="18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£531,000</w:t>
            </w:r>
          </w:p>
        </w:tc>
      </w:tr>
      <w:tr>
        <w:tc>
          <w:tcPr>
            <w:tcW w:type="dxa" w:w="24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Aggressive (post Year 2)</w:t>
            </w:r>
          </w:p>
        </w:tc>
        <w:tc>
          <w:tcPr>
            <w:tcW w:type="dxa" w:w="20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8,000</w:t>
            </w:r>
          </w:p>
        </w:tc>
        <w:tc>
          <w:tcPr>
            <w:tcW w:type="dxa" w:w="18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4</w:t>
            </w:r>
          </w:p>
        </w:tc>
        <w:tc>
          <w:tcPr>
            <w:tcW w:type="dxa" w:w="13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£69</w:t>
            </w:r>
          </w:p>
        </w:tc>
        <w:tc>
          <w:tcPr>
            <w:tcW w:type="dxa" w:w="18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£2,208,000</w:t>
            </w:r>
          </w:p>
        </w:tc>
      </w:tr>
    </w:tbl>
    <w:p>
      <w:pPr>
        <w:spacing w:after="120" w:line="300"/>
      </w:pPr>
      <w:r>
        <w:rPr>
          <w:color w:val="111827"/>
          <w:sz w:val="21"/>
          <w:szCs w:val="21"/>
        </w:rPr>
        <w:t xml:space="preserve">Plus a Specialist subscription tier (£24.99/mo with unlimited Practice + 2 free mocks/mo) at </w:t>
      </w:r>
      <w:r>
        <w:rPr>
          <w:b/>
          <w:bCs/>
          <w:color w:val="111827"/>
          <w:sz w:val="21"/>
          <w:szCs w:val="21"/>
        </w:rPr>
        <w:t xml:space="preserve">~10–15% of paying users</w:t>
      </w:r>
      <w:r>
        <w:rPr>
          <w:color w:val="111827"/>
          <w:sz w:val="21"/>
          <w:szCs w:val="21"/>
        </w:rPr>
        <w:t xml:space="preserve"> adds another £30–80k/year of recurring revenue at mid-case scale.</w:t>
      </w:r>
    </w:p>
    <w:p>
      <w:pPr>
        <w:pStyle w:val="Heading2"/>
        <w:spacing w:after="100" w:before="240"/>
      </w:pPr>
      <w:r>
        <w:rPr>
          <w:b/>
          <w:bCs/>
          <w:color w:val="0E7C7B"/>
          <w:sz w:val="26"/>
          <w:szCs w:val="26"/>
        </w:rPr>
        <w:t xml:space="preserve">Subscription tier refresh with OSCE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160"/>
      </w:tblGrid>
      <w:tr>
        <w:trPr>
          <w:tblHeader/>
        </w:trPr>
        <w:tc>
          <w:tcPr>
            <w:tcW w:type="dxa" w:w="15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Tier</w:t>
            </w:r>
          </w:p>
        </w:tc>
        <w:tc>
          <w:tcPr>
            <w:tcW w:type="dxa" w:w="17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Price</w:t>
            </w:r>
          </w:p>
        </w:tc>
        <w:tc>
          <w:tcPr>
            <w:tcW w:type="dxa" w:w="61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OSCE access</w:t>
            </w:r>
          </w:p>
        </w:tc>
      </w:tr>
      <w:tr>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Free</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£0</w:t>
            </w:r>
          </w:p>
        </w:tc>
        <w:tc>
          <w:tcPr>
            <w:tcW w:type="dxa" w:w="6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 Learn video / day · 1 Practice station / week (lip-sync only) · no mocks</w:t>
            </w:r>
          </w:p>
        </w:tc>
      </w:tr>
      <w:tr>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Pro Doctor</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£12.99/mo</w:t>
            </w:r>
          </w:p>
        </w:tc>
        <w:tc>
          <w:tcPr>
            <w:tcW w:type="dxa" w:w="6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Unlimited Learn videos · 5 Practice / week · 1 free Quick Mock / month · 20% off mock packs</w:t>
            </w:r>
          </w:p>
        </w:tc>
      </w:tr>
      <w:tr>
        <w:tc>
          <w:tcPr>
            <w:tcW w:type="dxa" w:w="1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Specialist</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£24.99/mo</w:t>
            </w:r>
          </w:p>
        </w:tc>
        <w:tc>
          <w:tcPr>
            <w:tcW w:type="dxa" w:w="6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Pro + Tavus video avatar · unlimited Practice · 2 free Mini Mocks / month · 30% off Full Mocks · early-access mock packs</w:t>
            </w:r>
          </w:p>
        </w:tc>
      </w:tr>
      <w:tr>
        <w:tc>
          <w:tcPr>
            <w:tcW w:type="dxa" w:w="1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Mock-pass add-on</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£39.99/mo (capped)</w:t>
            </w:r>
          </w:p>
        </w:tc>
        <w:tc>
          <w:tcPr>
            <w:tcW w:type="dxa" w:w="6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3 full mocks / month at marginal cost; intended as a 30-day pre-exam upgrade only</w:t>
            </w:r>
          </w:p>
        </w:tc>
      </w:tr>
    </w:tbl>
    <w:p>
      <w:r>
        <w:br w:type="page"/>
      </w:r>
    </w:p>
    <w:p>
      <w:pPr>
        <w:pStyle w:val="Heading1"/>
        <w:spacing w:after="160" w:before="360"/>
      </w:pPr>
      <w:r>
        <w:rPr>
          <w:b/>
          <w:bCs/>
          <w:color w:val="0F2740"/>
          <w:sz w:val="36"/>
          <w:szCs w:val="36"/>
        </w:rPr>
        <w:t xml:space="preserve">Phased rollout — sequence the technical risk</w:t>
      </w:r>
    </w:p>
    <w:p>
      <w:pPr>
        <w:pStyle w:val="Heading2"/>
        <w:spacing w:after="100" w:before="240"/>
      </w:pPr>
      <w:r>
        <w:rPr>
          <w:b/>
          <w:bCs/>
          <w:color w:val="0E7C7B"/>
          <w:sz w:val="26"/>
          <w:szCs w:val="26"/>
        </w:rPr>
        <w:t xml:space="preserve">Phase 1 (months 0–2) — Voice-only Practice</w:t>
      </w:r>
    </w:p>
    <w:p>
      <w:pPr>
        <w:pStyle w:val="ListParagraph"/>
        <w:numPr>
          <w:ilvl w:val="0"/>
          <w:numId w:val="2"/>
        </w:numPr>
        <w:spacing w:after="60" w:line="280"/>
      </w:pPr>
      <w:r>
        <w:rPr>
          <w:color w:val="111827"/>
          <w:sz w:val="21"/>
          <w:szCs w:val="21"/>
        </w:rPr>
        <w:t xml:space="preserve">GPT-4o Realtime conversational engine, persona prompts loaded per session.</w:t>
      </w:r>
    </w:p>
    <w:p>
      <w:pPr>
        <w:pStyle w:val="ListParagraph"/>
        <w:numPr>
          <w:ilvl w:val="0"/>
          <w:numId w:val="2"/>
        </w:numPr>
        <w:spacing w:after="60" w:line="280"/>
      </w:pPr>
      <w:r>
        <w:rPr>
          <w:color w:val="111827"/>
          <w:sz w:val="21"/>
          <w:szCs w:val="21"/>
        </w:rPr>
        <w:t xml:space="preserve">Hume EVI for voice tone; Whisper for transcript.</w:t>
      </w:r>
    </w:p>
    <w:p>
      <w:pPr>
        <w:pStyle w:val="ListParagraph"/>
        <w:numPr>
          <w:ilvl w:val="0"/>
          <w:numId w:val="2"/>
        </w:numPr>
        <w:spacing w:after="60" w:line="280"/>
      </w:pPr>
      <w:r>
        <w:rPr>
          <w:color w:val="111827"/>
          <w:sz w:val="21"/>
          <w:szCs w:val="21"/>
        </w:rPr>
        <w:t xml:space="preserve">Sonnet 4.6 LLM-judge against rubric (one rubric authored per exam).</w:t>
      </w:r>
    </w:p>
    <w:p>
      <w:pPr>
        <w:pStyle w:val="ListParagraph"/>
        <w:numPr>
          <w:ilvl w:val="0"/>
          <w:numId w:val="2"/>
        </w:numPr>
        <w:spacing w:after="60" w:line="280"/>
      </w:pPr>
      <w:r>
        <w:rPr>
          <w:color w:val="111827"/>
          <w:sz w:val="21"/>
          <w:szCs w:val="21"/>
        </w:rPr>
        <w:t xml:space="preserve">Launch with 2 exams: PLAB 2 (huge demand) + MRCS Part B (your authority).</w:t>
      </w:r>
    </w:p>
    <w:p>
      <w:pPr>
        <w:pStyle w:val="ListParagraph"/>
        <w:numPr>
          <w:ilvl w:val="0"/>
          <w:numId w:val="2"/>
        </w:numPr>
        <w:spacing w:after="60" w:line="280"/>
      </w:pPr>
      <w:r>
        <w:rPr>
          <w:color w:val="111827"/>
          <w:sz w:val="21"/>
          <w:szCs w:val="21"/>
        </w:rPr>
        <w:t xml:space="preserve">12 personas, 30 stations across both exams.</w:t>
      </w:r>
    </w:p>
    <w:p>
      <w:pPr>
        <w:pStyle w:val="ListParagraph"/>
        <w:numPr>
          <w:ilvl w:val="0"/>
          <w:numId w:val="2"/>
        </w:numPr>
        <w:spacing w:after="60" w:line="280"/>
      </w:pPr>
      <w:r>
        <w:rPr>
          <w:color w:val="111827"/>
          <w:sz w:val="21"/>
          <w:szCs w:val="21"/>
        </w:rPr>
        <w:t xml:space="preserve">Text-only feedback ("feedback report" with score + 3 actionables).</w:t>
      </w:r>
    </w:p>
    <w:p>
      <w:pPr>
        <w:spacing w:after="120" w:line="300"/>
      </w:pPr>
      <w:r>
        <w:rPr>
          <w:b/>
          <w:bCs/>
          <w:color w:val="111827"/>
          <w:sz w:val="21"/>
          <w:szCs w:val="21"/>
        </w:rPr>
        <w:t xml:space="preserve">Goal: </w:t>
      </w:r>
      <w:r>
        <w:rPr>
          <w:color w:val="111827"/>
          <w:sz w:val="21"/>
          <w:szCs w:val="21"/>
        </w:rPr>
        <w:t xml:space="preserve">ship to 50 hand-seeded users (your network of recently-passed colleagues + their juniors). Validate that voice-only OSCE is useful enough to pay for. £14.99 single-station purchase + £29.99 mini-mock launch products.</w:t>
      </w:r>
    </w:p>
    <w:p>
      <w:pPr>
        <w:pStyle w:val="Heading2"/>
        <w:spacing w:after="100" w:before="240"/>
      </w:pPr>
      <w:r>
        <w:rPr>
          <w:b/>
          <w:bCs/>
          <w:color w:val="0E7C7B"/>
          <w:sz w:val="26"/>
          <w:szCs w:val="26"/>
        </w:rPr>
        <w:t xml:space="preserve">Phase 2 (months 2–5) — Lip-sync avatar + adaptive feedback</w:t>
      </w:r>
    </w:p>
    <w:p>
      <w:pPr>
        <w:pStyle w:val="ListParagraph"/>
        <w:numPr>
          <w:ilvl w:val="0"/>
          <w:numId w:val="2"/>
        </w:numPr>
        <w:spacing w:after="60" w:line="280"/>
      </w:pPr>
      <w:r>
        <w:rPr>
          <w:color w:val="111827"/>
          <w:sz w:val="21"/>
          <w:szCs w:val="21"/>
        </w:rPr>
        <w:t xml:space="preserve">Wav2Lip + Hedra emotion clips wrapped around still portraits.</w:t>
      </w:r>
    </w:p>
    <w:p>
      <w:pPr>
        <w:pStyle w:val="ListParagraph"/>
        <w:numPr>
          <w:ilvl w:val="0"/>
          <w:numId w:val="2"/>
        </w:numPr>
        <w:spacing w:after="60" w:line="280"/>
      </w:pPr>
      <w:r>
        <w:rPr>
          <w:color w:val="111827"/>
          <w:sz w:val="21"/>
          <w:szCs w:val="21"/>
        </w:rPr>
        <w:t xml:space="preserve">Persona library expanded to 16.</w:t>
      </w:r>
    </w:p>
    <w:p>
      <w:pPr>
        <w:pStyle w:val="ListParagraph"/>
        <w:numPr>
          <w:ilvl w:val="0"/>
          <w:numId w:val="2"/>
        </w:numPr>
        <w:spacing w:after="60" w:line="280"/>
      </w:pPr>
      <w:r>
        <w:rPr>
          <w:color w:val="111827"/>
          <w:sz w:val="21"/>
          <w:szCs w:val="21"/>
        </w:rPr>
        <w:t xml:space="preserve">Adaptive feedback feeds back into the planner — communication-skills mastery vector updates.</w:t>
      </w:r>
    </w:p>
    <w:p>
      <w:pPr>
        <w:pStyle w:val="ListParagraph"/>
        <w:numPr>
          <w:ilvl w:val="0"/>
          <w:numId w:val="2"/>
        </w:numPr>
        <w:spacing w:after="60" w:line="280"/>
      </w:pPr>
      <w:r>
        <w:rPr>
          <w:color w:val="111827"/>
          <w:sz w:val="21"/>
          <w:szCs w:val="21"/>
        </w:rPr>
        <w:t xml:space="preserve">Async video analysis (MediaPipe + Gemini 2.5 Pro Vision pass).</w:t>
      </w:r>
    </w:p>
    <w:p>
      <w:pPr>
        <w:pStyle w:val="ListParagraph"/>
        <w:numPr>
          <w:ilvl w:val="0"/>
          <w:numId w:val="2"/>
        </w:numPr>
        <w:spacing w:after="60" w:line="280"/>
      </w:pPr>
      <w:r>
        <w:rPr>
          <w:color w:val="111827"/>
          <w:sz w:val="21"/>
          <w:szCs w:val="21"/>
        </w:rPr>
        <w:t xml:space="preserve">Add 4 more exams: PACES + MRCGP SCA + MRCEM OSCE + UKMLA CPSA.</w:t>
      </w:r>
    </w:p>
    <w:p>
      <w:pPr>
        <w:pStyle w:val="ListParagraph"/>
        <w:numPr>
          <w:ilvl w:val="0"/>
          <w:numId w:val="2"/>
        </w:numPr>
        <w:spacing w:after="60" w:line="280"/>
      </w:pPr>
      <w:r>
        <w:rPr>
          <w:color w:val="111827"/>
          <w:sz w:val="21"/>
          <w:szCs w:val="21"/>
        </w:rPr>
        <w:t xml:space="preserve">Launch full 16-station mock product at £59.99.</w:t>
      </w:r>
    </w:p>
    <w:p>
      <w:pPr>
        <w:spacing w:after="120" w:line="300"/>
      </w:pPr>
      <w:r>
        <w:rPr>
          <w:b/>
          <w:bCs/>
          <w:color w:val="111827"/>
          <w:sz w:val="21"/>
          <w:szCs w:val="21"/>
        </w:rPr>
        <w:t xml:space="preserve">Goal: </w:t>
      </w:r>
      <w:r>
        <w:rPr>
          <w:color w:val="111827"/>
          <w:sz w:val="21"/>
          <w:szCs w:val="21"/>
        </w:rPr>
        <w:t xml:space="preserve">3,000 OSCE-active users; first 500 mocks sold. Begin to publish anonymised pass-rate data: "users who score ≥ 75% on our final mock pass their real exam at X% rate."</w:t>
      </w:r>
    </w:p>
    <w:p>
      <w:pPr>
        <w:pStyle w:val="Heading2"/>
        <w:spacing w:after="100" w:before="240"/>
      </w:pPr>
      <w:r>
        <w:rPr>
          <w:b/>
          <w:bCs/>
          <w:color w:val="0E7C7B"/>
          <w:sz w:val="26"/>
          <w:szCs w:val="26"/>
        </w:rPr>
        <w:t xml:space="preserve">Phase 3 (months 5–9) — Tavus premium avatar + Mock Day product</w:t>
      </w:r>
    </w:p>
    <w:p>
      <w:pPr>
        <w:pStyle w:val="ListParagraph"/>
        <w:numPr>
          <w:ilvl w:val="0"/>
          <w:numId w:val="2"/>
        </w:numPr>
        <w:spacing w:after="60" w:line="280"/>
      </w:pPr>
      <w:r>
        <w:rPr>
          <w:color w:val="111827"/>
          <w:sz w:val="21"/>
          <w:szCs w:val="21"/>
        </w:rPr>
        <w:t xml:space="preserve">Tavus integration for Specialist tier and premium mock packs.</w:t>
      </w:r>
    </w:p>
    <w:p>
      <w:pPr>
        <w:pStyle w:val="ListParagraph"/>
        <w:numPr>
          <w:ilvl w:val="0"/>
          <w:numId w:val="2"/>
        </w:numPr>
        <w:spacing w:after="60" w:line="280"/>
      </w:pPr>
      <w:r>
        <w:rPr>
          <w:color w:val="111827"/>
          <w:sz w:val="21"/>
          <w:szCs w:val="21"/>
        </w:rPr>
        <w:t xml:space="preserve">"Mock Day" product (£149): full 16-station circuit + 30-min mentor video call afterwards. Mentor is a paid registrar from your network.</w:t>
      </w:r>
    </w:p>
    <w:p>
      <w:pPr>
        <w:pStyle w:val="ListParagraph"/>
        <w:numPr>
          <w:ilvl w:val="0"/>
          <w:numId w:val="2"/>
        </w:numPr>
        <w:spacing w:after="60" w:line="280"/>
      </w:pPr>
      <w:r>
        <w:rPr>
          <w:color w:val="111827"/>
          <w:sz w:val="21"/>
          <w:szCs w:val="21"/>
        </w:rPr>
        <w:t xml:space="preserve">Add MRCPCH Clinical, MRCPsych CASC, MRCOG Part 3, FRCA Primary OSCE.</w:t>
      </w:r>
    </w:p>
    <w:p>
      <w:pPr>
        <w:pStyle w:val="ListParagraph"/>
        <w:numPr>
          <w:ilvl w:val="0"/>
          <w:numId w:val="2"/>
        </w:numPr>
        <w:spacing w:after="60" w:line="280"/>
      </w:pPr>
      <w:r>
        <w:rPr>
          <w:color w:val="111827"/>
          <w:sz w:val="21"/>
          <w:szCs w:val="21"/>
        </w:rPr>
        <w:t xml:space="preserve">OSCE-skills marketplace — verified senior trainees publish bespoke station packs (e.g. "Mr X's surgical breaking-bad-news pack, 5 stations, £19"). 30% take rate.</w:t>
      </w:r>
    </w:p>
    <w:p>
      <w:pPr>
        <w:spacing w:after="120" w:line="300"/>
      </w:pPr>
      <w:r>
        <w:rPr>
          <w:b/>
          <w:bCs/>
          <w:color w:val="111827"/>
          <w:sz w:val="21"/>
          <w:szCs w:val="21"/>
        </w:rPr>
        <w:t xml:space="preserve">Goal: </w:t>
      </w:r>
      <w:r>
        <w:rPr>
          <w:color w:val="111827"/>
          <w:sz w:val="21"/>
          <w:szCs w:val="21"/>
        </w:rPr>
        <w:t xml:space="preserve">8,000 OSCE-active users; £150–250k annualised mock revenue. First Royal College conversation about endorsed mocks.</w:t>
      </w:r>
    </w:p>
    <w:p>
      <w:pPr>
        <w:pStyle w:val="Heading2"/>
        <w:spacing w:after="100" w:before="240"/>
      </w:pPr>
      <w:r>
        <w:rPr>
          <w:b/>
          <w:bCs/>
          <w:color w:val="0E7C7B"/>
          <w:sz w:val="26"/>
          <w:szCs w:val="26"/>
        </w:rPr>
        <w:t xml:space="preserve">Phase 4 (months 9–12) — Royal College partnership + Trust pilots</w:t>
      </w:r>
    </w:p>
    <w:p>
      <w:pPr>
        <w:pStyle w:val="ListParagraph"/>
        <w:numPr>
          <w:ilvl w:val="0"/>
          <w:numId w:val="2"/>
        </w:numPr>
        <w:spacing w:after="60" w:line="280"/>
      </w:pPr>
      <w:r>
        <w:rPr>
          <w:color w:val="111827"/>
          <w:sz w:val="21"/>
          <w:szCs w:val="21"/>
        </w:rPr>
        <w:t xml:space="preserve">Royal-College-endorsed mock pack for one exam (RCEM most receptive — they've signalled openness to AI tools in education).</w:t>
      </w:r>
    </w:p>
    <w:p>
      <w:pPr>
        <w:pStyle w:val="ListParagraph"/>
        <w:numPr>
          <w:ilvl w:val="0"/>
          <w:numId w:val="2"/>
        </w:numPr>
        <w:spacing w:after="60" w:line="280"/>
      </w:pPr>
      <w:r>
        <w:rPr>
          <w:color w:val="111827"/>
          <w:sz w:val="21"/>
          <w:szCs w:val="21"/>
        </w:rPr>
        <w:t xml:space="preserve">NHS Trust pilots — pay £3–10k/year to give 50–100 trainees in a Trust full Specialist access.</w:t>
      </w:r>
    </w:p>
    <w:p>
      <w:pPr>
        <w:pStyle w:val="ListParagraph"/>
        <w:numPr>
          <w:ilvl w:val="0"/>
          <w:numId w:val="2"/>
        </w:numPr>
        <w:spacing w:after="60" w:line="280"/>
      </w:pPr>
      <w:r>
        <w:rPr>
          <w:color w:val="111827"/>
          <w:sz w:val="21"/>
          <w:szCs w:val="21"/>
        </w:rPr>
        <w:t xml:space="preserve">Tutor marketplace — registered medical tutors offer paid 1:1 review calls on user mocks via the platform.</w:t>
      </w:r>
    </w:p>
    <w:p>
      <w:pPr>
        <w:pStyle w:val="ListParagraph"/>
        <w:numPr>
          <w:ilvl w:val="0"/>
          <w:numId w:val="2"/>
        </w:numPr>
        <w:spacing w:after="60" w:line="280"/>
      </w:pPr>
      <w:r>
        <w:rPr>
          <w:color w:val="111827"/>
          <w:sz w:val="21"/>
          <w:szCs w:val="21"/>
        </w:rPr>
        <w:t xml:space="preserve">AI debrief at end of each mock — Sonnet 4.6 produces a 4-page personalised report, Tavus avatar narrates it.</w:t>
      </w:r>
    </w:p>
    <w:p>
      <w:r>
        <w:br w:type="page"/>
      </w:r>
    </w:p>
    <w:p>
      <w:pPr>
        <w:pStyle w:val="Heading1"/>
        <w:spacing w:after="160" w:before="360"/>
      </w:pPr>
      <w:r>
        <w:rPr>
          <w:b/>
          <w:bCs/>
          <w:color w:val="0F2740"/>
          <w:sz w:val="36"/>
          <w:szCs w:val="36"/>
        </w:rPr>
        <w:t xml:space="preserve">Risks specific to OSCE, and how to manage them</w:t>
      </w:r>
    </w:p>
    <w:p>
      <w:pPr>
        <w:pStyle w:val="ListParagraph"/>
        <w:numPr>
          <w:ilvl w:val="0"/>
          <w:numId w:val="2"/>
        </w:numPr>
        <w:spacing w:after="60" w:line="280"/>
      </w:pPr>
      <w:r>
        <w:rPr>
          <w:b/>
          <w:bCs/>
          <w:color w:val="111827"/>
          <w:sz w:val="21"/>
          <w:szCs w:val="21"/>
        </w:rPr>
        <w:t xml:space="preserve">Marking unfairness / inconsistency. </w:t>
      </w:r>
      <w:r>
        <w:rPr>
          <w:color w:val="111827"/>
          <w:sz w:val="21"/>
          <w:szCs w:val="21"/>
        </w:rPr>
        <w:t xml:space="preserve">LLM judges drift. Mitigate: dual-judge architecture (run two passes, report only if agree); calibrate against a small set of human-marked baselines; show users the rubric breakdown not just a number; "appeal" button that flags for human review.</w:t>
      </w:r>
    </w:p>
    <w:p>
      <w:pPr>
        <w:pStyle w:val="ListParagraph"/>
        <w:numPr>
          <w:ilvl w:val="0"/>
          <w:numId w:val="2"/>
        </w:numPr>
        <w:spacing w:after="60" w:line="280"/>
      </w:pPr>
      <w:r>
        <w:rPr>
          <w:b/>
          <w:bCs/>
          <w:color w:val="111827"/>
          <w:sz w:val="21"/>
          <w:szCs w:val="21"/>
        </w:rPr>
        <w:t xml:space="preserve">Avatar uncanny-valley. </w:t>
      </w:r>
      <w:r>
        <w:rPr>
          <w:color w:val="111827"/>
          <w:sz w:val="21"/>
          <w:szCs w:val="21"/>
        </w:rPr>
        <w:t xml:space="preserve">Worse than no avatar. Mitigate: launch lip-sync at quality bar (Hedra is current SOTA for static-image talking head); reserve Tavus for Specialist; never ship a sub-quality avatar to the Free tier — voice-only is better.</w:t>
      </w:r>
    </w:p>
    <w:p>
      <w:pPr>
        <w:pStyle w:val="ListParagraph"/>
        <w:numPr>
          <w:ilvl w:val="0"/>
          <w:numId w:val="2"/>
        </w:numPr>
        <w:spacing w:after="60" w:line="280"/>
      </w:pPr>
      <w:r>
        <w:rPr>
          <w:b/>
          <w:bCs/>
          <w:color w:val="111827"/>
          <w:sz w:val="21"/>
          <w:szCs w:val="21"/>
        </w:rPr>
        <w:t xml:space="preserve">GDPR / data residency for voice + video. </w:t>
      </w:r>
      <w:r>
        <w:rPr>
          <w:color w:val="111827"/>
          <w:sz w:val="21"/>
          <w:szCs w:val="21"/>
        </w:rPr>
        <w:t xml:space="preserve">Recordings of medical conversations are sensitive. Mitigate: explicit consent at session start; UK/EU data residency (R2 EU regions); 90-day default retention with user delete control; document a Data Protection Impact Assessment (DPIA); never use user recordings for training without opt-in.</w:t>
      </w:r>
    </w:p>
    <w:p>
      <w:pPr>
        <w:pStyle w:val="ListParagraph"/>
        <w:numPr>
          <w:ilvl w:val="0"/>
          <w:numId w:val="2"/>
        </w:numPr>
        <w:spacing w:after="60" w:line="280"/>
      </w:pPr>
      <w:r>
        <w:rPr>
          <w:b/>
          <w:bCs/>
          <w:color w:val="111827"/>
          <w:sz w:val="21"/>
          <w:szCs w:val="21"/>
        </w:rPr>
        <w:t xml:space="preserve">Patient identifier leakage. </w:t>
      </w:r>
      <w:r>
        <w:rPr>
          <w:color w:val="111827"/>
          <w:sz w:val="21"/>
          <w:szCs w:val="21"/>
        </w:rPr>
        <w:t xml:space="preserve">Users may say a real patient name during practice. Mitigate: pre-session warning; auto-redaction on transcript; flag-and-prompt UX ("It looks like you mentioned a real name — should we redact?").</w:t>
      </w:r>
    </w:p>
    <w:p>
      <w:pPr>
        <w:pStyle w:val="ListParagraph"/>
        <w:numPr>
          <w:ilvl w:val="0"/>
          <w:numId w:val="2"/>
        </w:numPr>
        <w:spacing w:after="60" w:line="280"/>
      </w:pPr>
      <w:r>
        <w:rPr>
          <w:b/>
          <w:bCs/>
          <w:color w:val="111827"/>
          <w:sz w:val="21"/>
          <w:szCs w:val="21"/>
        </w:rPr>
        <w:t xml:space="preserve">Cost spike from heavy users. </w:t>
      </w:r>
      <w:r>
        <w:rPr>
          <w:color w:val="111827"/>
          <w:sz w:val="21"/>
          <w:szCs w:val="21"/>
        </w:rPr>
        <w:t xml:space="preserve">A user could run 20 mocks/week. Mitigate: tier caps; mock packs as discrete one-shots not unlimited subscriptions; rate-limit Specialist tier at 10/week.</w:t>
      </w:r>
    </w:p>
    <w:p>
      <w:pPr>
        <w:pStyle w:val="ListParagraph"/>
        <w:numPr>
          <w:ilvl w:val="0"/>
          <w:numId w:val="2"/>
        </w:numPr>
        <w:spacing w:after="60" w:line="280"/>
      </w:pPr>
      <w:r>
        <w:rPr>
          <w:b/>
          <w:bCs/>
          <w:color w:val="111827"/>
          <w:sz w:val="21"/>
          <w:szCs w:val="21"/>
        </w:rPr>
        <w:t xml:space="preserve">Mark-scheme copyright (covered above). </w:t>
      </w:r>
      <w:r>
        <w:rPr>
          <w:color w:val="111827"/>
          <w:sz w:val="21"/>
          <w:szCs w:val="21"/>
        </w:rPr>
        <w:t xml:space="preserve">Build your own; cite Royal-College frameworks; never paraphrase commercial schemes.</w:t>
      </w:r>
    </w:p>
    <w:p>
      <w:pPr>
        <w:pStyle w:val="ListParagraph"/>
        <w:numPr>
          <w:ilvl w:val="0"/>
          <w:numId w:val="2"/>
        </w:numPr>
        <w:spacing w:after="60" w:line="280"/>
      </w:pPr>
      <w:r>
        <w:rPr>
          <w:b/>
          <w:bCs/>
          <w:color w:val="111827"/>
          <w:sz w:val="21"/>
          <w:szCs w:val="21"/>
        </w:rPr>
        <w:t xml:space="preserve">Liability if a user fails the real exam. </w:t>
      </w:r>
      <w:r>
        <w:rPr>
          <w:color w:val="111827"/>
          <w:sz w:val="21"/>
          <w:szCs w:val="21"/>
        </w:rPr>
        <w:t xml:space="preserve">Mitigate: clear disclaimer that DocVault is an educational aid, not a guarantee; conservative readiness scoring (never project &gt; 90% pre-real-exam); robust calibration data published quarterly so users see honest predictions.</w:t>
      </w:r>
    </w:p>
    <w:p>
      <w:pPr>
        <w:pStyle w:val="ListParagraph"/>
        <w:numPr>
          <w:ilvl w:val="0"/>
          <w:numId w:val="2"/>
        </w:numPr>
        <w:spacing w:after="60" w:line="280"/>
      </w:pPr>
      <w:r>
        <w:rPr>
          <w:b/>
          <w:bCs/>
          <w:color w:val="111827"/>
          <w:sz w:val="21"/>
          <w:szCs w:val="21"/>
        </w:rPr>
        <w:t xml:space="preserve">Voice-cloning consent. </w:t>
      </w:r>
      <w:r>
        <w:rPr>
          <w:color w:val="111827"/>
          <w:sz w:val="21"/>
          <w:szCs w:val="21"/>
        </w:rPr>
        <w:t xml:space="preserve">Persona voices must be either consented voice actors or ElevenLabs synthetic voices. Mitigate: signed talent-release for any cloned voice; preference for synthetic voices that are clearly not real people.</w:t>
      </w:r>
    </w:p>
    <w:p>
      <w:pPr>
        <w:pStyle w:val="ListParagraph"/>
        <w:numPr>
          <w:ilvl w:val="0"/>
          <w:numId w:val="2"/>
        </w:numPr>
        <w:spacing w:after="60" w:line="280"/>
      </w:pPr>
      <w:r>
        <w:rPr>
          <w:b/>
          <w:bCs/>
          <w:color w:val="111827"/>
          <w:sz w:val="21"/>
          <w:szCs w:val="21"/>
        </w:rPr>
        <w:t xml:space="preserve">Bias in voice/video analysis. </w:t>
      </w:r>
      <w:r>
        <w:rPr>
          <w:color w:val="111827"/>
          <w:sz w:val="21"/>
          <w:szCs w:val="21"/>
        </w:rPr>
        <w:t xml:space="preserve">Hume EVI and similar tools have shown demographic biases (accent, gender). Mitigate: bias audit in eval suite; never use voice features as a sole pass/fail criterion; weight rubric-content far above tone signals.</w:t>
      </w:r>
    </w:p>
    <w:p>
      <w:pPr>
        <w:pStyle w:val="Heading2"/>
        <w:spacing w:after="100" w:before="240"/>
      </w:pPr>
      <w:r>
        <w:rPr>
          <w:b/>
          <w:bCs/>
          <w:color w:val="0E7C7B"/>
          <w:sz w:val="26"/>
          <w:szCs w:val="26"/>
        </w:rPr>
        <w:t xml:space="preserve">Total OSCE module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4160"/>
      </w:tblGrid>
      <w:tr>
        <w:trPr>
          <w:tblHeader/>
        </w:trPr>
        <w:tc>
          <w:tcPr>
            <w:tcW w:type="dxa" w:w="35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Item</w:t>
            </w:r>
          </w:p>
        </w:tc>
        <w:tc>
          <w:tcPr>
            <w:tcW w:type="dxa" w:w="170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Cost</w:t>
            </w:r>
          </w:p>
        </w:tc>
        <w:tc>
          <w:tcPr>
            <w:tcW w:type="dxa" w:w="4160"/>
            <w:tcBorders>
              <w:top w:val="single" w:color="D6DEE6" w:sz="4"/>
              <w:left w:val="single" w:color="D6DEE6" w:sz="4"/>
              <w:bottom w:val="single" w:color="D6DEE6" w:sz="4"/>
              <w:right w:val="single" w:color="D6DEE6" w:sz="4"/>
            </w:tcBorders>
            <w:shd w:fill="0E7C7B" w:val="clear"/>
            <w:tcMar>
              <w:top w:type="dxa" w:w="100"/>
              <w:left w:type="dxa" w:w="120"/>
              <w:bottom w:type="dxa" w:w="100"/>
              <w:right w:type="dxa" w:w="120"/>
            </w:tcMar>
          </w:tcPr>
          <w:p>
            <w:pPr>
              <w:jc w:val="left"/>
            </w:pPr>
            <w:r>
              <w:rPr>
                <w:b/>
                <w:bCs/>
                <w:color w:val="FFFFFF"/>
                <w:sz w:val="19"/>
                <w:szCs w:val="19"/>
              </w:rPr>
              <w:t xml:space="preserve">Notes</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Engineering — Phase 1 (voice-only Practice + scoring)</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 weeks</w:t>
            </w:r>
          </w:p>
        </w:tc>
        <w:tc>
          <w:tcPr>
            <w:tcW w:type="dxa" w:w="4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Solo or 1 contractor</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Engineering — Phase 2 (lip-sync avatar + async video)</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 weeks</w:t>
            </w:r>
          </w:p>
        </w:tc>
        <w:tc>
          <w:tcPr>
            <w:tcW w:type="dxa" w:w="4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Most complex phase</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Engineering — Phase 3 (Tavus integration + Mock Day product)</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8 weeks</w:t>
            </w:r>
          </w:p>
        </w:tc>
        <w:tc>
          <w:tcPr>
            <w:tcW w:type="dxa" w:w="4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Plus mentor pipeline ops</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Engineering — Phase 4 (Royal College / B2B integrations)</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6 weeks</w:t>
            </w:r>
          </w:p>
        </w:tc>
        <w:tc>
          <w:tcPr>
            <w:tcW w:type="dxa" w:w="4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Total engineering</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32 weeks (~8 months across 12)</w:t>
            </w:r>
          </w:p>
        </w:tc>
        <w:tc>
          <w:tcPr>
            <w:tcW w:type="dxa" w:w="4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Persona library (12 personas)</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£1,000–1,600</w:t>
            </w:r>
          </w:p>
        </w:tc>
        <w:tc>
          <w:tcPr>
            <w:tcW w:type="dxa" w:w="4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One-time</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Voice talent (per cloned voice)</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£30–80 each</w:t>
            </w:r>
          </w:p>
        </w:tc>
        <w:tc>
          <w:tcPr>
            <w:tcW w:type="dxa" w:w="4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Optional; synthetic voices avoid this</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Tavus API spend (Phase 3 onwards)</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Variable, capped per user tier</w:t>
            </w:r>
          </w:p>
        </w:tc>
        <w:tc>
          <w:tcPr>
            <w:tcW w:type="dxa" w:w="4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Pay-as-you-go</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GPU server for lip-sync rendering</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£100–300/mo</w:t>
            </w:r>
          </w:p>
        </w:tc>
        <w:tc>
          <w:tcPr>
            <w:tcW w:type="dxa" w:w="4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Cloudflare or Hetzner</w:t>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Persona portrait artwork</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£500–1,000</w:t>
            </w:r>
          </w:p>
        </w:tc>
        <w:tc>
          <w:tcPr>
            <w:tcW w:type="dxa" w:w="4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Designer to harmonise look</w:t>
            </w:r>
          </w:p>
        </w:tc>
      </w:tr>
      <w:tr>
        <w:tc>
          <w:tcPr>
            <w:tcW w:type="dxa" w:w="35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Total cash (excluding founder time)</w:t>
            </w:r>
          </w:p>
        </w:tc>
        <w:tc>
          <w:tcPr>
            <w:tcW w:type="dxa" w:w="170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£3–5k upfront + variable usage</w:t>
            </w:r>
          </w:p>
        </w:tc>
        <w:tc>
          <w:tcPr>
            <w:tcW w:type="dxa" w:w="4160"/>
            <w:tcBorders>
              <w:top w:val="single" w:color="D6DEE6" w:sz="4"/>
              <w:left w:val="single" w:color="D6DEE6" w:sz="4"/>
              <w:bottom w:val="single" w:color="D6DEE6" w:sz="4"/>
              <w:right w:val="single" w:color="D6DEE6" w:sz="4"/>
            </w:tcBorders>
            <w:tcMar>
              <w:top w:type="dxa" w:w="100"/>
              <w:left w:type="dxa" w:w="120"/>
              <w:bottom w:type="dxa" w:w="100"/>
              <w:right w:type="dxa" w:w="120"/>
            </w:tcMar>
          </w:tcPr>
          <w:p>
            <w:pPr>
              <w:jc w:val="left"/>
            </w:pPr>
            <w:r>
              <w:rPr>
                <w:b w:val="false"/>
                <w:bCs w:val="false"/>
                <w:color w:val="111827"/>
                <w:sz w:val="19"/>
                <w:szCs w:val="19"/>
              </w:rPr>
              <w:t xml:space="preserve"/>
            </w:r>
          </w:p>
        </w:tc>
      </w:tr>
      <w:tr>
        <w:tc>
          <w:tcPr>
            <w:tcW w:type="dxa" w:w="35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Year-1 revenue potential (mid-case)</w:t>
            </w:r>
          </w:p>
        </w:tc>
        <w:tc>
          <w:tcPr>
            <w:tcW w:type="dxa" w:w="170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£500k+</w:t>
            </w:r>
          </w:p>
        </w:tc>
        <w:tc>
          <w:tcPr>
            <w:tcW w:type="dxa" w:w="4160"/>
            <w:tcBorders>
              <w:top w:val="single" w:color="D6DEE6" w:sz="4"/>
              <w:left w:val="single" w:color="D6DEE6" w:sz="4"/>
              <w:bottom w:val="single" w:color="D6DEE6" w:sz="4"/>
              <w:right w:val="single" w:color="D6DEE6" w:sz="4"/>
            </w:tcBorders>
            <w:shd w:fill="F6FAFA" w:val="clear"/>
            <w:tcMar>
              <w:top w:type="dxa" w:w="100"/>
              <w:left w:type="dxa" w:w="120"/>
              <w:bottom w:type="dxa" w:w="100"/>
              <w:right w:type="dxa" w:w="120"/>
            </w:tcMar>
          </w:tcPr>
          <w:p>
            <w:pPr>
              <w:jc w:val="left"/>
            </w:pPr>
            <w:r>
              <w:rPr>
                <w:b w:val="false"/>
                <w:bCs w:val="false"/>
                <w:color w:val="111827"/>
                <w:sz w:val="19"/>
                <w:szCs w:val="19"/>
              </w:rPr>
              <w:t xml:space="preserve">Mocks + Specialist subs</w:t>
            </w:r>
          </w:p>
        </w:tc>
      </w:tr>
    </w:tbl>
    <w:p>
      <w:pPr>
        <w:pBdr>
          <w:bottom w:val="single" w:color="0E7C7B" w:sz="6" w:space="6"/>
        </w:pBdr>
        <w:spacing w:after="100"/>
      </w:pPr>
      <w:r>
        <w:t xml:space="preserve"> </w:t>
      </w:r>
    </w:p>
    <w:p>
      <w:pPr>
        <w:spacing w:after="100"/>
      </w:pPr>
      <w:r>
        <w:t xml:space="preserve"> </w:t>
      </w:r>
    </w:p>
    <w:p>
      <w:pPr>
        <w:spacing w:after="120" w:line="300"/>
      </w:pPr>
      <w:r>
        <w:rPr>
          <w:b/>
          <w:bCs/>
          <w:color w:val="111827"/>
          <w:sz w:val="21"/>
          <w:szCs w:val="21"/>
        </w:rPr>
        <w:t xml:space="preserve">Bottom line. </w:t>
      </w:r>
      <w:r>
        <w:rPr>
          <w:color w:val="111827"/>
          <w:sz w:val="21"/>
          <w:szCs w:val="21"/>
        </w:rPr>
        <w:t xml:space="preserve">OSCE is technically the most ambitious part of DocVault and economically the highest-margin. The trick is sequencing: voice-only Practice in Phase 1 ships in 8 weeks for under £10k cash and validates everything; lip-sync avatars in Phase 2 give you a brand moat for under £2k incremental; Tavus premium and Mock Day in Phase 3 unlock the £49–149 high-margin product line. The persona library is the visual brand asset that none of your competitors will build because it requires an editorial sensibility that comes from your medical-academia background. The rubric library is the trust asset that compounds with every real exam outcome users report back. Together they make the OSCE module the part of DocVault you'll be remembered for — and the part that earns the most money per user.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A647A"/>
        <w:sz w:val="18"/>
        <w:szCs w:val="18"/>
      </w:rPr>
      <w:t xml:space="preserve">Companion to the Adaptive Engine spec</w:t>
    </w:r>
    <w:r>
      <w:rPr>
        <w:color w:val="5A647A"/>
        <w:sz w:val="18"/>
        <w:szCs w:val="18"/>
      </w:rPr>
      <w:t xml:space="preserve">	Page </w:t>
    </w:r>
    <w:r>
      <w:rPr>
        <w:color w:val="5A64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647A"/>
        <w:sz w:val="18"/>
        <w:szCs w:val="18"/>
      </w:rPr>
      <w:t xml:space="preserve">DocVault — OSCE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ptos" w:cs="Aptos" w:eastAsia="Aptos" w:hAnsi="Aptos"/>
      <w:b/>
      <w:bCs/>
      <w:color w:val="0F2740"/>
      <w:sz w:val="36"/>
      <w:szCs w:val="36"/>
    </w:rPr>
  </w:style>
  <w:style w:type="paragraph" w:styleId="Heading2">
    <w:name w:val="Heading 2"/>
    <w:basedOn w:val="Normal"/>
    <w:next w:val="Normal"/>
    <w:qFormat/>
    <w:pPr>
      <w:spacing w:after="100" w:before="240"/>
      <w:outlineLvl w:val="1"/>
    </w:pPr>
    <w:rPr>
      <w:rFonts w:ascii="Aptos" w:cs="Aptos" w:eastAsia="Aptos" w:hAnsi="Aptos"/>
      <w:b/>
      <w:bCs/>
      <w:color w:val="0E7C7B"/>
      <w:sz w:val="26"/>
      <w:szCs w:val="26"/>
    </w:rPr>
  </w:style>
  <w:style w:type="paragraph" w:styleId="Heading3">
    <w:name w:val="Heading 3"/>
    <w:basedOn w:val="Normal"/>
    <w:next w:val="Normal"/>
    <w:qFormat/>
    <w:pPr>
      <w:spacing w:after="60" w:before="160"/>
      <w:outlineLvl w:val="2"/>
    </w:pPr>
    <w:rPr>
      <w:rFonts w:ascii="Aptos" w:cs="Aptos" w:eastAsia="Aptos" w:hAnsi="Aptos"/>
      <w:b/>
      <w:bCs/>
      <w:color w:val="0F27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2026-05-06T22:30:03.569Z</dcterms:created>
  <dcterms:modified xsi:type="dcterms:W3CDTF">2026-05-06T22:30:03.570Z</dcterms:modified>
</cp:coreProperties>
</file>

<file path=docProps/custom.xml><?xml version="1.0" encoding="utf-8"?>
<Properties xmlns="http://schemas.openxmlformats.org/officeDocument/2006/custom-properties" xmlns:vt="http://schemas.openxmlformats.org/officeDocument/2006/docPropsVTypes"/>
</file>