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b/>
          <w:bCs/>
          <w:color w:val="0F2740"/>
          <w:sz w:val="64"/>
          <w:szCs w:val="64"/>
        </w:rPr>
        <w:t xml:space="preserve">DocVault — UK Written Exams</w:t>
      </w:r>
    </w:p>
    <w:p>
      <w:pPr>
        <w:spacing w:after="80"/>
      </w:pPr>
      <w:r>
        <w:rPr>
          <w:b/>
          <w:bCs/>
          <w:color w:val="0E7C7B"/>
          <w:sz w:val="26"/>
          <w:szCs w:val="26"/>
        </w:rPr>
        <w:t xml:space="preserve">Master blueprint reference: 16 written exams UK doctors actually take</w:t>
      </w:r>
    </w:p>
    <w:p>
      <w:pPr>
        <w:spacing w:after="600"/>
      </w:pPr>
      <w:r>
        <w:rPr>
          <w:i/>
          <w:iCs/>
          <w:color w:val="5A647A"/>
          <w:sz w:val="21"/>
          <w:szCs w:val="21"/>
        </w:rPr>
        <w:t xml:space="preserve">Curriculum sources, domain weightings, suggested seed-bank counts, market resources, and your network's leverage points</w:t>
      </w:r>
    </w:p>
    <w:p>
      <w:pPr>
        <w:pBdr>
          <w:bottom w:val="single" w:color="0E7C7B" w:sz="6" w:space="6"/>
        </w:pBdr>
        <w:spacing w:after="100"/>
      </w:pPr>
      <w:r>
        <w:t xml:space="preserve"> </w:t>
      </w:r>
    </w:p>
    <w:p>
      <w:pPr>
        <w:spacing w:after="120" w:line="300"/>
      </w:pPr>
      <w:r>
        <w:rPr>
          <w:b/>
          <w:bCs/>
          <w:color w:val="111827"/>
          <w:sz w:val="21"/>
          <w:szCs w:val="21"/>
        </w:rPr>
        <w:t xml:space="preserve">Companion to: </w:t>
      </w:r>
      <w:r>
        <w:rPr>
          <w:color w:val="111827"/>
          <w:sz w:val="21"/>
          <w:szCs w:val="21"/>
        </w:rPr>
        <w:t xml:space="preserve">DocVault Hybrid Architecture &amp; Medical Niche Strategy  •  </w:t>
      </w:r>
      <w:r>
        <w:rPr>
          <w:b/>
          <w:bCs/>
          <w:color w:val="111827"/>
          <w:sz w:val="21"/>
          <w:szCs w:val="21"/>
        </w:rPr>
        <w:t xml:space="preserve">Date: </w:t>
      </w:r>
      <w:r>
        <w:rPr>
          <w:color w:val="111827"/>
          <w:sz w:val="21"/>
          <w:szCs w:val="21"/>
        </w:rPr>
        <w:t xml:space="preserve">May 2026</w:t>
      </w:r>
    </w:p>
    <w:p>
      <w:r>
        <w:br w:type="page"/>
      </w:r>
    </w:p>
    <w:p>
      <w:pPr>
        <w:pStyle w:val="Heading1"/>
        <w:spacing w:after="160" w:before="360"/>
      </w:pPr>
      <w:r>
        <w:rPr>
          <w:b/>
          <w:bCs/>
          <w:color w:val="0F2740"/>
          <w:sz w:val="36"/>
          <w:szCs w:val="36"/>
        </w:rPr>
        <w:t xml:space="preserve">Map of the UK doctor written-exam landscape</w:t>
      </w:r>
    </w:p>
    <w:p>
      <w:pPr>
        <w:spacing w:after="120" w:line="300"/>
      </w:pPr>
      <w:r>
        <w:rPr>
          <w:color w:val="111827"/>
          <w:sz w:val="21"/>
          <w:szCs w:val="21"/>
        </w:rPr>
        <w:t xml:space="preserve">UK doctors take a sequence of written exams across roughly 15 years of training. The volume distribution is uneven — UKMLA / PSA / MSRA together cover almost every UK doctor, while specialty memberships fragment into smaller, deeper, higher-paying segments. The smart play is to launch on the top-of-funnel exams (broadest reach), then expand into specialty memberships where your network has personal authority.</w:t>
      </w:r>
    </w:p>
    <w:p>
      <w:pPr>
        <w:pStyle w:val="Heading2"/>
        <w:spacing w:after="100" w:before="240"/>
      </w:pPr>
      <w:r>
        <w:rPr>
          <w:b/>
          <w:bCs/>
          <w:color w:val="0E7C7B"/>
          <w:sz w:val="26"/>
          <w:szCs w:val="26"/>
        </w:rPr>
        <w:t xml:space="preserve">All 16 exams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rPr>
          <w:tblHeader/>
        </w:trPr>
        <w:tc>
          <w:tcPr>
            <w:tcW w:type="dxa" w:w="30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Exam</w:t>
            </w:r>
          </w:p>
        </w:tc>
        <w:tc>
          <w:tcPr>
            <w:tcW w:type="dxa" w:w="22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Stage</w:t>
            </w:r>
          </w:p>
        </w:tc>
        <w:tc>
          <w:tcPr>
            <w:tcW w:type="dxa" w:w="22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Annual UK candidates</w:t>
            </w:r>
          </w:p>
        </w:tc>
        <w:tc>
          <w:tcPr>
            <w:tcW w:type="dxa" w:w="196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Typical existing-bank price</w:t>
            </w:r>
          </w:p>
        </w:tc>
      </w:tr>
      <w:tr>
        <w:tc>
          <w:tcPr>
            <w:tcW w:type="dxa" w:w="30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UKMLA (replacing PLAB and finals)</w:t>
            </w:r>
          </w:p>
        </w:tc>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Med-school exit / IMG entry</w:t>
            </w:r>
          </w:p>
        </w:tc>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~10k UK + ~13k IMG (2024 PLAB Pt 2)</w:t>
            </w:r>
          </w:p>
        </w:tc>
        <w:tc>
          <w:tcPr>
            <w:tcW w:type="dxa" w:w="19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£50–100 / 6–12 mo</w:t>
            </w:r>
          </w:p>
        </w:tc>
      </w:tr>
      <w:tr>
        <w:tc>
          <w:tcPr>
            <w:tcW w:type="dxa" w:w="30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PLAB 1 (transition)</w:t>
            </w:r>
          </w:p>
        </w:tc>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IMG entry (winding down)</w:t>
            </w:r>
          </w:p>
        </w:tc>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~5–8k (declining)</w:t>
            </w:r>
          </w:p>
        </w:tc>
        <w:tc>
          <w:tcPr>
            <w:tcW w:type="dxa" w:w="19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£40–80 / pack</w:t>
            </w:r>
          </w:p>
        </w:tc>
      </w:tr>
      <w:tr>
        <w:tc>
          <w:tcPr>
            <w:tcW w:type="dxa" w:w="30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PSA — Prescribing Safety</w:t>
            </w:r>
          </w:p>
        </w:tc>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Final-year + F1 mandatory</w:t>
            </w:r>
          </w:p>
        </w:tc>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~7k UK final-years + F1s</w:t>
            </w:r>
          </w:p>
        </w:tc>
        <w:tc>
          <w:tcPr>
            <w:tcW w:type="dxa" w:w="19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£30–60 / pack</w:t>
            </w:r>
          </w:p>
        </w:tc>
      </w:tr>
      <w:tr>
        <w:tc>
          <w:tcPr>
            <w:tcW w:type="dxa" w:w="30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MSRA — Specialty Recruitment</w:t>
            </w:r>
          </w:p>
        </w:tc>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ST application (multi-specialty)</w:t>
            </w:r>
          </w:p>
        </w:tc>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~10k+ (GP/Psych/Rad/Anaes/etc.)</w:t>
            </w:r>
          </w:p>
        </w:tc>
        <w:tc>
          <w:tcPr>
            <w:tcW w:type="dxa" w:w="19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£60–150 / pack</w:t>
            </w:r>
          </w:p>
        </w:tc>
      </w:tr>
      <w:tr>
        <w:tc>
          <w:tcPr>
            <w:tcW w:type="dxa" w:w="30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MRCP Part 1</w:t>
            </w:r>
          </w:p>
        </w:tc>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IMT / global PG entry to medicine</w:t>
            </w:r>
          </w:p>
        </w:tc>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~10k UK + global</w:t>
            </w:r>
          </w:p>
        </w:tc>
        <w:tc>
          <w:tcPr>
            <w:tcW w:type="dxa" w:w="19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£94–180 / 3–12 mo</w:t>
            </w:r>
          </w:p>
        </w:tc>
      </w:tr>
      <w:tr>
        <w:tc>
          <w:tcPr>
            <w:tcW w:type="dxa" w:w="30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MRCP Part 2 Written</w:t>
            </w:r>
          </w:p>
        </w:tc>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IMT / Internal Medicine</w:t>
            </w:r>
          </w:p>
        </w:tc>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~6–8k</w:t>
            </w:r>
          </w:p>
        </w:tc>
        <w:tc>
          <w:tcPr>
            <w:tcW w:type="dxa" w:w="19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£100–180 / pack</w:t>
            </w:r>
          </w:p>
        </w:tc>
      </w:tr>
      <w:tr>
        <w:tc>
          <w:tcPr>
            <w:tcW w:type="dxa" w:w="30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MRCS Part A</w:t>
            </w:r>
          </w:p>
        </w:tc>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Core Surgical Training</w:t>
            </w:r>
          </w:p>
        </w:tc>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~6–8k</w:t>
            </w:r>
          </w:p>
        </w:tc>
        <w:tc>
          <w:tcPr>
            <w:tcW w:type="dxa" w:w="19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£94–180 / pack</w:t>
            </w:r>
          </w:p>
        </w:tc>
      </w:tr>
      <w:tr>
        <w:tc>
          <w:tcPr>
            <w:tcW w:type="dxa" w:w="30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MRCGP AKT</w:t>
            </w:r>
          </w:p>
        </w:tc>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GP ST3 mandatory</w:t>
            </w:r>
          </w:p>
        </w:tc>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~3–4k UK + IMGs</w:t>
            </w:r>
          </w:p>
        </w:tc>
        <w:tc>
          <w:tcPr>
            <w:tcW w:type="dxa" w:w="19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£60–150 / pack</w:t>
            </w:r>
          </w:p>
        </w:tc>
      </w:tr>
      <w:tr>
        <w:tc>
          <w:tcPr>
            <w:tcW w:type="dxa" w:w="30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MRCEM Primary (SBA)</w:t>
            </w:r>
          </w:p>
        </w:tc>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EM core training</w:t>
            </w:r>
          </w:p>
        </w:tc>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~2k</w:t>
            </w:r>
          </w:p>
        </w:tc>
        <w:tc>
          <w:tcPr>
            <w:tcW w:type="dxa" w:w="19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£90–180 / pack</w:t>
            </w:r>
          </w:p>
        </w:tc>
      </w:tr>
      <w:tr>
        <w:tc>
          <w:tcPr>
            <w:tcW w:type="dxa" w:w="30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FRCA Primary (MCQ/SBA)</w:t>
            </w:r>
          </w:p>
        </w:tc>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Anaesthesia core training</w:t>
            </w:r>
          </w:p>
        </w:tc>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~1.5k</w:t>
            </w:r>
          </w:p>
        </w:tc>
        <w:tc>
          <w:tcPr>
            <w:tcW w:type="dxa" w:w="19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£100–200 / pack</w:t>
            </w:r>
          </w:p>
        </w:tc>
      </w:tr>
      <w:tr>
        <w:tc>
          <w:tcPr>
            <w:tcW w:type="dxa" w:w="30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FRCR Part 1 (Anatomy + Physics)</w:t>
            </w:r>
          </w:p>
        </w:tc>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Radiology ST1+</w:t>
            </w:r>
          </w:p>
        </w:tc>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~500</w:t>
            </w:r>
          </w:p>
        </w:tc>
        <w:tc>
          <w:tcPr>
            <w:tcW w:type="dxa" w:w="19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£100–250 / pack</w:t>
            </w:r>
          </w:p>
        </w:tc>
      </w:tr>
      <w:tr>
        <w:tc>
          <w:tcPr>
            <w:tcW w:type="dxa" w:w="30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MRCOG Part 1</w:t>
            </w:r>
          </w:p>
        </w:tc>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O&amp;G ST1+</w:t>
            </w:r>
          </w:p>
        </w:tc>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~1.5k UK + IMGs</w:t>
            </w:r>
          </w:p>
        </w:tc>
        <w:tc>
          <w:tcPr>
            <w:tcW w:type="dxa" w:w="19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£80–180 / pack</w:t>
            </w:r>
          </w:p>
        </w:tc>
      </w:tr>
      <w:tr>
        <w:tc>
          <w:tcPr>
            <w:tcW w:type="dxa" w:w="30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MRCOG Part 2 Written</w:t>
            </w:r>
          </w:p>
        </w:tc>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O&amp;G ST5+</w:t>
            </w:r>
          </w:p>
        </w:tc>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~1k</w:t>
            </w:r>
          </w:p>
        </w:tc>
        <w:tc>
          <w:tcPr>
            <w:tcW w:type="dxa" w:w="19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£100–200 / pack</w:t>
            </w:r>
          </w:p>
        </w:tc>
      </w:tr>
      <w:tr>
        <w:tc>
          <w:tcPr>
            <w:tcW w:type="dxa" w:w="30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MRCPCH FOP / TAS / AKP</w:t>
            </w:r>
          </w:p>
        </w:tc>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Paediatrics theory</w:t>
            </w:r>
          </w:p>
        </w:tc>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~1.5k each</w:t>
            </w:r>
          </w:p>
        </w:tc>
        <w:tc>
          <w:tcPr>
            <w:tcW w:type="dxa" w:w="19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£90–200 / pack</w:t>
            </w:r>
          </w:p>
        </w:tc>
      </w:tr>
      <w:tr>
        <w:tc>
          <w:tcPr>
            <w:tcW w:type="dxa" w:w="30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MRCPsych Paper A / Paper B</w:t>
            </w:r>
          </w:p>
        </w:tc>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Psychiatry core training</w:t>
            </w:r>
          </w:p>
        </w:tc>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~1.5k</w:t>
            </w:r>
          </w:p>
        </w:tc>
        <w:tc>
          <w:tcPr>
            <w:tcW w:type="dxa" w:w="19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£100–200 / pack</w:t>
            </w:r>
          </w:p>
        </w:tc>
      </w:tr>
      <w:tr>
        <w:tc>
          <w:tcPr>
            <w:tcW w:type="dxa" w:w="30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MRCPath Part 1</w:t>
            </w:r>
          </w:p>
        </w:tc>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Pathology ST1+ (specialty-specific)</w:t>
            </w:r>
          </w:p>
        </w:tc>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~400 across specialties</w:t>
            </w:r>
          </w:p>
        </w:tc>
        <w:tc>
          <w:tcPr>
            <w:tcW w:type="dxa" w:w="19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£100–250 / pack</w:t>
            </w:r>
          </w:p>
        </w:tc>
      </w:tr>
    </w:tbl>
    <w:p>
      <w:pPr>
        <w:pStyle w:val="Heading2"/>
        <w:spacing w:after="100" w:before="240"/>
      </w:pPr>
      <w:r>
        <w:rPr>
          <w:b/>
          <w:bCs/>
          <w:color w:val="0E7C7B"/>
          <w:sz w:val="26"/>
          <w:szCs w:val="26"/>
        </w:rPr>
        <w:t xml:space="preserve">Which exams to launch first — and why</w:t>
      </w:r>
    </w:p>
    <w:p>
      <w:pPr>
        <w:spacing w:after="120" w:line="300"/>
      </w:pPr>
      <w:r>
        <w:rPr>
          <w:color w:val="111827"/>
          <w:sz w:val="21"/>
          <w:szCs w:val="21"/>
        </w:rPr>
        <w:t xml:space="preserve">DocVault is solo-buildable; you cannot ship 16 exams at once. Sequence them by these four levers: candidate volume, willingness-to-pay, your network's specialty depth, and how badly the incumbent banks are missing what you'll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060"/>
      </w:tblGrid>
      <w:tr>
        <w:trPr>
          <w:tblHeader/>
        </w:trPr>
        <w:tc>
          <w:tcPr>
            <w:tcW w:type="dxa" w:w="24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Tier</w:t>
            </w:r>
          </w:p>
        </w:tc>
        <w:tc>
          <w:tcPr>
            <w:tcW w:type="dxa" w:w="29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Exams</w:t>
            </w:r>
          </w:p>
        </w:tc>
        <w:tc>
          <w:tcPr>
            <w:tcW w:type="dxa" w:w="406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Why first / why later</w:t>
            </w:r>
          </w:p>
        </w:tc>
      </w:tr>
      <w:tr>
        <w:tc>
          <w:tcPr>
            <w:tcW w:type="dxa" w:w="2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Tier 1 — Launch (months 0–6)</w:t>
            </w:r>
          </w:p>
        </w:tc>
        <w:tc>
          <w:tcPr>
            <w:tcW w:type="dxa" w:w="29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UKMLA · PSA · MRCS Part A · MRCGP AKT</w:t>
            </w:r>
          </w:p>
        </w:tc>
        <w:tc>
          <w:tcPr>
            <w:tcW w:type="dxa" w:w="40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Highest volume, broadest reach, your strongest founder credibility (surgical + UK clinical), perfect for marketplace seeding</w:t>
            </w:r>
          </w:p>
        </w:tc>
      </w:tr>
      <w:tr>
        <w:tc>
          <w:tcPr>
            <w:tcW w:type="dxa" w:w="2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Tier 2 — Expand (months 6–12)</w:t>
            </w:r>
          </w:p>
        </w:tc>
        <w:tc>
          <w:tcPr>
            <w:tcW w:type="dxa" w:w="29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MRCP Part 1 · MSRA · MRCEM Primary · MRCOG Part 1</w:t>
            </w:r>
          </w:p>
        </w:tc>
        <w:tc>
          <w:tcPr>
            <w:tcW w:type="dxa" w:w="40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Large pools, willingness-to-pay high, network can recruit specialty reviewers</w:t>
            </w:r>
          </w:p>
        </w:tc>
      </w:tr>
      <w:tr>
        <w:tc>
          <w:tcPr>
            <w:tcW w:type="dxa" w:w="2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Tier 3 — Depth (Year 2)</w:t>
            </w:r>
          </w:p>
        </w:tc>
        <w:tc>
          <w:tcPr>
            <w:tcW w:type="dxa" w:w="29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MRCP Part 2 · FRCA Primary · FRCR Part 1 · MRCOG Part 2 · MRCPCH (FOP/TAS/AKP) · MRCPsych A/B · MRCPath Part 1</w:t>
            </w:r>
          </w:p>
        </w:tc>
        <w:tc>
          <w:tcPr>
            <w:tcW w:type="dxa" w:w="40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Smaller pools but high ARPU. Open to marketplace creators with specialty expertise. You curate; they author.</w:t>
            </w:r>
          </w:p>
        </w:tc>
      </w:tr>
    </w:tbl>
    <w:p>
      <w:pPr>
        <w:pStyle w:val="Heading2"/>
        <w:spacing w:after="100" w:before="240"/>
      </w:pPr>
      <w:r>
        <w:rPr>
          <w:b/>
          <w:bCs/>
          <w:color w:val="0E7C7B"/>
          <w:sz w:val="26"/>
          <w:szCs w:val="26"/>
        </w:rPr>
        <w:t xml:space="preserve">Network-mobilisation principle</w:t>
      </w:r>
    </w:p>
    <w:p>
      <w:pPr>
        <w:spacing w:after="120" w:line="300"/>
      </w:pPr>
      <w:r>
        <w:rPr>
          <w:color w:val="111827"/>
          <w:sz w:val="21"/>
          <w:szCs w:val="21"/>
        </w:rPr>
        <w:t xml:space="preserve">For each exam, you need one or two trusted colleagues who passed it within the last 24 months. They serve as: (a) blueprint validators (sanity-check the per-topic question counts), (b) reviewers (the AI generates, they review), (c) founding marketplace creators (publish a paid pack on day one). One reviewer per exam is enough to ship Tier 1; for Tier 2 and 3, lean into the marketplace model — pay per accepted SBA up front, then transition to revenue share once volume justifies it.</w:t>
      </w:r>
    </w:p>
    <w:p>
      <w:r>
        <w:br w:type="page"/>
      </w:r>
    </w:p>
    <w:p>
      <w:pPr>
        <w:pStyle w:val="Heading1"/>
        <w:spacing w:after="160" w:before="360"/>
      </w:pPr>
      <w:r>
        <w:rPr>
          <w:b/>
          <w:bCs/>
          <w:color w:val="0F2740"/>
          <w:sz w:val="36"/>
          <w:szCs w:val="36"/>
        </w:rPr>
        <w:t xml:space="preserve">Tier 1 — Launch exams (full blueprint)</w:t>
      </w:r>
    </w:p>
    <w:p>
      <w:pPr>
        <w:spacing w:after="120" w:line="300"/>
      </w:pPr>
      <w:r>
        <w:rPr>
          <w:color w:val="111827"/>
          <w:sz w:val="21"/>
          <w:szCs w:val="21"/>
        </w:rPr>
        <w:t xml:space="preserve">These four exams cover the broadest UK and IMG candidate base and align tightly with your founder credibility. Author the curriculum YAML for each over weeks 1–3, run the AI generation pipeline through weeks 4–8, and review through weeks 5–12. Phase 1 launch with at least UKMLA + PSA live on day one — they are the funnel.</w:t>
      </w:r>
    </w:p>
    <w:p>
      <w:r>
        <w:br w:type="page"/>
      </w:r>
    </w:p>
    <w:p>
      <w:pPr>
        <w:pStyle w:val="Heading1"/>
        <w:spacing w:after="120" w:before="320"/>
      </w:pPr>
      <w:r>
        <w:rPr>
          <w:b/>
          <w:bCs/>
          <w:color w:val="0F2740"/>
          <w:sz w:val="36"/>
          <w:szCs w:val="36"/>
        </w:rPr>
        <w:t xml:space="preserve">UKMLA  </w:t>
      </w:r>
      <w:r>
        <w:rPr>
          <w:b w:val="false"/>
          <w:bCs w:val="false"/>
          <w:color w:val="0E7C7B"/>
          <w:sz w:val="28"/>
          <w:szCs w:val="28"/>
        </w:rPr>
        <w:t xml:space="preserve">— UK Medical Licensing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24"/>
              <w:left w:val="single" w:color="0E7C7B" w:sz="4"/>
              <w:bottom w:val="single" w:color="EAF6F5" w:sz="4"/>
              <w:right w:val="single" w:color="EAF6F5" w:sz="4"/>
            </w:tcBorders>
            <w:shd w:fill="EAF6F5" w:val="clear"/>
            <w:tcMar>
              <w:top w:type="dxa" w:w="160"/>
              <w:left w:type="dxa" w:w="200"/>
              <w:bottom w:type="dxa" w:w="160"/>
              <w:right w:type="dxa" w:w="200"/>
            </w:tcMar>
          </w:tcPr>
          <w:p>
            <w:pPr>
              <w:spacing w:after="60"/>
            </w:pPr>
            <w:r>
              <w:rPr>
                <w:b/>
                <w:bCs/>
                <w:color w:val="0E7C7B"/>
                <w:sz w:val="22"/>
                <w:szCs w:val="22"/>
              </w:rPr>
              <w:t xml:space="preserve">At a glance</w:t>
            </w:r>
          </w:p>
          <w:p>
            <w:pPr>
              <w:spacing w:after="0" w:line="300"/>
            </w:pPr>
            <w:r>
              <w:rPr>
                <w:color w:val="111827"/>
                <w:sz w:val="21"/>
                <w:szCs w:val="21"/>
              </w:rPr>
              <w:t xml:space="preserve">The single most important exam for the UK medical pipeline. From September 2026, </w:t>
            </w:r>
            <w:r>
              <w:rPr>
                <w:b/>
                <w:bCs/>
                <w:color w:val="111827"/>
                <w:sz w:val="21"/>
                <w:szCs w:val="21"/>
              </w:rPr>
              <w:t xml:space="preserve">all UK medical graduates and all IMGs</w:t>
            </w:r>
            <w:r>
              <w:rPr>
                <w:color w:val="111827"/>
                <w:sz w:val="21"/>
                <w:szCs w:val="21"/>
              </w:rPr>
              <w:t xml:space="preserve"> must pass the UKMLA to register with the GMC. Replaces PLAB and final-year medical-school exams. Approximately </w:t>
            </w:r>
            <w:r>
              <w:rPr>
                <w:b/>
                <w:bCs/>
                <w:color w:val="111827"/>
                <w:sz w:val="21"/>
                <w:szCs w:val="21"/>
              </w:rPr>
              <w:t xml:space="preserve">23,000+ candidates per year combined (UK + IMG). </w:t>
            </w:r>
            <w:r>
              <w:rPr>
                <w:color w:val="111827"/>
                <w:sz w:val="21"/>
                <w:szCs w:val="21"/>
              </w:rPr>
              <w:t xml:space="preserve">This is your largest top-of-funnel and the de facto entry point for the brand.</w:t>
            </w:r>
          </w:p>
        </w:tc>
      </w:tr>
    </w:tbl>
    <w:p>
      <w:pPr>
        <w:spacing w:after="100"/>
      </w:pPr>
      <w:r>
        <w:t xml:space="preserve"> </w:t>
      </w:r>
    </w:p>
    <w:p>
      <w:pPr>
        <w:spacing w:after="120" w:line="300"/>
      </w:pPr>
      <w:r>
        <w:rPr>
          <w:b/>
          <w:bCs/>
          <w:color w:val="111827"/>
          <w:sz w:val="21"/>
          <w:szCs w:val="21"/>
        </w:rPr>
        <w:t xml:space="preserve">Curriculum source: </w:t>
      </w:r>
      <w:r>
        <w:rPr>
          <w:i/>
          <w:iCs/>
          <w:color w:val="111827"/>
          <w:sz w:val="21"/>
          <w:szCs w:val="21"/>
        </w:rPr>
        <w:t xml:space="preserve">GMC MLA Content Map (PDF), updated September 2026 edition. Contains ~430 conditions across two papers, 200 SBAs total, 5 hours.</w:t>
      </w:r>
    </w:p>
    <w:p>
      <w:pPr>
        <w:pStyle w:val="Heading3"/>
        <w:spacing w:after="60" w:before="160"/>
      </w:pPr>
      <w:r>
        <w:rPr>
          <w:b/>
          <w:bCs/>
          <w:color w:val="0F2740"/>
          <w:sz w:val="22"/>
          <w:szCs w:val="22"/>
        </w:rPr>
        <w:t xml:space="preserve">Format &amp;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Aspect</w:t>
            </w:r>
          </w:p>
        </w:tc>
        <w:tc>
          <w:tcPr>
            <w:tcW w:type="dxa" w:w="716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Detail</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Body</w:t>
            </w:r>
          </w:p>
        </w:tc>
        <w:tc>
          <w:tcPr>
            <w:tcW w:type="dxa" w:w="7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GMC (delivered via medical schools / Pearson VUE for IMGs)</w:t>
            </w:r>
          </w:p>
        </w:tc>
      </w:tr>
      <w:tr>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Papers</w:t>
            </w:r>
          </w:p>
        </w:tc>
        <w:tc>
          <w:tcPr>
            <w:tcW w:type="dxa" w:w="71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2 papers × 100 SBAs each</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Duration</w:t>
            </w:r>
          </w:p>
        </w:tc>
        <w:tc>
          <w:tcPr>
            <w:tcW w:type="dxa" w:w="7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5 hours total (2.5h per paper)</w:t>
            </w:r>
          </w:p>
        </w:tc>
      </w:tr>
      <w:tr>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Question type</w:t>
            </w:r>
          </w:p>
        </w:tc>
        <w:tc>
          <w:tcPr>
            <w:tcW w:type="dxa" w:w="71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Single Best Answer (SBA), 5 options</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Pass standard</w:t>
            </w:r>
          </w:p>
        </w:tc>
        <w:tc>
          <w:tcPr>
            <w:tcW w:type="dxa" w:w="7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Modified Angoff / borderline-group; varies per sitting</w:t>
            </w:r>
          </w:p>
        </w:tc>
      </w:tr>
      <w:tr>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Conditions covered</w:t>
            </w:r>
          </w:p>
        </w:tc>
        <w:tc>
          <w:tcPr>
            <w:tcW w:type="dxa" w:w="71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~430 (up from ~311 in earlier maps)</w:t>
            </w:r>
          </w:p>
        </w:tc>
      </w:tr>
    </w:tbl>
    <w:p>
      <w:pPr>
        <w:spacing w:after="100"/>
      </w:pPr>
      <w:r>
        <w:t xml:space="preserve"> </w:t>
      </w:r>
    </w:p>
    <w:p>
      <w:pPr>
        <w:pStyle w:val="Heading3"/>
        <w:spacing w:after="60" w:before="160"/>
      </w:pPr>
      <w:r>
        <w:rPr>
          <w:b/>
          <w:bCs/>
          <w:color w:val="0F2740"/>
          <w:sz w:val="22"/>
          <w:szCs w:val="22"/>
        </w:rPr>
        <w:t xml:space="preserve">Domain blueprint (with suggested seed bank counts)</w:t>
      </w:r>
    </w:p>
    <w:p>
      <w:pPr>
        <w:spacing w:after="120" w:line="300"/>
      </w:pPr>
      <w:r>
        <w:rPr>
          <w:color w:val="111827"/>
          <w:sz w:val="21"/>
          <w:szCs w:val="21"/>
        </w:rPr>
        <w:t xml:space="preserve">Question counts are editorial recommendations for a launch-quality bank, calibrated to published exam weights and what the platform should cover. Adjust ratios to your network's specialty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1500"/>
        <w:gridCol w:w="3560"/>
      </w:tblGrid>
      <w:tr>
        <w:trPr>
          <w:tblHeader/>
        </w:trPr>
        <w:tc>
          <w:tcPr>
            <w:tcW w:type="dxa" w:w="29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Domain</w:t>
            </w:r>
          </w:p>
        </w:tc>
        <w:tc>
          <w:tcPr>
            <w:tcW w:type="dxa" w:w="14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Weight (approx)</w:t>
            </w:r>
          </w:p>
        </w:tc>
        <w:tc>
          <w:tcPr>
            <w:tcW w:type="dxa" w:w="15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Seed bank target</w:t>
            </w:r>
          </w:p>
        </w:tc>
        <w:tc>
          <w:tcPr>
            <w:tcW w:type="dxa" w:w="356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Notes</w:t>
            </w:r>
          </w:p>
        </w:tc>
      </w:tr>
      <w:tr>
        <w:tc>
          <w:tcPr>
            <w:tcW w:type="dxa" w:w="29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Acute / Emergency</w:t>
            </w:r>
          </w:p>
        </w:tc>
        <w:tc>
          <w:tcPr>
            <w:tcW w:type="dxa" w:w="1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20–25%</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300</w:t>
            </w:r>
          </w:p>
        </w:tc>
        <w:tc>
          <w:tcPr>
            <w:tcW w:type="dxa" w:w="35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ACS, sepsis, stroke, DKA, anaphylaxis, peri-arrest, trauma — the 'high-stakes' category</w:t>
            </w:r>
          </w:p>
        </w:tc>
      </w:tr>
      <w:tr>
        <w:tc>
          <w:tcPr>
            <w:tcW w:type="dxa" w:w="29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Cardiovascular</w:t>
            </w:r>
          </w:p>
        </w:tc>
        <w:tc>
          <w:tcPr>
            <w:tcW w:type="dxa" w:w="1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10–12%</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150</w:t>
            </w:r>
          </w:p>
        </w:tc>
        <w:tc>
          <w:tcPr>
            <w:tcW w:type="dxa" w:w="35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Heart failure, arrhythmias, valvular, vascular surgery overlaps</w:t>
            </w:r>
          </w:p>
        </w:tc>
      </w:tr>
      <w:tr>
        <w:tc>
          <w:tcPr>
            <w:tcW w:type="dxa" w:w="29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Respiratory</w:t>
            </w:r>
          </w:p>
        </w:tc>
        <w:tc>
          <w:tcPr>
            <w:tcW w:type="dxa" w:w="1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8–10%</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120</w:t>
            </w:r>
          </w:p>
        </w:tc>
        <w:tc>
          <w:tcPr>
            <w:tcW w:type="dxa" w:w="35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Asthma, COPD, PE, pneumonia, lung cancer</w:t>
            </w:r>
          </w:p>
        </w:tc>
      </w:tr>
      <w:tr>
        <w:tc>
          <w:tcPr>
            <w:tcW w:type="dxa" w:w="29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Gastroenterology + Hepatology</w:t>
            </w:r>
          </w:p>
        </w:tc>
        <w:tc>
          <w:tcPr>
            <w:tcW w:type="dxa" w:w="1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8–10%</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120</w:t>
            </w:r>
          </w:p>
        </w:tc>
        <w:tc>
          <w:tcPr>
            <w:tcW w:type="dxa" w:w="35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IBD, GI bleeds, liver disease, surgical abdomen overlaps</w:t>
            </w:r>
          </w:p>
        </w:tc>
      </w:tr>
      <w:tr>
        <w:tc>
          <w:tcPr>
            <w:tcW w:type="dxa" w:w="29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Endocrine + Metabolic</w:t>
            </w:r>
          </w:p>
        </w:tc>
        <w:tc>
          <w:tcPr>
            <w:tcW w:type="dxa" w:w="1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6–8%</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100</w:t>
            </w:r>
          </w:p>
        </w:tc>
        <w:tc>
          <w:tcPr>
            <w:tcW w:type="dxa" w:w="35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Diabetes (heavy), thyroid, adrenal, calcium</w:t>
            </w:r>
          </w:p>
        </w:tc>
      </w:tr>
      <w:tr>
        <w:tc>
          <w:tcPr>
            <w:tcW w:type="dxa" w:w="29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Renal + Genitourinary</w:t>
            </w:r>
          </w:p>
        </w:tc>
        <w:tc>
          <w:tcPr>
            <w:tcW w:type="dxa" w:w="1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5–7%</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80</w:t>
            </w:r>
          </w:p>
        </w:tc>
        <w:tc>
          <w:tcPr>
            <w:tcW w:type="dxa" w:w="35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AKI, CKD, electrolytes, UTI, prostate</w:t>
            </w:r>
          </w:p>
        </w:tc>
      </w:tr>
      <w:tr>
        <w:tc>
          <w:tcPr>
            <w:tcW w:type="dxa" w:w="29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Neurology + Neurosurgery</w:t>
            </w:r>
          </w:p>
        </w:tc>
        <w:tc>
          <w:tcPr>
            <w:tcW w:type="dxa" w:w="1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8–10%</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120</w:t>
            </w:r>
          </w:p>
        </w:tc>
        <w:tc>
          <w:tcPr>
            <w:tcW w:type="dxa" w:w="35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Stroke (heavy), seizures, headaches, cord compression</w:t>
            </w:r>
          </w:p>
        </w:tc>
      </w:tr>
      <w:tr>
        <w:tc>
          <w:tcPr>
            <w:tcW w:type="dxa" w:w="29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Mental Health</w:t>
            </w:r>
          </w:p>
        </w:tc>
        <w:tc>
          <w:tcPr>
            <w:tcW w:type="dxa" w:w="1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8–10%</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120</w:t>
            </w:r>
          </w:p>
        </w:tc>
        <w:tc>
          <w:tcPr>
            <w:tcW w:type="dxa" w:w="35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Depression, anxiety, psychosis, suicide risk, capacity</w:t>
            </w:r>
          </w:p>
        </w:tc>
      </w:tr>
      <w:tr>
        <w:tc>
          <w:tcPr>
            <w:tcW w:type="dxa" w:w="29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Obs &amp; Gynae</w:t>
            </w:r>
          </w:p>
        </w:tc>
        <w:tc>
          <w:tcPr>
            <w:tcW w:type="dxa" w:w="1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8–10%</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120</w:t>
            </w:r>
          </w:p>
        </w:tc>
        <w:tc>
          <w:tcPr>
            <w:tcW w:type="dxa" w:w="35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Pregnancy, contraception, STI, gynae cancers</w:t>
            </w:r>
          </w:p>
        </w:tc>
      </w:tr>
      <w:tr>
        <w:tc>
          <w:tcPr>
            <w:tcW w:type="dxa" w:w="29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Paediatrics</w:t>
            </w:r>
          </w:p>
        </w:tc>
        <w:tc>
          <w:tcPr>
            <w:tcW w:type="dxa" w:w="1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8–10%</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120</w:t>
            </w:r>
          </w:p>
        </w:tc>
        <w:tc>
          <w:tcPr>
            <w:tcW w:type="dxa" w:w="35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Fever, breathing, safeguarding, development</w:t>
            </w:r>
          </w:p>
        </w:tc>
      </w:tr>
      <w:tr>
        <w:tc>
          <w:tcPr>
            <w:tcW w:type="dxa" w:w="29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Musculoskeletal</w:t>
            </w:r>
          </w:p>
        </w:tc>
        <w:tc>
          <w:tcPr>
            <w:tcW w:type="dxa" w:w="1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5–6%</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80</w:t>
            </w:r>
          </w:p>
        </w:tc>
        <w:tc>
          <w:tcPr>
            <w:tcW w:type="dxa" w:w="35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Trauma, arthritis, low back pain, red flags</w:t>
            </w:r>
          </w:p>
        </w:tc>
      </w:tr>
      <w:tr>
        <w:tc>
          <w:tcPr>
            <w:tcW w:type="dxa" w:w="29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Dermatology + ENT + Ophthalmology</w:t>
            </w:r>
          </w:p>
        </w:tc>
        <w:tc>
          <w:tcPr>
            <w:tcW w:type="dxa" w:w="1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5–7%</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80</w:t>
            </w:r>
          </w:p>
        </w:tc>
        <w:tc>
          <w:tcPr>
            <w:tcW w:type="dxa" w:w="35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Common presentations, red flags</w:t>
            </w:r>
          </w:p>
        </w:tc>
      </w:tr>
      <w:tr>
        <w:tc>
          <w:tcPr>
            <w:tcW w:type="dxa" w:w="29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Public Health + Ethics + Prescribing safety</w:t>
            </w:r>
          </w:p>
        </w:tc>
        <w:tc>
          <w:tcPr>
            <w:tcW w:type="dxa" w:w="1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8–10%</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130</w:t>
            </w:r>
          </w:p>
        </w:tc>
        <w:tc>
          <w:tcPr>
            <w:tcW w:type="dxa" w:w="35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Capacity, consent, confidentiality, safeguarding, BNF traps</w:t>
            </w:r>
          </w:p>
        </w:tc>
      </w:tr>
      <w:tr>
        <w:tc>
          <w:tcPr>
            <w:tcW w:type="dxa" w:w="29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TOTAL TIER 1</w:t>
            </w:r>
          </w:p>
        </w:tc>
        <w:tc>
          <w:tcPr>
            <w:tcW w:type="dxa" w:w="1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~100%</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1,640 SBAs</w:t>
            </w:r>
          </w:p>
        </w:tc>
        <w:tc>
          <w:tcPr>
            <w:tcW w:type="dxa" w:w="35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Realistic Phase 1 target; expand to 3,000+ in Year 1</w:t>
            </w:r>
          </w:p>
        </w:tc>
      </w:tr>
    </w:tbl>
    <w:p>
      <w:pPr>
        <w:spacing w:after="100"/>
      </w:pPr>
      <w:r>
        <w:t xml:space="preserve"> </w:t>
      </w:r>
    </w:p>
    <w:p>
      <w:pPr>
        <w:pStyle w:val="Heading3"/>
        <w:spacing w:after="60" w:before="160"/>
      </w:pPr>
      <w:r>
        <w:rPr>
          <w:b/>
          <w:bCs/>
          <w:color w:val="0F2740"/>
          <w:sz w:val="22"/>
          <w:szCs w:val="22"/>
        </w:rPr>
        <w:t xml:space="preserve">Sub-topic blueprint highlights</w:t>
      </w:r>
    </w:p>
    <w:p>
      <w:pPr>
        <w:spacing w:after="120" w:line="300"/>
      </w:pPr>
      <w:r>
        <w:rPr>
          <w:color w:val="111827"/>
          <w:sz w:val="21"/>
          <w:szCs w:val="21"/>
        </w:rPr>
        <w:t xml:space="preserve">A representative slice of the per-sub-topic counts your blueprint YAML should encode. Full blueprint is the curriculum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3960"/>
      </w:tblGrid>
      <w:tr>
        <w:trPr>
          <w:tblHeader/>
        </w:trPr>
        <w:tc>
          <w:tcPr>
            <w:tcW w:type="dxa" w:w="40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Sub-topic example (Cardiovascular)</w:t>
            </w:r>
          </w:p>
        </w:tc>
        <w:tc>
          <w:tcPr>
            <w:tcW w:type="dxa" w:w="14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Suggested count</w:t>
            </w:r>
          </w:p>
        </w:tc>
        <w:tc>
          <w:tcPr>
            <w:tcW w:type="dxa" w:w="396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Why</w:t>
            </w:r>
          </w:p>
        </w:tc>
      </w:tr>
      <w:tr>
        <w:tc>
          <w:tcPr>
            <w:tcW w:type="dxa" w:w="40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ACS — STEMI vs NSTEMI vs unstable angina</w:t>
            </w:r>
          </w:p>
        </w:tc>
        <w:tc>
          <w:tcPr>
            <w:tcW w:type="dxa" w:w="1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20</w:t>
            </w:r>
          </w:p>
        </w:tc>
        <w:tc>
          <w:tcPr>
            <w:tcW w:type="dxa" w:w="39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Highest-yield; appears in every paper</w:t>
            </w:r>
          </w:p>
        </w:tc>
      </w:tr>
      <w:tr>
        <w:tc>
          <w:tcPr>
            <w:tcW w:type="dxa" w:w="40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Heart failure — acute &amp; chronic</w:t>
            </w:r>
          </w:p>
        </w:tc>
        <w:tc>
          <w:tcPr>
            <w:tcW w:type="dxa" w:w="1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18</w:t>
            </w:r>
          </w:p>
        </w:tc>
        <w:tc>
          <w:tcPr>
            <w:tcW w:type="dxa" w:w="39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Common chronic-disease anchor</w:t>
            </w:r>
          </w:p>
        </w:tc>
      </w:tr>
      <w:tr>
        <w:tc>
          <w:tcPr>
            <w:tcW w:type="dxa" w:w="40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Atrial fibrillation — rate vs rhythm, anticoagulation</w:t>
            </w:r>
          </w:p>
        </w:tc>
        <w:tc>
          <w:tcPr>
            <w:tcW w:type="dxa" w:w="1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15</w:t>
            </w:r>
          </w:p>
        </w:tc>
        <w:tc>
          <w:tcPr>
            <w:tcW w:type="dxa" w:w="39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CHA2DS2-VASc + HAS-BLED testable</w:t>
            </w:r>
          </w:p>
        </w:tc>
      </w:tr>
      <w:tr>
        <w:tc>
          <w:tcPr>
            <w:tcW w:type="dxa" w:w="40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Valvular disease (AS/MR/AR/MS)</w:t>
            </w:r>
          </w:p>
        </w:tc>
        <w:tc>
          <w:tcPr>
            <w:tcW w:type="dxa" w:w="1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15</w:t>
            </w:r>
          </w:p>
        </w:tc>
        <w:tc>
          <w:tcPr>
            <w:tcW w:type="dxa" w:w="39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Murmur + ECG + echo interpretation</w:t>
            </w:r>
          </w:p>
        </w:tc>
      </w:tr>
      <w:tr>
        <w:tc>
          <w:tcPr>
            <w:tcW w:type="dxa" w:w="40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Hypertension — investigation, secondary causes, management</w:t>
            </w:r>
          </w:p>
        </w:tc>
        <w:tc>
          <w:tcPr>
            <w:tcW w:type="dxa" w:w="1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12</w:t>
            </w:r>
          </w:p>
        </w:tc>
        <w:tc>
          <w:tcPr>
            <w:tcW w:type="dxa" w:w="39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NICE NG136 testable</w:t>
            </w:r>
          </w:p>
        </w:tc>
      </w:tr>
      <w:tr>
        <w:tc>
          <w:tcPr>
            <w:tcW w:type="dxa" w:w="40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VT / SVT / Bradyarrhythmias</w:t>
            </w:r>
          </w:p>
        </w:tc>
        <w:tc>
          <w:tcPr>
            <w:tcW w:type="dxa" w:w="1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10</w:t>
            </w:r>
          </w:p>
        </w:tc>
        <w:tc>
          <w:tcPr>
            <w:tcW w:type="dxa" w:w="39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ECG-driven</w:t>
            </w:r>
          </w:p>
        </w:tc>
      </w:tr>
      <w:tr>
        <w:tc>
          <w:tcPr>
            <w:tcW w:type="dxa" w:w="40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Endocarditis</w:t>
            </w:r>
          </w:p>
        </w:tc>
        <w:tc>
          <w:tcPr>
            <w:tcW w:type="dxa" w:w="1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8</w:t>
            </w:r>
          </w:p>
        </w:tc>
        <w:tc>
          <w:tcPr>
            <w:tcW w:type="dxa" w:w="39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Duke criteria, organism patterns</w:t>
            </w:r>
          </w:p>
        </w:tc>
      </w:tr>
      <w:tr>
        <w:tc>
          <w:tcPr>
            <w:tcW w:type="dxa" w:w="40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Aortic emergencies (dissection, AAA)</w:t>
            </w:r>
          </w:p>
        </w:tc>
        <w:tc>
          <w:tcPr>
            <w:tcW w:type="dxa" w:w="1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8</w:t>
            </w:r>
          </w:p>
        </w:tc>
        <w:tc>
          <w:tcPr>
            <w:tcW w:type="dxa" w:w="39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Surgical-medical overlap</w:t>
            </w:r>
          </w:p>
        </w:tc>
      </w:tr>
      <w:tr>
        <w:tc>
          <w:tcPr>
            <w:tcW w:type="dxa" w:w="40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DVT / PE</w:t>
            </w:r>
          </w:p>
        </w:tc>
        <w:tc>
          <w:tcPr>
            <w:tcW w:type="dxa" w:w="1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w:t>
            </w:r>
          </w:p>
        </w:tc>
        <w:tc>
          <w:tcPr>
            <w:tcW w:type="dxa" w:w="39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Wells score, anticoagulation strategy</w:t>
            </w:r>
          </w:p>
        </w:tc>
      </w:tr>
      <w:tr>
        <w:tc>
          <w:tcPr>
            <w:tcW w:type="dxa" w:w="40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Other (peripheral vascular, syncope, etc.)</w:t>
            </w:r>
          </w:p>
        </w:tc>
        <w:tc>
          <w:tcPr>
            <w:tcW w:type="dxa" w:w="1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34</w:t>
            </w:r>
          </w:p>
        </w:tc>
        <w:tc>
          <w:tcPr>
            <w:tcW w:type="dxa" w:w="39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Long tail to round out the domain</w:t>
            </w:r>
          </w:p>
        </w:tc>
      </w:tr>
    </w:tbl>
    <w:p>
      <w:pPr>
        <w:spacing w:after="100"/>
      </w:pPr>
      <w:r>
        <w:t xml:space="preserve"> </w:t>
      </w:r>
    </w:p>
    <w:p>
      <w:pPr>
        <w:pStyle w:val="Heading3"/>
        <w:spacing w:after="60" w:before="160"/>
      </w:pPr>
      <w:r>
        <w:rPr>
          <w:b/>
          <w:bCs/>
          <w:color w:val="0F2740"/>
          <w:sz w:val="22"/>
          <w:szCs w:val="22"/>
        </w:rPr>
        <w:t xml:space="preserve">Existing market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60"/>
      </w:tblGrid>
      <w:tr>
        <w:trPr>
          <w:tblHeader/>
        </w:trPr>
        <w:tc>
          <w:tcPr>
            <w:tcW w:type="dxa" w:w="26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Resource</w:t>
            </w:r>
          </w:p>
        </w:tc>
        <w:tc>
          <w:tcPr>
            <w:tcW w:type="dxa" w:w="37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Position</w:t>
            </w:r>
          </w:p>
        </w:tc>
        <w:tc>
          <w:tcPr>
            <w:tcW w:type="dxa" w:w="306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Pricing / note</w:t>
            </w:r>
          </w:p>
        </w:tc>
      </w:tr>
      <w:tr>
        <w:tc>
          <w:tcPr>
            <w:tcW w:type="dxa" w:w="26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Pastest UKMLA</w:t>
            </w:r>
          </w:p>
        </w:tc>
        <w:tc>
          <w:tcPr>
            <w:tcW w:type="dxa" w:w="3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Established, large bank, mock exams</w:t>
            </w:r>
          </w:p>
        </w:tc>
        <w:tc>
          <w:tcPr>
            <w:tcW w:type="dxa" w:w="30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£59–179, several plans</w:t>
            </w:r>
          </w:p>
        </w:tc>
      </w:tr>
      <w:tr>
        <w:tc>
          <w:tcPr>
            <w:tcW w:type="dxa" w:w="26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Quesmed</w:t>
            </w:r>
          </w:p>
        </w:tc>
        <w:tc>
          <w:tcPr>
            <w:tcW w:type="dxa" w:w="3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Modern UI, video, integrated curriculum</w:t>
            </w:r>
          </w:p>
        </w:tc>
        <w:tc>
          <w:tcPr>
            <w:tcW w:type="dxa" w:w="30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From £14.99/mo</w:t>
            </w:r>
          </w:p>
        </w:tc>
      </w:tr>
      <w:tr>
        <w:tc>
          <w:tcPr>
            <w:tcW w:type="dxa" w:w="26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Passmedicine</w:t>
            </w:r>
          </w:p>
        </w:tc>
        <w:tc>
          <w:tcPr>
            <w:tcW w:type="dxa" w:w="3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Knowledge Tutor (basic spaced rep), 11k+ SBAs</w:t>
            </w:r>
          </w:p>
        </w:tc>
        <w:tc>
          <w:tcPr>
            <w:tcW w:type="dxa" w:w="30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£50–75 / 6–12 mo</w:t>
            </w:r>
          </w:p>
        </w:tc>
      </w:tr>
      <w:tr>
        <w:tc>
          <w:tcPr>
            <w:tcW w:type="dxa" w:w="26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iatroX (free tier)</w:t>
            </w:r>
          </w:p>
        </w:tc>
        <w:tc>
          <w:tcPr>
            <w:tcW w:type="dxa" w:w="3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AI-powered, MHRA-registered, NHS-doctor-built</w:t>
            </w:r>
          </w:p>
        </w:tc>
        <w:tc>
          <w:tcPr>
            <w:tcW w:type="dxa" w:w="30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Free; £78/yr Premium</w:t>
            </w:r>
          </w:p>
        </w:tc>
      </w:tr>
      <w:tr>
        <w:tc>
          <w:tcPr>
            <w:tcW w:type="dxa" w:w="26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MLA Prep</w:t>
            </w:r>
          </w:p>
        </w:tc>
        <w:tc>
          <w:tcPr>
            <w:tcW w:type="dxa" w:w="3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Low-cost option, £49/yr annual</w:t>
            </w:r>
          </w:p>
        </w:tc>
        <w:tc>
          <w:tcPr>
            <w:tcW w:type="dxa" w:w="30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£4.99/wk or £49/yr</w:t>
            </w:r>
          </w:p>
        </w:tc>
      </w:tr>
      <w:tr>
        <w:tc>
          <w:tcPr>
            <w:tcW w:type="dxa" w:w="26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Geeky Medics MLA Content Map</w:t>
            </w:r>
          </w:p>
        </w:tc>
        <w:tc>
          <w:tcPr>
            <w:tcW w:type="dxa" w:w="3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Free curriculum maps + AI virtual patients</w:t>
            </w:r>
          </w:p>
        </w:tc>
        <w:tc>
          <w:tcPr>
            <w:tcW w:type="dxa" w:w="30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Free + bundles</w:t>
            </w:r>
          </w:p>
        </w:tc>
      </w:tr>
    </w:tbl>
    <w:p>
      <w:pPr>
        <w:spacing w:after="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A12" w:sz="24"/>
              <w:left w:val="single" w:color="B07A12" w:sz="4"/>
              <w:bottom w:val="single" w:color="FFF4DC" w:sz="4"/>
              <w:right w:val="single" w:color="FFF4DC" w:sz="4"/>
            </w:tcBorders>
            <w:shd w:fill="FFF4DC" w:val="clear"/>
            <w:tcMar>
              <w:top w:type="dxa" w:w="160"/>
              <w:left w:type="dxa" w:w="200"/>
              <w:bottom w:type="dxa" w:w="160"/>
              <w:right w:type="dxa" w:w="200"/>
            </w:tcMar>
          </w:tcPr>
          <w:p>
            <w:pPr>
              <w:spacing w:after="60"/>
            </w:pPr>
            <w:r>
              <w:rPr>
                <w:b/>
                <w:bCs/>
                <w:color w:val="B07A12"/>
                <w:sz w:val="22"/>
                <w:szCs w:val="22"/>
              </w:rPr>
              <w:t xml:space="preserve">Network angle</w:t>
            </w:r>
          </w:p>
          <w:p>
            <w:pPr>
              <w:spacing w:after="0" w:line="300"/>
            </w:pPr>
            <w:r>
              <w:rPr>
                <w:color w:val="111827"/>
                <w:sz w:val="21"/>
                <w:szCs w:val="21"/>
              </w:rPr>
              <w:t xml:space="preserve">Recruit </w:t>
            </w:r>
            <w:r>
              <w:rPr>
                <w:b/>
                <w:bCs/>
                <w:color w:val="111827"/>
                <w:sz w:val="21"/>
                <w:szCs w:val="21"/>
              </w:rPr>
              <w:t xml:space="preserve">2 final-year UK med students + 1 F1 doctor</w:t>
            </w:r>
            <w:r>
              <w:rPr>
                <w:color w:val="111827"/>
                <w:sz w:val="21"/>
                <w:szCs w:val="21"/>
              </w:rPr>
              <w:t xml:space="preserve"> who recently sat UKMLA. They review AI-generated SBAs at 30–50/day for £10–15 per accepted question. Their endorsement on social media at launch is worth more than any paid acquisition.</w:t>
            </w:r>
          </w:p>
        </w:tc>
      </w:tr>
    </w:tbl>
    <w:p>
      <w:pPr>
        <w:spacing w:after="100"/>
      </w:pPr>
      <w:r>
        <w:t xml:space="preserve"> </w:t>
      </w:r>
    </w:p>
    <w:p>
      <w:r>
        <w:br w:type="page"/>
      </w:r>
    </w:p>
    <w:p>
      <w:pPr>
        <w:pStyle w:val="Heading1"/>
        <w:spacing w:after="120" w:before="320"/>
      </w:pPr>
      <w:r>
        <w:rPr>
          <w:b/>
          <w:bCs/>
          <w:color w:val="0F2740"/>
          <w:sz w:val="36"/>
          <w:szCs w:val="36"/>
        </w:rPr>
        <w:t xml:space="preserve">PSA  </w:t>
      </w:r>
      <w:r>
        <w:rPr>
          <w:b w:val="false"/>
          <w:bCs w:val="false"/>
          <w:color w:val="0E7C7B"/>
          <w:sz w:val="28"/>
          <w:szCs w:val="28"/>
        </w:rPr>
        <w:t xml:space="preserve">— Prescribing Safety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24"/>
              <w:left w:val="single" w:color="0E7C7B" w:sz="4"/>
              <w:bottom w:val="single" w:color="EAF6F5" w:sz="4"/>
              <w:right w:val="single" w:color="EAF6F5" w:sz="4"/>
            </w:tcBorders>
            <w:shd w:fill="EAF6F5" w:val="clear"/>
            <w:tcMar>
              <w:top w:type="dxa" w:w="160"/>
              <w:left w:type="dxa" w:w="200"/>
              <w:bottom w:type="dxa" w:w="160"/>
              <w:right w:type="dxa" w:w="200"/>
            </w:tcMar>
          </w:tcPr>
          <w:p>
            <w:pPr>
              <w:spacing w:after="60"/>
            </w:pPr>
            <w:r>
              <w:rPr>
                <w:b/>
                <w:bCs/>
                <w:color w:val="0E7C7B"/>
                <w:sz w:val="22"/>
                <w:szCs w:val="22"/>
              </w:rPr>
              <w:t xml:space="preserve">At a glance</w:t>
            </w:r>
          </w:p>
          <w:p>
            <w:pPr>
              <w:spacing w:after="0" w:line="300"/>
            </w:pPr>
            <w:r>
              <w:rPr>
                <w:color w:val="111827"/>
                <w:sz w:val="21"/>
                <w:szCs w:val="21"/>
              </w:rPr>
              <w:t xml:space="preserve">Mandatory pass for every UK final-year medical student to register as F1, and required for IMGs joining UK practice. </w:t>
            </w:r>
            <w:r>
              <w:rPr>
                <w:b/>
                <w:bCs/>
                <w:color w:val="111827"/>
                <w:sz w:val="21"/>
                <w:szCs w:val="21"/>
              </w:rPr>
              <w:t xml:space="preserve">~7,000 UK candidates per year</w:t>
            </w:r>
            <w:r>
              <w:rPr>
                <w:color w:val="111827"/>
                <w:sz w:val="21"/>
                <w:szCs w:val="21"/>
              </w:rPr>
              <w:t xml:space="preserve">, with high pass-pressure (re-sits cost time and money). Despite being mandatory, the prep market is fragmented — BPSA Practice Papers, MedCourse, Mind The Bleep — and </w:t>
            </w:r>
            <w:r>
              <w:rPr>
                <w:b/>
                <w:bCs/>
                <w:color w:val="111827"/>
                <w:sz w:val="21"/>
                <w:szCs w:val="21"/>
              </w:rPr>
              <w:t xml:space="preserve">no one has built an AI-grounded BNF-aware bank</w:t>
            </w:r>
            <w:r>
              <w:rPr>
                <w:color w:val="111827"/>
                <w:sz w:val="21"/>
                <w:szCs w:val="21"/>
              </w:rPr>
              <w:t xml:space="preserve"> that adapts to the student's weakness profile. This is one of the cleanest open lanes.</w:t>
            </w:r>
          </w:p>
        </w:tc>
      </w:tr>
    </w:tbl>
    <w:p>
      <w:pPr>
        <w:spacing w:after="100"/>
      </w:pPr>
      <w:r>
        <w:t xml:space="preserve"> </w:t>
      </w:r>
    </w:p>
    <w:p>
      <w:pPr>
        <w:spacing w:after="120" w:line="300"/>
      </w:pPr>
      <w:r>
        <w:rPr>
          <w:b/>
          <w:bCs/>
          <w:color w:val="111827"/>
          <w:sz w:val="21"/>
          <w:szCs w:val="21"/>
        </w:rPr>
        <w:t xml:space="preserve">Curriculum source: </w:t>
      </w:r>
      <w:r>
        <w:rPr>
          <w:i/>
          <w:iCs/>
          <w:color w:val="111827"/>
          <w:sz w:val="21"/>
          <w:szCs w:val="21"/>
        </w:rPr>
        <w:t xml:space="preserve">BPS Assessment / British Pharmacological Society — PSA Blueprint (PDF, updated July 2024).</w:t>
      </w:r>
    </w:p>
    <w:p>
      <w:pPr>
        <w:pStyle w:val="Heading3"/>
        <w:spacing w:after="60" w:before="160"/>
      </w:pPr>
      <w:r>
        <w:rPr>
          <w:b/>
          <w:bCs/>
          <w:color w:val="0F2740"/>
          <w:sz w:val="22"/>
          <w:szCs w:val="22"/>
        </w:rPr>
        <w:t xml:space="preserve">Format &amp;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Aspect</w:t>
            </w:r>
          </w:p>
        </w:tc>
        <w:tc>
          <w:tcPr>
            <w:tcW w:type="dxa" w:w="716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Detail</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Body</w:t>
            </w:r>
          </w:p>
        </w:tc>
        <w:tc>
          <w:tcPr>
            <w:tcW w:type="dxa" w:w="7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BPS Assessment (BPSA), British Pharmacological Society</w:t>
            </w:r>
          </w:p>
        </w:tc>
      </w:tr>
      <w:tr>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Duration</w:t>
            </w:r>
          </w:p>
        </w:tc>
        <w:tc>
          <w:tcPr>
            <w:tcW w:type="dxa" w:w="71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120 minutes (open-book; BNF available throughout)</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Question count</w:t>
            </w:r>
          </w:p>
        </w:tc>
        <w:tc>
          <w:tcPr>
            <w:tcW w:type="dxa" w:w="7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60 questions across 8 question types</w:t>
            </w:r>
          </w:p>
        </w:tc>
      </w:tr>
      <w:tr>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Question types</w:t>
            </w:r>
          </w:p>
        </w:tc>
        <w:tc>
          <w:tcPr>
            <w:tcW w:type="dxa" w:w="71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Prescribing, Prescription Review, Planning Management, Providing Information, Calculation Skills, Adverse Drug Reactions, Drug Monitoring, Data Interpretation</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Pass mark</w:t>
            </w:r>
          </w:p>
        </w:tc>
        <w:tc>
          <w:tcPr>
            <w:tcW w:type="dxa" w:w="7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Standard-set per sitting</w:t>
            </w:r>
          </w:p>
        </w:tc>
      </w:tr>
      <w:tr>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Re-sit pattern</w:t>
            </w:r>
          </w:p>
        </w:tc>
        <w:tc>
          <w:tcPr>
            <w:tcW w:type="dxa" w:w="71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Up to 4 attempts in F1 year</w:t>
            </w:r>
          </w:p>
        </w:tc>
      </w:tr>
    </w:tbl>
    <w:p>
      <w:pPr>
        <w:spacing w:after="100"/>
      </w:pPr>
      <w:r>
        <w:t xml:space="preserve"> </w:t>
      </w:r>
    </w:p>
    <w:p>
      <w:pPr>
        <w:pStyle w:val="Heading3"/>
        <w:spacing w:after="60" w:before="160"/>
      </w:pPr>
      <w:r>
        <w:rPr>
          <w:b/>
          <w:bCs/>
          <w:color w:val="0F2740"/>
          <w:sz w:val="22"/>
          <w:szCs w:val="22"/>
        </w:rPr>
        <w:t xml:space="preserve">Domain blueprint (with suggested seed bank counts)</w:t>
      </w:r>
    </w:p>
    <w:p>
      <w:pPr>
        <w:spacing w:after="120" w:line="300"/>
      </w:pPr>
      <w:r>
        <w:rPr>
          <w:color w:val="111827"/>
          <w:sz w:val="21"/>
          <w:szCs w:val="21"/>
        </w:rPr>
        <w:t xml:space="preserve">Question counts are editorial recommendations for a launch-quality bank, calibrated to published exam weights and what the platform should cover. Adjust ratios to your network's specialty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500"/>
        <w:gridCol w:w="3460"/>
      </w:tblGrid>
      <w:tr>
        <w:trPr>
          <w:tblHeader/>
        </w:trPr>
        <w:tc>
          <w:tcPr>
            <w:tcW w:type="dxa" w:w="30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Question type (PSA blueprint)</w:t>
            </w:r>
          </w:p>
        </w:tc>
        <w:tc>
          <w:tcPr>
            <w:tcW w:type="dxa" w:w="14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Marks weight</w:t>
            </w:r>
          </w:p>
        </w:tc>
        <w:tc>
          <w:tcPr>
            <w:tcW w:type="dxa" w:w="15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Seed bank target</w:t>
            </w:r>
          </w:p>
        </w:tc>
        <w:tc>
          <w:tcPr>
            <w:tcW w:type="dxa" w:w="346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Notes</w:t>
            </w:r>
          </w:p>
        </w:tc>
      </w:tr>
      <w:tr>
        <w:tc>
          <w:tcPr>
            <w:tcW w:type="dxa" w:w="30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Prescribing (write a safe prescription)</w:t>
            </w:r>
          </w:p>
        </w:tc>
        <w:tc>
          <w:tcPr>
            <w:tcW w:type="dxa" w:w="1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80 marks (~42%)</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150</w:t>
            </w:r>
          </w:p>
        </w:tc>
        <w:tc>
          <w:tcPr>
            <w:tcW w:type="dxa" w:w="34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The biggest, hardest section; BNF-grounded</w:t>
            </w:r>
          </w:p>
        </w:tc>
      </w:tr>
      <w:tr>
        <w:tc>
          <w:tcPr>
            <w:tcW w:type="dxa" w:w="30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Prescription Review</w:t>
            </w:r>
          </w:p>
        </w:tc>
        <w:tc>
          <w:tcPr>
            <w:tcW w:type="dxa" w:w="1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32 marks</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60</w:t>
            </w:r>
          </w:p>
        </w:tc>
        <w:tc>
          <w:tcPr>
            <w:tcW w:type="dxa" w:w="34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Spot the error — interactions, dosing, contraindications</w:t>
            </w:r>
          </w:p>
        </w:tc>
      </w:tr>
      <w:tr>
        <w:tc>
          <w:tcPr>
            <w:tcW w:type="dxa" w:w="30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Planning Management</w:t>
            </w:r>
          </w:p>
        </w:tc>
        <w:tc>
          <w:tcPr>
            <w:tcW w:type="dxa" w:w="1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16 marks</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50</w:t>
            </w:r>
          </w:p>
        </w:tc>
        <w:tc>
          <w:tcPr>
            <w:tcW w:type="dxa" w:w="34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Choose the best plan from clinical scenario</w:t>
            </w:r>
          </w:p>
        </w:tc>
      </w:tr>
      <w:tr>
        <w:tc>
          <w:tcPr>
            <w:tcW w:type="dxa" w:w="30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Providing Information</w:t>
            </w:r>
          </w:p>
        </w:tc>
        <w:tc>
          <w:tcPr>
            <w:tcW w:type="dxa" w:w="1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12 marks</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40</w:t>
            </w:r>
          </w:p>
        </w:tc>
        <w:tc>
          <w:tcPr>
            <w:tcW w:type="dxa" w:w="34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Counsel a patient on a drug</w:t>
            </w:r>
          </w:p>
        </w:tc>
      </w:tr>
      <w:tr>
        <w:tc>
          <w:tcPr>
            <w:tcW w:type="dxa" w:w="30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Calculation Skills</w:t>
            </w:r>
          </w:p>
        </w:tc>
        <w:tc>
          <w:tcPr>
            <w:tcW w:type="dxa" w:w="1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16 marks</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60</w:t>
            </w:r>
          </w:p>
        </w:tc>
        <w:tc>
          <w:tcPr>
            <w:tcW w:type="dxa" w:w="34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Dose calculations — paeds, infusions, conversions</w:t>
            </w:r>
          </w:p>
        </w:tc>
      </w:tr>
      <w:tr>
        <w:tc>
          <w:tcPr>
            <w:tcW w:type="dxa" w:w="30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Adverse Drug Reactions</w:t>
            </w:r>
          </w:p>
        </w:tc>
        <w:tc>
          <w:tcPr>
            <w:tcW w:type="dxa" w:w="1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16 marks</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50</w:t>
            </w:r>
          </w:p>
        </w:tc>
        <w:tc>
          <w:tcPr>
            <w:tcW w:type="dxa" w:w="34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Recognising ADRs and management</w:t>
            </w:r>
          </w:p>
        </w:tc>
      </w:tr>
      <w:tr>
        <w:tc>
          <w:tcPr>
            <w:tcW w:type="dxa" w:w="30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Drug Monitoring</w:t>
            </w:r>
          </w:p>
        </w:tc>
        <w:tc>
          <w:tcPr>
            <w:tcW w:type="dxa" w:w="1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16 marks</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40</w:t>
            </w:r>
          </w:p>
        </w:tc>
        <w:tc>
          <w:tcPr>
            <w:tcW w:type="dxa" w:w="34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TDM — gentamicin, vancomycin, lithium, etc.</w:t>
            </w:r>
          </w:p>
        </w:tc>
      </w:tr>
      <w:tr>
        <w:tc>
          <w:tcPr>
            <w:tcW w:type="dxa" w:w="30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Data Interpretation</w:t>
            </w:r>
          </w:p>
        </w:tc>
        <w:tc>
          <w:tcPr>
            <w:tcW w:type="dxa" w:w="1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30</w:t>
            </w:r>
          </w:p>
        </w:tc>
        <w:tc>
          <w:tcPr>
            <w:tcW w:type="dxa" w:w="34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Lab + ECG + drug-related</w:t>
            </w:r>
          </w:p>
        </w:tc>
      </w:tr>
      <w:tr>
        <w:tc>
          <w:tcPr>
            <w:tcW w:type="dxa" w:w="30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TOTAL</w:t>
            </w:r>
          </w:p>
        </w:tc>
        <w:tc>
          <w:tcPr>
            <w:tcW w:type="dxa" w:w="1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~190 marks</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480 SBAs</w:t>
            </w:r>
          </w:p>
        </w:tc>
        <w:tc>
          <w:tcPr>
            <w:tcW w:type="dxa" w:w="34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Smaller bank, sharper bite</w:t>
            </w:r>
          </w:p>
        </w:tc>
      </w:tr>
    </w:tbl>
    <w:p>
      <w:pPr>
        <w:spacing w:after="100"/>
      </w:pPr>
      <w:r>
        <w:t xml:space="preserve"> </w:t>
      </w:r>
    </w:p>
    <w:p>
      <w:pPr>
        <w:pStyle w:val="Heading3"/>
        <w:spacing w:after="60" w:before="160"/>
      </w:pPr>
      <w:r>
        <w:rPr>
          <w:b/>
          <w:bCs/>
          <w:color w:val="0F2740"/>
          <w:sz w:val="22"/>
          <w:szCs w:val="22"/>
        </w:rPr>
        <w:t xml:space="preserve">Sub-topic blueprint highlights</w:t>
      </w:r>
    </w:p>
    <w:p>
      <w:pPr>
        <w:spacing w:after="120" w:line="300"/>
      </w:pPr>
      <w:r>
        <w:rPr>
          <w:color w:val="111827"/>
          <w:sz w:val="21"/>
          <w:szCs w:val="21"/>
        </w:rPr>
        <w:t xml:space="preserve">A representative slice of the per-sub-topic counts your blueprint YAML should encode. Full blueprint is the curriculum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3960"/>
      </w:tblGrid>
      <w:tr>
        <w:trPr>
          <w:tblHeader/>
        </w:trPr>
        <w:tc>
          <w:tcPr>
            <w:tcW w:type="dxa" w:w="40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High-yield clinical context</w:t>
            </w:r>
          </w:p>
        </w:tc>
        <w:tc>
          <w:tcPr>
            <w:tcW w:type="dxa" w:w="14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Suggested count</w:t>
            </w:r>
          </w:p>
        </w:tc>
        <w:tc>
          <w:tcPr>
            <w:tcW w:type="dxa" w:w="396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Why</w:t>
            </w:r>
          </w:p>
        </w:tc>
      </w:tr>
      <w:tr>
        <w:tc>
          <w:tcPr>
            <w:tcW w:type="dxa" w:w="40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Pain management (opioids, NSAIDs, paracetamol)</w:t>
            </w:r>
          </w:p>
        </w:tc>
        <w:tc>
          <w:tcPr>
            <w:tcW w:type="dxa" w:w="1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30</w:t>
            </w:r>
          </w:p>
        </w:tc>
        <w:tc>
          <w:tcPr>
            <w:tcW w:type="dxa" w:w="39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Universal F1 task; high-stakes</w:t>
            </w:r>
          </w:p>
        </w:tc>
      </w:tr>
      <w:tr>
        <w:tc>
          <w:tcPr>
            <w:tcW w:type="dxa" w:w="40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Anticoagulation (warfarin, DOACs, heparin)</w:t>
            </w:r>
          </w:p>
        </w:tc>
        <w:tc>
          <w:tcPr>
            <w:tcW w:type="dxa" w:w="1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30</w:t>
            </w:r>
          </w:p>
        </w:tc>
        <w:tc>
          <w:tcPr>
            <w:tcW w:type="dxa" w:w="39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Common errors; BNF-heavy</w:t>
            </w:r>
          </w:p>
        </w:tc>
      </w:tr>
      <w:tr>
        <w:tc>
          <w:tcPr>
            <w:tcW w:type="dxa" w:w="40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Antibiotics (sepsis, MRSA, allergies)</w:t>
            </w:r>
          </w:p>
        </w:tc>
        <w:tc>
          <w:tcPr>
            <w:tcW w:type="dxa" w:w="1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30</w:t>
            </w:r>
          </w:p>
        </w:tc>
        <w:tc>
          <w:tcPr>
            <w:tcW w:type="dxa" w:w="39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Daily F1 prescribing</w:t>
            </w:r>
          </w:p>
        </w:tc>
      </w:tr>
      <w:tr>
        <w:tc>
          <w:tcPr>
            <w:tcW w:type="dxa" w:w="40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Insulin and diabetes drugs</w:t>
            </w:r>
          </w:p>
        </w:tc>
        <w:tc>
          <w:tcPr>
            <w:tcW w:type="dxa" w:w="1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25</w:t>
            </w:r>
          </w:p>
        </w:tc>
        <w:tc>
          <w:tcPr>
            <w:tcW w:type="dxa" w:w="39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Calculation + safety</w:t>
            </w:r>
          </w:p>
        </w:tc>
      </w:tr>
      <w:tr>
        <w:tc>
          <w:tcPr>
            <w:tcW w:type="dxa" w:w="40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Paediatric prescribing (weight-based)</w:t>
            </w:r>
          </w:p>
        </w:tc>
        <w:tc>
          <w:tcPr>
            <w:tcW w:type="dxa" w:w="1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25</w:t>
            </w:r>
          </w:p>
        </w:tc>
        <w:tc>
          <w:tcPr>
            <w:tcW w:type="dxa" w:w="39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Calculation-heavy</w:t>
            </w:r>
          </w:p>
        </w:tc>
      </w:tr>
      <w:tr>
        <w:tc>
          <w:tcPr>
            <w:tcW w:type="dxa" w:w="40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Cardiovascular drugs (BB, ACE-I, statins)</w:t>
            </w:r>
          </w:p>
        </w:tc>
        <w:tc>
          <w:tcPr>
            <w:tcW w:type="dxa" w:w="1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25</w:t>
            </w:r>
          </w:p>
        </w:tc>
        <w:tc>
          <w:tcPr>
            <w:tcW w:type="dxa" w:w="39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Interactions</w:t>
            </w:r>
          </w:p>
        </w:tc>
      </w:tr>
      <w:tr>
        <w:tc>
          <w:tcPr>
            <w:tcW w:type="dxa" w:w="40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Renal-dose adjustments</w:t>
            </w:r>
          </w:p>
        </w:tc>
        <w:tc>
          <w:tcPr>
            <w:tcW w:type="dxa" w:w="1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20</w:t>
            </w:r>
          </w:p>
        </w:tc>
        <w:tc>
          <w:tcPr>
            <w:tcW w:type="dxa" w:w="39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BNF Appendix-driven</w:t>
            </w:r>
          </w:p>
        </w:tc>
      </w:tr>
      <w:tr>
        <w:tc>
          <w:tcPr>
            <w:tcW w:type="dxa" w:w="40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Steroids and immunosuppression</w:t>
            </w:r>
          </w:p>
        </w:tc>
        <w:tc>
          <w:tcPr>
            <w:tcW w:type="dxa" w:w="1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20</w:t>
            </w:r>
          </w:p>
        </w:tc>
        <w:tc>
          <w:tcPr>
            <w:tcW w:type="dxa" w:w="39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Tapering, safety</w:t>
            </w:r>
          </w:p>
        </w:tc>
      </w:tr>
      <w:tr>
        <w:tc>
          <w:tcPr>
            <w:tcW w:type="dxa" w:w="40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Mental-health drugs</w:t>
            </w:r>
          </w:p>
        </w:tc>
        <w:tc>
          <w:tcPr>
            <w:tcW w:type="dxa" w:w="1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20</w:t>
            </w:r>
          </w:p>
        </w:tc>
        <w:tc>
          <w:tcPr>
            <w:tcW w:type="dxa" w:w="39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Sertraline, lithium, antipsychotics</w:t>
            </w:r>
          </w:p>
        </w:tc>
      </w:tr>
      <w:tr>
        <w:tc>
          <w:tcPr>
            <w:tcW w:type="dxa" w:w="40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Long tail (other systems)</w:t>
            </w:r>
          </w:p>
        </w:tc>
        <w:tc>
          <w:tcPr>
            <w:tcW w:type="dxa" w:w="1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55</w:t>
            </w:r>
          </w:p>
        </w:tc>
        <w:tc>
          <w:tcPr>
            <w:tcW w:type="dxa" w:w="39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Round out coverage</w:t>
            </w:r>
          </w:p>
        </w:tc>
      </w:tr>
    </w:tbl>
    <w:p>
      <w:pPr>
        <w:spacing w:after="100"/>
      </w:pPr>
      <w:r>
        <w:t xml:space="preserve"> </w:t>
      </w:r>
    </w:p>
    <w:p>
      <w:pPr>
        <w:pStyle w:val="Heading3"/>
        <w:spacing w:after="60" w:before="160"/>
      </w:pPr>
      <w:r>
        <w:rPr>
          <w:b/>
          <w:bCs/>
          <w:color w:val="0F2740"/>
          <w:sz w:val="22"/>
          <w:szCs w:val="22"/>
        </w:rPr>
        <w:t xml:space="preserve">Existing market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60"/>
      </w:tblGrid>
      <w:tr>
        <w:trPr>
          <w:tblHeader/>
        </w:trPr>
        <w:tc>
          <w:tcPr>
            <w:tcW w:type="dxa" w:w="26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Resource</w:t>
            </w:r>
          </w:p>
        </w:tc>
        <w:tc>
          <w:tcPr>
            <w:tcW w:type="dxa" w:w="37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Position</w:t>
            </w:r>
          </w:p>
        </w:tc>
        <w:tc>
          <w:tcPr>
            <w:tcW w:type="dxa" w:w="306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Pricing / note</w:t>
            </w:r>
          </w:p>
        </w:tc>
      </w:tr>
      <w:tr>
        <w:tc>
          <w:tcPr>
            <w:tcW w:type="dxa" w:w="26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BPSA Official Practice Papers</w:t>
            </w:r>
          </w:p>
        </w:tc>
        <w:tc>
          <w:tcPr>
            <w:tcW w:type="dxa" w:w="3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The exam authority</w:t>
            </w:r>
          </w:p>
        </w:tc>
        <w:tc>
          <w:tcPr>
            <w:tcW w:type="dxa" w:w="30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£35–60 / pack</w:t>
            </w:r>
          </w:p>
        </w:tc>
      </w:tr>
      <w:tr>
        <w:tc>
          <w:tcPr>
            <w:tcW w:type="dxa" w:w="26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MedCourse PSA</w:t>
            </w:r>
          </w:p>
        </w:tc>
        <w:tc>
          <w:tcPr>
            <w:tcW w:type="dxa" w:w="3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Online prep with question bank</w:t>
            </w:r>
          </w:p>
        </w:tc>
        <w:tc>
          <w:tcPr>
            <w:tcW w:type="dxa" w:w="30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£40–70 / 3 mo</w:t>
            </w:r>
          </w:p>
        </w:tc>
      </w:tr>
      <w:tr>
        <w:tc>
          <w:tcPr>
            <w:tcW w:type="dxa" w:w="26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Mind The Bleep PSA Guide</w:t>
            </w:r>
          </w:p>
        </w:tc>
        <w:tc>
          <w:tcPr>
            <w:tcW w:type="dxa" w:w="3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Free educational, ad-supported</w:t>
            </w:r>
          </w:p>
        </w:tc>
        <w:tc>
          <w:tcPr>
            <w:tcW w:type="dxa" w:w="30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Free</w:t>
            </w:r>
          </w:p>
        </w:tc>
      </w:tr>
      <w:tr>
        <w:tc>
          <w:tcPr>
            <w:tcW w:type="dxa" w:w="26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Pastest PSA</w:t>
            </w:r>
          </w:p>
        </w:tc>
        <w:tc>
          <w:tcPr>
            <w:tcW w:type="dxa" w:w="3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Bundled with UKMLA prep</w:t>
            </w:r>
          </w:p>
        </w:tc>
        <w:tc>
          <w:tcPr>
            <w:tcW w:type="dxa" w:w="30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Bundle pricing</w:t>
            </w:r>
          </w:p>
        </w:tc>
      </w:tr>
      <w:tr>
        <w:tc>
          <w:tcPr>
            <w:tcW w:type="dxa" w:w="26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Quesmed PSA</w:t>
            </w:r>
          </w:p>
        </w:tc>
        <w:tc>
          <w:tcPr>
            <w:tcW w:type="dxa" w:w="3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Bundled</w:t>
            </w:r>
          </w:p>
        </w:tc>
        <w:tc>
          <w:tcPr>
            <w:tcW w:type="dxa" w:w="30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Bundle pricing</w:t>
            </w:r>
          </w:p>
        </w:tc>
      </w:tr>
    </w:tbl>
    <w:p>
      <w:pPr>
        <w:spacing w:after="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A12" w:sz="24"/>
              <w:left w:val="single" w:color="B07A12" w:sz="4"/>
              <w:bottom w:val="single" w:color="FFF4DC" w:sz="4"/>
              <w:right w:val="single" w:color="FFF4DC" w:sz="4"/>
            </w:tcBorders>
            <w:shd w:fill="FFF4DC" w:val="clear"/>
            <w:tcMar>
              <w:top w:type="dxa" w:w="160"/>
              <w:left w:type="dxa" w:w="200"/>
              <w:bottom w:type="dxa" w:w="160"/>
              <w:right w:type="dxa" w:w="200"/>
            </w:tcMar>
          </w:tcPr>
          <w:p>
            <w:pPr>
              <w:spacing w:after="60"/>
            </w:pPr>
            <w:r>
              <w:rPr>
                <w:b/>
                <w:bCs/>
                <w:color w:val="B07A12"/>
                <w:sz w:val="22"/>
                <w:szCs w:val="22"/>
              </w:rPr>
              <w:t xml:space="preserve">Network angle</w:t>
            </w:r>
          </w:p>
          <w:p>
            <w:pPr>
              <w:spacing w:after="0" w:line="300"/>
            </w:pPr>
            <w:r>
              <w:rPr>
                <w:color w:val="111827"/>
                <w:sz w:val="21"/>
                <w:szCs w:val="21"/>
              </w:rPr>
              <w:t xml:space="preserve">Find </w:t>
            </w:r>
            <w:r>
              <w:rPr>
                <w:b/>
                <w:bCs/>
                <w:color w:val="111827"/>
                <w:sz w:val="21"/>
                <w:szCs w:val="21"/>
              </w:rPr>
              <w:t xml:space="preserve">1–2 F1 doctors with strong PSA scores</w:t>
            </w:r>
            <w:r>
              <w:rPr>
                <w:color w:val="111827"/>
                <w:sz w:val="21"/>
                <w:szCs w:val="21"/>
              </w:rPr>
              <w:t xml:space="preserve"> plus a clinical pharmacist contact (essential for calculation accuracy and BNF-edge cases). Pharmacists are surprisingly underused as reviewers — they catch things doctors miss.</w:t>
            </w:r>
          </w:p>
        </w:tc>
      </w:tr>
    </w:tbl>
    <w:p>
      <w:pPr>
        <w:spacing w:after="100"/>
      </w:pPr>
      <w:r>
        <w:t xml:space="preserve"> </w:t>
      </w:r>
    </w:p>
    <w:p>
      <w:r>
        <w:br w:type="page"/>
      </w:r>
    </w:p>
    <w:p>
      <w:pPr>
        <w:pStyle w:val="Heading1"/>
        <w:spacing w:after="120" w:before="320"/>
      </w:pPr>
      <w:r>
        <w:rPr>
          <w:b/>
          <w:bCs/>
          <w:color w:val="0F2740"/>
          <w:sz w:val="36"/>
          <w:szCs w:val="36"/>
        </w:rPr>
        <w:t xml:space="preserve">MRCS A  </w:t>
      </w:r>
      <w:r>
        <w:rPr>
          <w:b w:val="false"/>
          <w:bCs w:val="false"/>
          <w:color w:val="0E7C7B"/>
          <w:sz w:val="28"/>
          <w:szCs w:val="28"/>
        </w:rPr>
        <w:t xml:space="preserve">— Membership of the Royal College of Surgeons — Part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24"/>
              <w:left w:val="single" w:color="0E7C7B" w:sz="4"/>
              <w:bottom w:val="single" w:color="EAF6F5" w:sz="4"/>
              <w:right w:val="single" w:color="EAF6F5" w:sz="4"/>
            </w:tcBorders>
            <w:shd w:fill="EAF6F5" w:val="clear"/>
            <w:tcMar>
              <w:top w:type="dxa" w:w="160"/>
              <w:left w:type="dxa" w:w="200"/>
              <w:bottom w:type="dxa" w:w="160"/>
              <w:right w:type="dxa" w:w="200"/>
            </w:tcMar>
          </w:tcPr>
          <w:p>
            <w:pPr>
              <w:spacing w:after="60"/>
            </w:pPr>
            <w:r>
              <w:rPr>
                <w:b/>
                <w:bCs/>
                <w:color w:val="0E7C7B"/>
                <w:sz w:val="22"/>
                <w:szCs w:val="22"/>
              </w:rPr>
              <w:t xml:space="preserve">At a glance</w:t>
            </w:r>
          </w:p>
          <w:p>
            <w:pPr>
              <w:spacing w:after="0" w:line="300"/>
            </w:pPr>
            <w:r>
              <w:rPr>
                <w:color w:val="111827"/>
                <w:sz w:val="21"/>
                <w:szCs w:val="21"/>
              </w:rPr>
              <w:t xml:space="preserve">The written gateway to UK surgical training (Core Surgical Training and beyond). </w:t>
            </w:r>
            <w:r>
              <w:rPr>
                <w:b/>
                <w:bCs/>
                <w:color w:val="111827"/>
                <w:sz w:val="21"/>
                <w:szCs w:val="21"/>
              </w:rPr>
              <w:t xml:space="preserve">~6,000–8,000 UK + IMG candidates per year</w:t>
            </w:r>
            <w:r>
              <w:rPr>
                <w:color w:val="111827"/>
                <w:sz w:val="21"/>
                <w:szCs w:val="21"/>
              </w:rPr>
              <w:t xml:space="preserve">, and your home turf as a UK surgical doctor. Two papers, 300 questions total. Anatomy is the largest single domain. </w:t>
            </w:r>
            <w:r>
              <w:rPr>
                <w:b/>
                <w:bCs/>
                <w:color w:val="111827"/>
                <w:sz w:val="21"/>
                <w:szCs w:val="21"/>
              </w:rPr>
              <w:t xml:space="preserve">This is your authority exam — launch with a bank you've personally curated for highest credibility.</w:t>
            </w:r>
          </w:p>
        </w:tc>
      </w:tr>
    </w:tbl>
    <w:p>
      <w:pPr>
        <w:spacing w:after="100"/>
      </w:pPr>
      <w:r>
        <w:t xml:space="preserve"> </w:t>
      </w:r>
    </w:p>
    <w:p>
      <w:pPr>
        <w:spacing w:after="120" w:line="300"/>
      </w:pPr>
      <w:r>
        <w:rPr>
          <w:b/>
          <w:bCs/>
          <w:color w:val="111827"/>
          <w:sz w:val="21"/>
          <w:szCs w:val="21"/>
        </w:rPr>
        <w:t xml:space="preserve">Curriculum source: </w:t>
      </w:r>
      <w:r>
        <w:rPr>
          <w:i/>
          <w:iCs/>
          <w:color w:val="111827"/>
          <w:sz w:val="21"/>
          <w:szCs w:val="21"/>
        </w:rPr>
        <w:t xml:space="preserve">Intercollegiate MRCS Syllabus (Joint Committee on Intercollegiate Examinations), available from RCS England, RCS Edinburgh, RCSI Dublin.</w:t>
      </w:r>
    </w:p>
    <w:p>
      <w:pPr>
        <w:pStyle w:val="Heading3"/>
        <w:spacing w:after="60" w:before="160"/>
      </w:pPr>
      <w:r>
        <w:rPr>
          <w:b/>
          <w:bCs/>
          <w:color w:val="0F2740"/>
          <w:sz w:val="22"/>
          <w:szCs w:val="22"/>
        </w:rPr>
        <w:t xml:space="preserve">Format &amp;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Aspect</w:t>
            </w:r>
          </w:p>
        </w:tc>
        <w:tc>
          <w:tcPr>
            <w:tcW w:type="dxa" w:w="716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Detail</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Body</w:t>
            </w:r>
          </w:p>
        </w:tc>
        <w:tc>
          <w:tcPr>
            <w:tcW w:type="dxa" w:w="7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Intercollegiate Surgical Curriculum Programme (ISCP) / Joint Committee on Intercollegiate Examinations</w:t>
            </w:r>
          </w:p>
        </w:tc>
      </w:tr>
      <w:tr>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Papers</w:t>
            </w:r>
          </w:p>
        </w:tc>
        <w:tc>
          <w:tcPr>
            <w:tcW w:type="dxa" w:w="71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Paper 1: Applied Basic Sciences (180 SBAs); Paper 2: Principles of Surgery in General (120 SBAs)</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Duration</w:t>
            </w:r>
          </w:p>
        </w:tc>
        <w:tc>
          <w:tcPr>
            <w:tcW w:type="dxa" w:w="7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Paper 1 — 3h; Paper 2 — 2h</w:t>
            </w:r>
          </w:p>
        </w:tc>
      </w:tr>
      <w:tr>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Question type</w:t>
            </w:r>
          </w:p>
        </w:tc>
        <w:tc>
          <w:tcPr>
            <w:tcW w:type="dxa" w:w="71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Single Best Answer (SBA)</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Pass mark</w:t>
            </w:r>
          </w:p>
        </w:tc>
        <w:tc>
          <w:tcPr>
            <w:tcW w:type="dxa" w:w="7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Combined; both papers contribute, modified-Angoff standard-set</w:t>
            </w:r>
          </w:p>
        </w:tc>
      </w:tr>
    </w:tbl>
    <w:p>
      <w:pPr>
        <w:spacing w:after="100"/>
      </w:pPr>
      <w:r>
        <w:t xml:space="preserve"> </w:t>
      </w:r>
    </w:p>
    <w:p>
      <w:pPr>
        <w:pStyle w:val="Heading3"/>
        <w:spacing w:after="60" w:before="160"/>
      </w:pPr>
      <w:r>
        <w:rPr>
          <w:b/>
          <w:bCs/>
          <w:color w:val="0F2740"/>
          <w:sz w:val="22"/>
          <w:szCs w:val="22"/>
        </w:rPr>
        <w:t xml:space="preserve">Domain blueprint (with suggested seed bank counts)</w:t>
      </w:r>
    </w:p>
    <w:p>
      <w:pPr>
        <w:spacing w:after="120" w:line="300"/>
      </w:pPr>
      <w:r>
        <w:rPr>
          <w:color w:val="111827"/>
          <w:sz w:val="21"/>
          <w:szCs w:val="21"/>
        </w:rPr>
        <w:t xml:space="preserve">Question counts are editorial recommendations for a launch-quality bank, calibrated to published exam weights and what the platform should cover. Adjust ratios to your network's specialty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400"/>
        <w:gridCol w:w="1500"/>
        <w:gridCol w:w="3160"/>
      </w:tblGrid>
      <w:tr>
        <w:trPr>
          <w:tblHeader/>
        </w:trPr>
        <w:tc>
          <w:tcPr>
            <w:tcW w:type="dxa" w:w="33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Paper / Domain</w:t>
            </w:r>
          </w:p>
        </w:tc>
        <w:tc>
          <w:tcPr>
            <w:tcW w:type="dxa" w:w="14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Weight (approx)</w:t>
            </w:r>
          </w:p>
        </w:tc>
        <w:tc>
          <w:tcPr>
            <w:tcW w:type="dxa" w:w="15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Seed bank target</w:t>
            </w:r>
          </w:p>
        </w:tc>
        <w:tc>
          <w:tcPr>
            <w:tcW w:type="dxa" w:w="316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Notes</w:t>
            </w:r>
          </w:p>
        </w:tc>
      </w:tr>
      <w:tr>
        <w:tc>
          <w:tcPr>
            <w:tcW w:type="dxa" w:w="3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Paper 1 — Anatomy (regional)</w:t>
            </w:r>
          </w:p>
        </w:tc>
        <w:tc>
          <w:tcPr>
            <w:tcW w:type="dxa" w:w="1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30–35% of P1</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200</w:t>
            </w:r>
          </w:p>
        </w:tc>
        <w:tc>
          <w:tcPr>
            <w:tcW w:type="dxa" w:w="3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Highest-yield single domain; head/neck, thorax, abdomen, pelvis, limbs, neuroanatomy</w:t>
            </w:r>
          </w:p>
        </w:tc>
      </w:tr>
      <w:tr>
        <w:tc>
          <w:tcPr>
            <w:tcW w:type="dxa" w:w="3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Paper 1 — Physiology</w:t>
            </w:r>
          </w:p>
        </w:tc>
        <w:tc>
          <w:tcPr>
            <w:tcW w:type="dxa" w:w="1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15–20% of P1</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100</w:t>
            </w:r>
          </w:p>
        </w:tc>
        <w:tc>
          <w:tcPr>
            <w:tcW w:type="dxa" w:w="31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Cardio-resp, renal, GI, endocrine, neuro physio</w:t>
            </w:r>
          </w:p>
        </w:tc>
      </w:tr>
      <w:tr>
        <w:tc>
          <w:tcPr>
            <w:tcW w:type="dxa" w:w="3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Paper 1 — Pathology (general + systemic)</w:t>
            </w:r>
          </w:p>
        </w:tc>
        <w:tc>
          <w:tcPr>
            <w:tcW w:type="dxa" w:w="1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15–20% of P1</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100</w:t>
            </w:r>
          </w:p>
        </w:tc>
        <w:tc>
          <w:tcPr>
            <w:tcW w:type="dxa" w:w="3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Inflammation, neoplasia, organ pathology</w:t>
            </w:r>
          </w:p>
        </w:tc>
      </w:tr>
      <w:tr>
        <w:tc>
          <w:tcPr>
            <w:tcW w:type="dxa" w:w="3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Paper 1 — Microbiology</w:t>
            </w:r>
          </w:p>
        </w:tc>
        <w:tc>
          <w:tcPr>
            <w:tcW w:type="dxa" w:w="1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8–10% of P1</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60</w:t>
            </w:r>
          </w:p>
        </w:tc>
        <w:tc>
          <w:tcPr>
            <w:tcW w:type="dxa" w:w="31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Surgical infections, antibiotic stewardship</w:t>
            </w:r>
          </w:p>
        </w:tc>
      </w:tr>
      <w:tr>
        <w:tc>
          <w:tcPr>
            <w:tcW w:type="dxa" w:w="3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Paper 1 — Pharmacology + Haematology + Chemistry</w:t>
            </w:r>
          </w:p>
        </w:tc>
        <w:tc>
          <w:tcPr>
            <w:tcW w:type="dxa" w:w="1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10–12% of P1</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80</w:t>
            </w:r>
          </w:p>
        </w:tc>
        <w:tc>
          <w:tcPr>
            <w:tcW w:type="dxa" w:w="3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Anaesthetic agents, transfusion, electrolytes</w:t>
            </w:r>
          </w:p>
        </w:tc>
      </w:tr>
      <w:tr>
        <w:tc>
          <w:tcPr>
            <w:tcW w:type="dxa" w:w="3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Paper 1 — Imaging + Critical Care</w:t>
            </w:r>
          </w:p>
        </w:tc>
        <w:tc>
          <w:tcPr>
            <w:tcW w:type="dxa" w:w="1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5–8% of P1</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50</w:t>
            </w:r>
          </w:p>
        </w:tc>
        <w:tc>
          <w:tcPr>
            <w:tcW w:type="dxa" w:w="31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X-ray, CT, MRI principles for surgeons</w:t>
            </w:r>
          </w:p>
        </w:tc>
      </w:tr>
      <w:tr>
        <w:tc>
          <w:tcPr>
            <w:tcW w:type="dxa" w:w="3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Paper 2 — Perioperative care</w:t>
            </w:r>
          </w:p>
        </w:tc>
        <w:tc>
          <w:tcPr>
            <w:tcW w:type="dxa" w:w="1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20% of P2</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100</w:t>
            </w:r>
          </w:p>
        </w:tc>
        <w:tc>
          <w:tcPr>
            <w:tcW w:type="dxa" w:w="3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Pre-op assessment, fluid management, post-op complications</w:t>
            </w:r>
          </w:p>
        </w:tc>
      </w:tr>
      <w:tr>
        <w:tc>
          <w:tcPr>
            <w:tcW w:type="dxa" w:w="3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Paper 2 — Common surgical conditions</w:t>
            </w:r>
          </w:p>
        </w:tc>
        <w:tc>
          <w:tcPr>
            <w:tcW w:type="dxa" w:w="1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30–35% of P2</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150</w:t>
            </w:r>
          </w:p>
        </w:tc>
        <w:tc>
          <w:tcPr>
            <w:tcW w:type="dxa" w:w="31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GI, vascular, urological, breast, etc.</w:t>
            </w:r>
          </w:p>
        </w:tc>
      </w:tr>
      <w:tr>
        <w:tc>
          <w:tcPr>
            <w:tcW w:type="dxa" w:w="3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Paper 2 — Trauma + Emergency</w:t>
            </w:r>
          </w:p>
        </w:tc>
        <w:tc>
          <w:tcPr>
            <w:tcW w:type="dxa" w:w="1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15% of P2</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80</w:t>
            </w:r>
          </w:p>
        </w:tc>
        <w:tc>
          <w:tcPr>
            <w:tcW w:type="dxa" w:w="3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ATLS-style, trauma assessment</w:t>
            </w:r>
          </w:p>
        </w:tc>
      </w:tr>
      <w:tr>
        <w:tc>
          <w:tcPr>
            <w:tcW w:type="dxa" w:w="3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Paper 2 — Surgical skills + safety + medico-legal</w:t>
            </w:r>
          </w:p>
        </w:tc>
        <w:tc>
          <w:tcPr>
            <w:tcW w:type="dxa" w:w="1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15% of P2</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80</w:t>
            </w:r>
          </w:p>
        </w:tc>
        <w:tc>
          <w:tcPr>
            <w:tcW w:type="dxa" w:w="31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Consent, WHO checklist, SBAR</w:t>
            </w:r>
          </w:p>
        </w:tc>
      </w:tr>
      <w:tr>
        <w:tc>
          <w:tcPr>
            <w:tcW w:type="dxa" w:w="3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Paper 2 — Paeds + Transplant + Dying patient</w:t>
            </w:r>
          </w:p>
        </w:tc>
        <w:tc>
          <w:tcPr>
            <w:tcW w:type="dxa" w:w="1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 of P2</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60</w:t>
            </w:r>
          </w:p>
        </w:tc>
        <w:tc>
          <w:tcPr>
            <w:tcW w:type="dxa" w:w="3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Niche but examined</w:t>
            </w:r>
          </w:p>
        </w:tc>
      </w:tr>
      <w:tr>
        <w:tc>
          <w:tcPr>
            <w:tcW w:type="dxa" w:w="3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TOTAL</w:t>
            </w:r>
          </w:p>
        </w:tc>
        <w:tc>
          <w:tcPr>
            <w:tcW w:type="dxa" w:w="1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~100%</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1,060 SBAs</w:t>
            </w:r>
          </w:p>
        </w:tc>
        <w:tc>
          <w:tcPr>
            <w:tcW w:type="dxa" w:w="31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Realistic Phase 1; grow to 3,000 in Year 1</w:t>
            </w:r>
          </w:p>
        </w:tc>
      </w:tr>
    </w:tbl>
    <w:p>
      <w:pPr>
        <w:spacing w:after="100"/>
      </w:pPr>
      <w:r>
        <w:t xml:space="preserve"> </w:t>
      </w:r>
    </w:p>
    <w:p>
      <w:pPr>
        <w:pStyle w:val="Heading3"/>
        <w:spacing w:after="60" w:before="160"/>
      </w:pPr>
      <w:r>
        <w:rPr>
          <w:b/>
          <w:bCs/>
          <w:color w:val="0F2740"/>
          <w:sz w:val="22"/>
          <w:szCs w:val="22"/>
        </w:rPr>
        <w:t xml:space="preserve">Sub-topic blueprint highlights</w:t>
      </w:r>
    </w:p>
    <w:p>
      <w:pPr>
        <w:spacing w:after="120" w:line="300"/>
      </w:pPr>
      <w:r>
        <w:rPr>
          <w:color w:val="111827"/>
          <w:sz w:val="21"/>
          <w:szCs w:val="21"/>
        </w:rPr>
        <w:t xml:space="preserve">A representative slice of the per-sub-topic counts your blueprint YAML should encode. Full blueprint is the curriculum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4460"/>
      </w:tblGrid>
      <w:tr>
        <w:trPr>
          <w:tblHeader/>
        </w:trPr>
        <w:tc>
          <w:tcPr>
            <w:tcW w:type="dxa" w:w="35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Anatomy sub-topic example</w:t>
            </w:r>
          </w:p>
        </w:tc>
        <w:tc>
          <w:tcPr>
            <w:tcW w:type="dxa" w:w="14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Suggested count</w:t>
            </w:r>
          </w:p>
        </w:tc>
        <w:tc>
          <w:tcPr>
            <w:tcW w:type="dxa" w:w="446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Notes</w:t>
            </w:r>
          </w:p>
        </w:tc>
      </w:tr>
      <w:tr>
        <w:tc>
          <w:tcPr>
            <w:tcW w:type="dxa" w:w="3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Head &amp; neck — surgical anatomy</w:t>
            </w:r>
          </w:p>
        </w:tc>
        <w:tc>
          <w:tcPr>
            <w:tcW w:type="dxa" w:w="1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30</w:t>
            </w:r>
          </w:p>
        </w:tc>
        <w:tc>
          <w:tcPr>
            <w:tcW w:type="dxa" w:w="44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Cervical fascia, carotid sheath, thyroid, parathyroids</w:t>
            </w:r>
          </w:p>
        </w:tc>
      </w:tr>
      <w:tr>
        <w:tc>
          <w:tcPr>
            <w:tcW w:type="dxa" w:w="3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Thoracic anatomy</w:t>
            </w:r>
          </w:p>
        </w:tc>
        <w:tc>
          <w:tcPr>
            <w:tcW w:type="dxa" w:w="1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25</w:t>
            </w:r>
          </w:p>
        </w:tc>
        <w:tc>
          <w:tcPr>
            <w:tcW w:type="dxa" w:w="44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Mediastinum, lungs, diaphragm, breast</w:t>
            </w:r>
          </w:p>
        </w:tc>
      </w:tr>
      <w:tr>
        <w:tc>
          <w:tcPr>
            <w:tcW w:type="dxa" w:w="3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Upper abdominal anatomy</w:t>
            </w:r>
          </w:p>
        </w:tc>
        <w:tc>
          <w:tcPr>
            <w:tcW w:type="dxa" w:w="1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25</w:t>
            </w:r>
          </w:p>
        </w:tc>
        <w:tc>
          <w:tcPr>
            <w:tcW w:type="dxa" w:w="44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Liver segments, pancreas, biliary tree, stomach</w:t>
            </w:r>
          </w:p>
        </w:tc>
      </w:tr>
      <w:tr>
        <w:tc>
          <w:tcPr>
            <w:tcW w:type="dxa" w:w="3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Lower abdominal &amp; pelvic anatomy</w:t>
            </w:r>
          </w:p>
        </w:tc>
        <w:tc>
          <w:tcPr>
            <w:tcW w:type="dxa" w:w="1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25</w:t>
            </w:r>
          </w:p>
        </w:tc>
        <w:tc>
          <w:tcPr>
            <w:tcW w:type="dxa" w:w="44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Inguinal canal, pelvis, perineum</w:t>
            </w:r>
          </w:p>
        </w:tc>
      </w:tr>
      <w:tr>
        <w:tc>
          <w:tcPr>
            <w:tcW w:type="dxa" w:w="3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Vascular anatomy</w:t>
            </w:r>
          </w:p>
        </w:tc>
        <w:tc>
          <w:tcPr>
            <w:tcW w:type="dxa" w:w="1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20</w:t>
            </w:r>
          </w:p>
        </w:tc>
        <w:tc>
          <w:tcPr>
            <w:tcW w:type="dxa" w:w="44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Aorta + branches, arterial supply per organ</w:t>
            </w:r>
          </w:p>
        </w:tc>
      </w:tr>
      <w:tr>
        <w:tc>
          <w:tcPr>
            <w:tcW w:type="dxa" w:w="3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Upper limb anatomy</w:t>
            </w:r>
          </w:p>
        </w:tc>
        <w:tc>
          <w:tcPr>
            <w:tcW w:type="dxa" w:w="1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20</w:t>
            </w:r>
          </w:p>
        </w:tc>
        <w:tc>
          <w:tcPr>
            <w:tcW w:type="dxa" w:w="44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Brachial plexus, axilla, hand spaces</w:t>
            </w:r>
          </w:p>
        </w:tc>
      </w:tr>
      <w:tr>
        <w:tc>
          <w:tcPr>
            <w:tcW w:type="dxa" w:w="3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Lower limb anatomy</w:t>
            </w:r>
          </w:p>
        </w:tc>
        <w:tc>
          <w:tcPr>
            <w:tcW w:type="dxa" w:w="1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20</w:t>
            </w:r>
          </w:p>
        </w:tc>
        <w:tc>
          <w:tcPr>
            <w:tcW w:type="dxa" w:w="44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Femoral triangle, popliteal fossa, foot</w:t>
            </w:r>
          </w:p>
        </w:tc>
      </w:tr>
      <w:tr>
        <w:tc>
          <w:tcPr>
            <w:tcW w:type="dxa" w:w="3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Neuroanatomy</w:t>
            </w:r>
          </w:p>
        </w:tc>
        <w:tc>
          <w:tcPr>
            <w:tcW w:type="dxa" w:w="1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30</w:t>
            </w:r>
          </w:p>
        </w:tc>
        <w:tc>
          <w:tcPr>
            <w:tcW w:type="dxa" w:w="44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Cranial nerves, spinal pathways, meninges, brain vasculature</w:t>
            </w:r>
          </w:p>
        </w:tc>
      </w:tr>
      <w:tr>
        <w:tc>
          <w:tcPr>
            <w:tcW w:type="dxa" w:w="3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Embryology</w:t>
            </w:r>
          </w:p>
        </w:tc>
        <w:tc>
          <w:tcPr>
            <w:tcW w:type="dxa" w:w="1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5</w:t>
            </w:r>
          </w:p>
        </w:tc>
        <w:tc>
          <w:tcPr>
            <w:tcW w:type="dxa" w:w="44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Surgically-relevant developmental anomalies</w:t>
            </w:r>
          </w:p>
        </w:tc>
      </w:tr>
    </w:tbl>
    <w:p>
      <w:pPr>
        <w:spacing w:after="100"/>
      </w:pPr>
      <w:r>
        <w:t xml:space="preserve"> </w:t>
      </w:r>
    </w:p>
    <w:p>
      <w:pPr>
        <w:pStyle w:val="Heading3"/>
        <w:spacing w:after="60" w:before="160"/>
      </w:pPr>
      <w:r>
        <w:rPr>
          <w:b/>
          <w:bCs/>
          <w:color w:val="0F2740"/>
          <w:sz w:val="22"/>
          <w:szCs w:val="22"/>
        </w:rPr>
        <w:t xml:space="preserve">Existing market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60"/>
      </w:tblGrid>
      <w:tr>
        <w:trPr>
          <w:tblHeader/>
        </w:trPr>
        <w:tc>
          <w:tcPr>
            <w:tcW w:type="dxa" w:w="26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Resource</w:t>
            </w:r>
          </w:p>
        </w:tc>
        <w:tc>
          <w:tcPr>
            <w:tcW w:type="dxa" w:w="37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Position</w:t>
            </w:r>
          </w:p>
        </w:tc>
        <w:tc>
          <w:tcPr>
            <w:tcW w:type="dxa" w:w="306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Pricing / note</w:t>
            </w:r>
          </w:p>
        </w:tc>
      </w:tr>
      <w:tr>
        <w:tc>
          <w:tcPr>
            <w:tcW w:type="dxa" w:w="26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Pastest MRCS Part A</w:t>
            </w:r>
          </w:p>
        </w:tc>
        <w:tc>
          <w:tcPr>
            <w:tcW w:type="dxa" w:w="3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Largest bank; brand trust</w:t>
            </w:r>
          </w:p>
        </w:tc>
        <w:tc>
          <w:tcPr>
            <w:tcW w:type="dxa" w:w="30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£94.99–179.99</w:t>
            </w:r>
          </w:p>
        </w:tc>
      </w:tr>
      <w:tr>
        <w:tc>
          <w:tcPr>
            <w:tcW w:type="dxa" w:w="26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Quesmed MRCS</w:t>
            </w:r>
          </w:p>
        </w:tc>
        <w:tc>
          <w:tcPr>
            <w:tcW w:type="dxa" w:w="3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Modern UI, video, all-in-one</w:t>
            </w:r>
          </w:p>
        </w:tc>
        <w:tc>
          <w:tcPr>
            <w:tcW w:type="dxa" w:w="30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From £14.99/mo</w:t>
            </w:r>
          </w:p>
        </w:tc>
      </w:tr>
      <w:tr>
        <w:tc>
          <w:tcPr>
            <w:tcW w:type="dxa" w:w="26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BMJ OnExamination MRCS</w:t>
            </w:r>
          </w:p>
        </w:tc>
        <w:tc>
          <w:tcPr>
            <w:tcW w:type="dxa" w:w="3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BMJ brand</w:t>
            </w:r>
          </w:p>
        </w:tc>
        <w:tc>
          <w:tcPr>
            <w:tcW w:type="dxa" w:w="30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£90–180</w:t>
            </w:r>
          </w:p>
        </w:tc>
      </w:tr>
      <w:tr>
        <w:tc>
          <w:tcPr>
            <w:tcW w:type="dxa" w:w="26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StudyMRCS / MRCS Coach</w:t>
            </w:r>
          </w:p>
        </w:tc>
        <w:tc>
          <w:tcPr>
            <w:tcW w:type="dxa" w:w="3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IMG-friendly, lower price</w:t>
            </w:r>
          </w:p>
        </w:tc>
        <w:tc>
          <w:tcPr>
            <w:tcW w:type="dxa" w:w="30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£40–80</w:t>
            </w:r>
          </w:p>
        </w:tc>
      </w:tr>
      <w:tr>
        <w:tc>
          <w:tcPr>
            <w:tcW w:type="dxa" w:w="26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eMRCS / Medibuddy</w:t>
            </w:r>
          </w:p>
        </w:tc>
        <w:tc>
          <w:tcPr>
            <w:tcW w:type="dxa" w:w="3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Mobile-first, AI personalisation</w:t>
            </w:r>
          </w:p>
        </w:tc>
        <w:tc>
          <w:tcPr>
            <w:tcW w:type="dxa" w:w="30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£30–80</w:t>
            </w:r>
          </w:p>
        </w:tc>
      </w:tr>
    </w:tbl>
    <w:p>
      <w:pPr>
        <w:spacing w:after="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A12" w:sz="24"/>
              <w:left w:val="single" w:color="B07A12" w:sz="4"/>
              <w:bottom w:val="single" w:color="FFF4DC" w:sz="4"/>
              <w:right w:val="single" w:color="FFF4DC" w:sz="4"/>
            </w:tcBorders>
            <w:shd w:fill="FFF4DC" w:val="clear"/>
            <w:tcMar>
              <w:top w:type="dxa" w:w="160"/>
              <w:left w:type="dxa" w:w="200"/>
              <w:bottom w:type="dxa" w:w="160"/>
              <w:right w:type="dxa" w:w="200"/>
            </w:tcMar>
          </w:tcPr>
          <w:p>
            <w:pPr>
              <w:spacing w:after="60"/>
            </w:pPr>
            <w:r>
              <w:rPr>
                <w:b/>
                <w:bCs/>
                <w:color w:val="B07A12"/>
                <w:sz w:val="22"/>
                <w:szCs w:val="22"/>
              </w:rPr>
              <w:t xml:space="preserve">Network angle</w:t>
            </w:r>
          </w:p>
          <w:p>
            <w:pPr>
              <w:spacing w:after="0" w:line="300"/>
            </w:pPr>
            <w:r>
              <w:rPr>
                <w:color w:val="111827"/>
                <w:sz w:val="21"/>
                <w:szCs w:val="21"/>
              </w:rPr>
              <w:t xml:space="preserve">Your strongest position. As the founder authoring this directly, your stamp is the brand. Recruit </w:t>
            </w:r>
            <w:r>
              <w:rPr>
                <w:b/>
                <w:bCs/>
                <w:color w:val="111827"/>
                <w:sz w:val="21"/>
                <w:szCs w:val="21"/>
              </w:rPr>
              <w:t xml:space="preserve">2 senior surgical registrars (ST5+)</w:t>
            </w:r>
            <w:r>
              <w:rPr>
                <w:color w:val="111827"/>
                <w:sz w:val="21"/>
                <w:szCs w:val="21"/>
              </w:rPr>
              <w:t xml:space="preserve"> — one general surgery, one orthopaedics — to validate weighting and review niche topics. Offer them founding-creator status with marketplace revenue share.</w:t>
            </w:r>
          </w:p>
        </w:tc>
      </w:tr>
    </w:tbl>
    <w:p>
      <w:pPr>
        <w:spacing w:after="100"/>
      </w:pPr>
      <w:r>
        <w:t xml:space="preserve"> </w:t>
      </w:r>
    </w:p>
    <w:p>
      <w:r>
        <w:br w:type="page"/>
      </w:r>
    </w:p>
    <w:p>
      <w:pPr>
        <w:pStyle w:val="Heading1"/>
        <w:spacing w:after="120" w:before="320"/>
      </w:pPr>
      <w:r>
        <w:rPr>
          <w:b/>
          <w:bCs/>
          <w:color w:val="0F2740"/>
          <w:sz w:val="36"/>
          <w:szCs w:val="36"/>
        </w:rPr>
        <w:t xml:space="preserve">MRCGP AKT  </w:t>
      </w:r>
      <w:r>
        <w:rPr>
          <w:b w:val="false"/>
          <w:bCs w:val="false"/>
          <w:color w:val="0E7C7B"/>
          <w:sz w:val="28"/>
          <w:szCs w:val="28"/>
        </w:rPr>
        <w:t xml:space="preserve">— MRCGP Applied Knowledge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24"/>
              <w:left w:val="single" w:color="0E7C7B" w:sz="4"/>
              <w:bottom w:val="single" w:color="EAF6F5" w:sz="4"/>
              <w:right w:val="single" w:color="EAF6F5" w:sz="4"/>
            </w:tcBorders>
            <w:shd w:fill="EAF6F5" w:val="clear"/>
            <w:tcMar>
              <w:top w:type="dxa" w:w="160"/>
              <w:left w:type="dxa" w:w="200"/>
              <w:bottom w:type="dxa" w:w="160"/>
              <w:right w:type="dxa" w:w="200"/>
            </w:tcMar>
          </w:tcPr>
          <w:p>
            <w:pPr>
              <w:spacing w:after="60"/>
            </w:pPr>
            <w:r>
              <w:rPr>
                <w:b/>
                <w:bCs/>
                <w:color w:val="0E7C7B"/>
                <w:sz w:val="22"/>
                <w:szCs w:val="22"/>
              </w:rPr>
              <w:t xml:space="preserve">At a glance</w:t>
            </w:r>
          </w:p>
          <w:p>
            <w:pPr>
              <w:spacing w:after="0" w:line="300"/>
            </w:pPr>
            <w:r>
              <w:rPr>
                <w:color w:val="111827"/>
                <w:sz w:val="21"/>
                <w:szCs w:val="21"/>
              </w:rPr>
              <w:t xml:space="preserve">The written component of MRCGP — UK GP trainees must pass to gain CCT. From October 2025: </w:t>
            </w:r>
            <w:r>
              <w:rPr>
                <w:b/>
                <w:bCs/>
                <w:color w:val="111827"/>
                <w:sz w:val="21"/>
                <w:szCs w:val="21"/>
              </w:rPr>
              <w:t xml:space="preserve">160 questions, 160 minutes, computer-based</w:t>
            </w:r>
            <w:r>
              <w:rPr>
                <w:color w:val="111827"/>
                <w:sz w:val="21"/>
                <w:szCs w:val="21"/>
              </w:rPr>
              <w:t xml:space="preserve">. Approximately </w:t>
            </w:r>
            <w:r>
              <w:rPr>
                <w:b/>
                <w:bCs/>
                <w:color w:val="111827"/>
                <w:sz w:val="21"/>
                <w:szCs w:val="21"/>
              </w:rPr>
              <w:t xml:space="preserve">3,000–4,000 UK candidates per year</w:t>
            </w:r>
            <w:r>
              <w:rPr>
                <w:color w:val="111827"/>
                <w:sz w:val="21"/>
                <w:szCs w:val="21"/>
              </w:rPr>
              <w:t xml:space="preserve"> plus IMGs. Heavily NICE / CKS / NHS-pathway grounded — your generation pipeline (NICE feed + RCGP curriculum) is a near-perfect fit.</w:t>
            </w:r>
          </w:p>
        </w:tc>
      </w:tr>
    </w:tbl>
    <w:p>
      <w:pPr>
        <w:spacing w:after="100"/>
      </w:pPr>
      <w:r>
        <w:t xml:space="preserve"> </w:t>
      </w:r>
    </w:p>
    <w:p>
      <w:pPr>
        <w:spacing w:after="120" w:line="300"/>
      </w:pPr>
      <w:r>
        <w:rPr>
          <w:b/>
          <w:bCs/>
          <w:color w:val="111827"/>
          <w:sz w:val="21"/>
          <w:szCs w:val="21"/>
        </w:rPr>
        <w:t xml:space="preserve">Curriculum source: </w:t>
      </w:r>
      <w:r>
        <w:rPr>
          <w:i/>
          <w:iCs/>
          <w:color w:val="111827"/>
          <w:sz w:val="21"/>
          <w:szCs w:val="21"/>
        </w:rPr>
        <w:t xml:space="preserve">RCGP Curriculum 'Being a General Practitioner' (updated August 2025) + Clinical Topic Guides + AKT FAQs.</w:t>
      </w:r>
    </w:p>
    <w:p>
      <w:pPr>
        <w:pStyle w:val="Heading3"/>
        <w:spacing w:after="60" w:before="160"/>
      </w:pPr>
      <w:r>
        <w:rPr>
          <w:b/>
          <w:bCs/>
          <w:color w:val="0F2740"/>
          <w:sz w:val="22"/>
          <w:szCs w:val="22"/>
        </w:rPr>
        <w:t xml:space="preserve">Format &amp;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Aspect</w:t>
            </w:r>
          </w:p>
        </w:tc>
        <w:tc>
          <w:tcPr>
            <w:tcW w:type="dxa" w:w="716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Detail</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Body</w:t>
            </w:r>
          </w:p>
        </w:tc>
        <w:tc>
          <w:tcPr>
            <w:tcW w:type="dxa" w:w="7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Royal College of General Practitioners (RCGP)</w:t>
            </w:r>
          </w:p>
        </w:tc>
      </w:tr>
      <w:tr>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Duration</w:t>
            </w:r>
          </w:p>
        </w:tc>
        <w:tc>
          <w:tcPr>
            <w:tcW w:type="dxa" w:w="71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160 minutes</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Question count</w:t>
            </w:r>
          </w:p>
        </w:tc>
        <w:tc>
          <w:tcPr>
            <w:tcW w:type="dxa" w:w="7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160 SBAs (computer-based, single sitting)</w:t>
            </w:r>
          </w:p>
        </w:tc>
      </w:tr>
      <w:tr>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Content split</w:t>
            </w:r>
          </w:p>
        </w:tc>
        <w:tc>
          <w:tcPr>
            <w:tcW w:type="dxa" w:w="71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~80% clinical medicine · ~10% critical appraisal &amp; EBM · ~10% health informatics &amp; administrative issues</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Pass standard</w:t>
            </w:r>
          </w:p>
        </w:tc>
        <w:tc>
          <w:tcPr>
            <w:tcW w:type="dxa" w:w="7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Modified Angoff per sitting</w:t>
            </w:r>
          </w:p>
        </w:tc>
      </w:tr>
    </w:tbl>
    <w:p>
      <w:pPr>
        <w:spacing w:after="100"/>
      </w:pPr>
      <w:r>
        <w:t xml:space="preserve"> </w:t>
      </w:r>
    </w:p>
    <w:p>
      <w:pPr>
        <w:pStyle w:val="Heading3"/>
        <w:spacing w:after="60" w:before="160"/>
      </w:pPr>
      <w:r>
        <w:rPr>
          <w:b/>
          <w:bCs/>
          <w:color w:val="0F2740"/>
          <w:sz w:val="22"/>
          <w:szCs w:val="22"/>
        </w:rPr>
        <w:t xml:space="preserve">Domain blueprint (with suggested seed bank counts)</w:t>
      </w:r>
    </w:p>
    <w:p>
      <w:pPr>
        <w:spacing w:after="120" w:line="300"/>
      </w:pPr>
      <w:r>
        <w:rPr>
          <w:color w:val="111827"/>
          <w:sz w:val="21"/>
          <w:szCs w:val="21"/>
        </w:rPr>
        <w:t xml:space="preserve">Question counts are editorial recommendations for a launch-quality bank, calibrated to published exam weights and what the platform should cover. Adjust ratios to your network's specialty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400"/>
        <w:gridCol w:w="1500"/>
        <w:gridCol w:w="3160"/>
      </w:tblGrid>
      <w:tr>
        <w:trPr>
          <w:tblHeader/>
        </w:trPr>
        <w:tc>
          <w:tcPr>
            <w:tcW w:type="dxa" w:w="33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Domain</w:t>
            </w:r>
          </w:p>
        </w:tc>
        <w:tc>
          <w:tcPr>
            <w:tcW w:type="dxa" w:w="14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Weight</w:t>
            </w:r>
          </w:p>
        </w:tc>
        <w:tc>
          <w:tcPr>
            <w:tcW w:type="dxa" w:w="15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Seed bank target</w:t>
            </w:r>
          </w:p>
        </w:tc>
        <w:tc>
          <w:tcPr>
            <w:tcW w:type="dxa" w:w="316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Notes</w:t>
            </w:r>
          </w:p>
        </w:tc>
      </w:tr>
      <w:tr>
        <w:tc>
          <w:tcPr>
            <w:tcW w:type="dxa" w:w="3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Clinical medicine (broad)</w:t>
            </w:r>
          </w:p>
        </w:tc>
        <w:tc>
          <w:tcPr>
            <w:tcW w:type="dxa" w:w="1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~80%</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800</w:t>
            </w:r>
          </w:p>
        </w:tc>
        <w:tc>
          <w:tcPr>
            <w:tcW w:type="dxa" w:w="3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Mapped to RCGP Clinical Topic Guides — life stages + body systems</w:t>
            </w:r>
          </w:p>
        </w:tc>
      </w:tr>
      <w:tr>
        <w:tc>
          <w:tcPr>
            <w:tcW w:type="dxa" w:w="3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Critical appraisal &amp; EBM</w:t>
            </w:r>
          </w:p>
        </w:tc>
        <w:tc>
          <w:tcPr>
            <w:tcW w:type="dxa" w:w="1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~10%</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100</w:t>
            </w:r>
          </w:p>
        </w:tc>
        <w:tc>
          <w:tcPr>
            <w:tcW w:type="dxa" w:w="31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Statistics, study design, screening, evidence interpretation</w:t>
            </w:r>
          </w:p>
        </w:tc>
      </w:tr>
      <w:tr>
        <w:tc>
          <w:tcPr>
            <w:tcW w:type="dxa" w:w="3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Health informatics &amp; administration</w:t>
            </w:r>
          </w:p>
        </w:tc>
        <w:tc>
          <w:tcPr>
            <w:tcW w:type="dxa" w:w="1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100</w:t>
            </w:r>
          </w:p>
        </w:tc>
        <w:tc>
          <w:tcPr>
            <w:tcW w:type="dxa" w:w="3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QOF, GMS contract, regulation, certificates, statutory duties</w:t>
            </w:r>
          </w:p>
        </w:tc>
      </w:tr>
      <w:tr>
        <w:tc>
          <w:tcPr>
            <w:tcW w:type="dxa" w:w="3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TOTAL</w:t>
            </w:r>
          </w:p>
        </w:tc>
        <w:tc>
          <w:tcPr>
            <w:tcW w:type="dxa" w:w="1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100%</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1,000 SBAs</w:t>
            </w:r>
          </w:p>
        </w:tc>
        <w:tc>
          <w:tcPr>
            <w:tcW w:type="dxa" w:w="31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Phase 1 target; expand to 2,500 in Year 1</w:t>
            </w:r>
          </w:p>
        </w:tc>
      </w:tr>
    </w:tbl>
    <w:p>
      <w:pPr>
        <w:spacing w:after="100"/>
      </w:pPr>
      <w:r>
        <w:t xml:space="preserve"> </w:t>
      </w:r>
    </w:p>
    <w:p>
      <w:pPr>
        <w:pStyle w:val="Heading3"/>
        <w:spacing w:after="60" w:before="160"/>
      </w:pPr>
      <w:r>
        <w:rPr>
          <w:b/>
          <w:bCs/>
          <w:color w:val="0F2740"/>
          <w:sz w:val="22"/>
          <w:szCs w:val="22"/>
        </w:rPr>
        <w:t xml:space="preserve">Sub-topic blueprint highlights</w:t>
      </w:r>
    </w:p>
    <w:p>
      <w:pPr>
        <w:spacing w:after="120" w:line="300"/>
      </w:pPr>
      <w:r>
        <w:rPr>
          <w:color w:val="111827"/>
          <w:sz w:val="21"/>
          <w:szCs w:val="21"/>
        </w:rPr>
        <w:t xml:space="preserve">A representative slice of the per-sub-topic counts your blueprint YAML should encode. Full blueprint is the curriculum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4460"/>
      </w:tblGrid>
      <w:tr>
        <w:trPr>
          <w:tblHeader/>
        </w:trPr>
        <w:tc>
          <w:tcPr>
            <w:tcW w:type="dxa" w:w="35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Clinical Topic area (RCGP Topic Guides)</w:t>
            </w:r>
          </w:p>
        </w:tc>
        <w:tc>
          <w:tcPr>
            <w:tcW w:type="dxa" w:w="14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Suggested count</w:t>
            </w:r>
          </w:p>
        </w:tc>
        <w:tc>
          <w:tcPr>
            <w:tcW w:type="dxa" w:w="446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Notes</w:t>
            </w:r>
          </w:p>
        </w:tc>
      </w:tr>
      <w:tr>
        <w:tc>
          <w:tcPr>
            <w:tcW w:type="dxa" w:w="3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Cardiovascular health</w:t>
            </w:r>
          </w:p>
        </w:tc>
        <w:tc>
          <w:tcPr>
            <w:tcW w:type="dxa" w:w="1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70</w:t>
            </w:r>
          </w:p>
        </w:tc>
        <w:tc>
          <w:tcPr>
            <w:tcW w:type="dxa" w:w="44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QRISK3, NICE NG136, statins</w:t>
            </w:r>
          </w:p>
        </w:tc>
      </w:tr>
      <w:tr>
        <w:tc>
          <w:tcPr>
            <w:tcW w:type="dxa" w:w="3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Respiratory health</w:t>
            </w:r>
          </w:p>
        </w:tc>
        <w:tc>
          <w:tcPr>
            <w:tcW w:type="dxa" w:w="1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55</w:t>
            </w:r>
          </w:p>
        </w:tc>
        <w:tc>
          <w:tcPr>
            <w:tcW w:type="dxa" w:w="44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Asthma + COPD pathways</w:t>
            </w:r>
          </w:p>
        </w:tc>
      </w:tr>
      <w:tr>
        <w:tc>
          <w:tcPr>
            <w:tcW w:type="dxa" w:w="3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Mental health</w:t>
            </w:r>
          </w:p>
        </w:tc>
        <w:tc>
          <w:tcPr>
            <w:tcW w:type="dxa" w:w="1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70</w:t>
            </w:r>
          </w:p>
        </w:tc>
        <w:tc>
          <w:tcPr>
            <w:tcW w:type="dxa" w:w="44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Depression, anxiety, psychosis, capacity</w:t>
            </w:r>
          </w:p>
        </w:tc>
      </w:tr>
      <w:tr>
        <w:tc>
          <w:tcPr>
            <w:tcW w:type="dxa" w:w="3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Women's health</w:t>
            </w:r>
          </w:p>
        </w:tc>
        <w:tc>
          <w:tcPr>
            <w:tcW w:type="dxa" w:w="1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50</w:t>
            </w:r>
          </w:p>
        </w:tc>
        <w:tc>
          <w:tcPr>
            <w:tcW w:type="dxa" w:w="44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Contraception, menopause, gynae cancers</w:t>
            </w:r>
          </w:p>
        </w:tc>
      </w:tr>
      <w:tr>
        <w:tc>
          <w:tcPr>
            <w:tcW w:type="dxa" w:w="3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Children's health</w:t>
            </w:r>
          </w:p>
        </w:tc>
        <w:tc>
          <w:tcPr>
            <w:tcW w:type="dxa" w:w="1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60</w:t>
            </w:r>
          </w:p>
        </w:tc>
        <w:tc>
          <w:tcPr>
            <w:tcW w:type="dxa" w:w="44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Safeguarding, development, fever-flowchart</w:t>
            </w:r>
          </w:p>
        </w:tc>
      </w:tr>
      <w:tr>
        <w:tc>
          <w:tcPr>
            <w:tcW w:type="dxa" w:w="3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Older adult health</w:t>
            </w:r>
          </w:p>
        </w:tc>
        <w:tc>
          <w:tcPr>
            <w:tcW w:type="dxa" w:w="1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50</w:t>
            </w:r>
          </w:p>
        </w:tc>
        <w:tc>
          <w:tcPr>
            <w:tcW w:type="dxa" w:w="44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Frailty, polypharmacy, falls</w:t>
            </w:r>
          </w:p>
        </w:tc>
      </w:tr>
      <w:tr>
        <w:tc>
          <w:tcPr>
            <w:tcW w:type="dxa" w:w="3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Skin</w:t>
            </w:r>
          </w:p>
        </w:tc>
        <w:tc>
          <w:tcPr>
            <w:tcW w:type="dxa" w:w="1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30</w:t>
            </w:r>
          </w:p>
        </w:tc>
        <w:tc>
          <w:tcPr>
            <w:tcW w:type="dxa" w:w="44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Eczema, psoriasis, skin cancer red flags</w:t>
            </w:r>
          </w:p>
        </w:tc>
      </w:tr>
      <w:tr>
        <w:tc>
          <w:tcPr>
            <w:tcW w:type="dxa" w:w="3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MSK</w:t>
            </w:r>
          </w:p>
        </w:tc>
        <w:tc>
          <w:tcPr>
            <w:tcW w:type="dxa" w:w="1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40</w:t>
            </w:r>
          </w:p>
        </w:tc>
        <w:tc>
          <w:tcPr>
            <w:tcW w:type="dxa" w:w="44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OA, RA, low back pain, gout</w:t>
            </w:r>
          </w:p>
        </w:tc>
      </w:tr>
      <w:tr>
        <w:tc>
          <w:tcPr>
            <w:tcW w:type="dxa" w:w="3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Endocrine + metabolic</w:t>
            </w:r>
          </w:p>
        </w:tc>
        <w:tc>
          <w:tcPr>
            <w:tcW w:type="dxa" w:w="1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50</w:t>
            </w:r>
          </w:p>
        </w:tc>
        <w:tc>
          <w:tcPr>
            <w:tcW w:type="dxa" w:w="44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Diabetes (NICE NG28), thyroid</w:t>
            </w:r>
          </w:p>
        </w:tc>
      </w:tr>
      <w:tr>
        <w:tc>
          <w:tcPr>
            <w:tcW w:type="dxa" w:w="3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Neurology</w:t>
            </w:r>
          </w:p>
        </w:tc>
        <w:tc>
          <w:tcPr>
            <w:tcW w:type="dxa" w:w="1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40</w:t>
            </w:r>
          </w:p>
        </w:tc>
        <w:tc>
          <w:tcPr>
            <w:tcW w:type="dxa" w:w="44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Headaches, epilepsy, stroke prevention</w:t>
            </w:r>
          </w:p>
        </w:tc>
      </w:tr>
      <w:tr>
        <w:tc>
          <w:tcPr>
            <w:tcW w:type="dxa" w:w="3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Urgent / unscheduled</w:t>
            </w:r>
          </w:p>
        </w:tc>
        <w:tc>
          <w:tcPr>
            <w:tcW w:type="dxa" w:w="1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55</w:t>
            </w:r>
          </w:p>
        </w:tc>
        <w:tc>
          <w:tcPr>
            <w:tcW w:type="dxa" w:w="44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Sepsis, anaphylaxis, acute presentations</w:t>
            </w:r>
          </w:p>
        </w:tc>
      </w:tr>
      <w:tr>
        <w:tc>
          <w:tcPr>
            <w:tcW w:type="dxa" w:w="3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Other (ENT, ophthal, GI, urol, palliative, sexual health, etc.)</w:t>
            </w:r>
          </w:p>
        </w:tc>
        <w:tc>
          <w:tcPr>
            <w:tcW w:type="dxa" w:w="1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230</w:t>
            </w:r>
          </w:p>
        </w:tc>
        <w:tc>
          <w:tcPr>
            <w:tcW w:type="dxa" w:w="44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Tail topics; each Topic Guide = 10–25 cards</w:t>
            </w:r>
          </w:p>
        </w:tc>
      </w:tr>
    </w:tbl>
    <w:p>
      <w:pPr>
        <w:spacing w:after="100"/>
      </w:pPr>
      <w:r>
        <w:t xml:space="preserve"> </w:t>
      </w:r>
    </w:p>
    <w:p>
      <w:pPr>
        <w:pStyle w:val="Heading3"/>
        <w:spacing w:after="60" w:before="160"/>
      </w:pPr>
      <w:r>
        <w:rPr>
          <w:b/>
          <w:bCs/>
          <w:color w:val="0F2740"/>
          <w:sz w:val="22"/>
          <w:szCs w:val="22"/>
        </w:rPr>
        <w:t xml:space="preserve">Existing market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60"/>
      </w:tblGrid>
      <w:tr>
        <w:trPr>
          <w:tblHeader/>
        </w:trPr>
        <w:tc>
          <w:tcPr>
            <w:tcW w:type="dxa" w:w="26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Resource</w:t>
            </w:r>
          </w:p>
        </w:tc>
        <w:tc>
          <w:tcPr>
            <w:tcW w:type="dxa" w:w="37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Position</w:t>
            </w:r>
          </w:p>
        </w:tc>
        <w:tc>
          <w:tcPr>
            <w:tcW w:type="dxa" w:w="306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Pricing / note</w:t>
            </w:r>
          </w:p>
        </w:tc>
      </w:tr>
      <w:tr>
        <w:tc>
          <w:tcPr>
            <w:tcW w:type="dxa" w:w="26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Passmedicine AKT</w:t>
            </w:r>
          </w:p>
        </w:tc>
        <w:tc>
          <w:tcPr>
            <w:tcW w:type="dxa" w:w="3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Knowledge Tutor + 11k SBAs</w:t>
            </w:r>
          </w:p>
        </w:tc>
        <w:tc>
          <w:tcPr>
            <w:tcW w:type="dxa" w:w="30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£50–80 / 6 mo</w:t>
            </w:r>
          </w:p>
        </w:tc>
      </w:tr>
      <w:tr>
        <w:tc>
          <w:tcPr>
            <w:tcW w:type="dxa" w:w="26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Pastest AKT</w:t>
            </w:r>
          </w:p>
        </w:tc>
        <w:tc>
          <w:tcPr>
            <w:tcW w:type="dxa" w:w="3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Established</w:t>
            </w:r>
          </w:p>
        </w:tc>
        <w:tc>
          <w:tcPr>
            <w:tcW w:type="dxa" w:w="30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£90–180</w:t>
            </w:r>
          </w:p>
        </w:tc>
      </w:tr>
      <w:tr>
        <w:tc>
          <w:tcPr>
            <w:tcW w:type="dxa" w:w="26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FourteenFish AKT</w:t>
            </w:r>
          </w:p>
        </w:tc>
        <w:tc>
          <w:tcPr>
            <w:tcW w:type="dxa" w:w="3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Practice papers + RCA prep, EMIS-owned</w:t>
            </w:r>
          </w:p>
        </w:tc>
        <w:tc>
          <w:tcPr>
            <w:tcW w:type="dxa" w:w="30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Bundled</w:t>
            </w:r>
          </w:p>
        </w:tc>
      </w:tr>
      <w:tr>
        <w:tc>
          <w:tcPr>
            <w:tcW w:type="dxa" w:w="26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RCGP Practice Papers</w:t>
            </w:r>
          </w:p>
        </w:tc>
        <w:tc>
          <w:tcPr>
            <w:tcW w:type="dxa" w:w="3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Official practice from RCGP</w:t>
            </w:r>
          </w:p>
        </w:tc>
        <w:tc>
          <w:tcPr>
            <w:tcW w:type="dxa" w:w="30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RCGP membership-tied</w:t>
            </w:r>
          </w:p>
        </w:tc>
      </w:tr>
      <w:tr>
        <w:tc>
          <w:tcPr>
            <w:tcW w:type="dxa" w:w="26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BMJ OnExamination AKT</w:t>
            </w:r>
          </w:p>
        </w:tc>
        <w:tc>
          <w:tcPr>
            <w:tcW w:type="dxa" w:w="3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BMJ</w:t>
            </w:r>
          </w:p>
        </w:tc>
        <w:tc>
          <w:tcPr>
            <w:tcW w:type="dxa" w:w="30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£90–180</w:t>
            </w:r>
          </w:p>
        </w:tc>
      </w:tr>
    </w:tbl>
    <w:p>
      <w:pPr>
        <w:spacing w:after="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A12" w:sz="24"/>
              <w:left w:val="single" w:color="B07A12" w:sz="4"/>
              <w:bottom w:val="single" w:color="FFF4DC" w:sz="4"/>
              <w:right w:val="single" w:color="FFF4DC" w:sz="4"/>
            </w:tcBorders>
            <w:shd w:fill="FFF4DC" w:val="clear"/>
            <w:tcMar>
              <w:top w:type="dxa" w:w="160"/>
              <w:left w:type="dxa" w:w="200"/>
              <w:bottom w:type="dxa" w:w="160"/>
              <w:right w:type="dxa" w:w="200"/>
            </w:tcMar>
          </w:tcPr>
          <w:p>
            <w:pPr>
              <w:spacing w:after="60"/>
            </w:pPr>
            <w:r>
              <w:rPr>
                <w:b/>
                <w:bCs/>
                <w:color w:val="B07A12"/>
                <w:sz w:val="22"/>
                <w:szCs w:val="22"/>
              </w:rPr>
              <w:t xml:space="preserve">Network angle</w:t>
            </w:r>
          </w:p>
          <w:p>
            <w:pPr>
              <w:spacing w:after="0" w:line="300"/>
            </w:pPr>
            <w:r>
              <w:rPr>
                <w:color w:val="111827"/>
                <w:sz w:val="21"/>
                <w:szCs w:val="21"/>
              </w:rPr>
              <w:t xml:space="preserve">Recruit </w:t>
            </w:r>
            <w:r>
              <w:rPr>
                <w:b/>
                <w:bCs/>
                <w:color w:val="111827"/>
                <w:sz w:val="21"/>
                <w:szCs w:val="21"/>
              </w:rPr>
              <w:t xml:space="preserve">1 GP ST3 just-passed + 1 newly-qualified GP</w:t>
            </w:r>
            <w:r>
              <w:rPr>
                <w:color w:val="111827"/>
                <w:sz w:val="21"/>
                <w:szCs w:val="21"/>
              </w:rPr>
              <w:t xml:space="preserve"> for review and topic prioritisation. AKT topic emphasis shifts year-to-year (e.g. women's health expansion); a recent passer's intuition matters more than a curriculum line item.</w:t>
            </w:r>
          </w:p>
        </w:tc>
      </w:tr>
    </w:tbl>
    <w:p>
      <w:pPr>
        <w:spacing w:after="100"/>
      </w:pPr>
      <w:r>
        <w:t xml:space="preserve"> </w:t>
      </w:r>
    </w:p>
    <w:p>
      <w:r>
        <w:br w:type="page"/>
      </w:r>
    </w:p>
    <w:p>
      <w:pPr>
        <w:pStyle w:val="Heading1"/>
        <w:spacing w:after="160" w:before="360"/>
      </w:pPr>
      <w:r>
        <w:rPr>
          <w:b/>
          <w:bCs/>
          <w:color w:val="0F2740"/>
          <w:sz w:val="36"/>
          <w:szCs w:val="36"/>
        </w:rPr>
        <w:t xml:space="preserve">Tier 2 — Expansion exams (compact blueprint)</w:t>
      </w:r>
    </w:p>
    <w:p>
      <w:pPr>
        <w:spacing w:after="120" w:line="300"/>
      </w:pPr>
      <w:r>
        <w:rPr>
          <w:color w:val="111827"/>
          <w:sz w:val="21"/>
          <w:szCs w:val="21"/>
        </w:rPr>
        <w:t xml:space="preserve">After Tier 1 launches and you have product-market fit signals (D7 retention ≥ 35%, paid conversion ≥ 5%), expand into the larger specialty memberships. These are smaller pools but higher willingness-to-pay (£100–200/pack is normal). Open the marketplace alongside this tier — it's where invited specialty registrars become creators.</w:t>
      </w:r>
    </w:p>
    <w:p>
      <w:r>
        <w:br w:type="page"/>
      </w:r>
    </w:p>
    <w:p>
      <w:pPr>
        <w:pStyle w:val="Heading1"/>
        <w:spacing w:after="120" w:before="320"/>
      </w:pPr>
      <w:r>
        <w:rPr>
          <w:b/>
          <w:bCs/>
          <w:color w:val="0F2740"/>
          <w:sz w:val="36"/>
          <w:szCs w:val="36"/>
        </w:rPr>
        <w:t xml:space="preserve">MRCP 1  </w:t>
      </w:r>
      <w:r>
        <w:rPr>
          <w:b w:val="false"/>
          <w:bCs w:val="false"/>
          <w:color w:val="5B43B5"/>
          <w:sz w:val="28"/>
          <w:szCs w:val="28"/>
        </w:rPr>
        <w:t xml:space="preserve">— MRCP (UK) Part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43B5" w:sz="24"/>
              <w:left w:val="single" w:color="5B43B5" w:sz="4"/>
              <w:bottom w:val="single" w:color="EAF6F5" w:sz="4"/>
              <w:right w:val="single" w:color="EAF6F5" w:sz="4"/>
            </w:tcBorders>
            <w:shd w:fill="EAF6F5" w:val="clear"/>
            <w:tcMar>
              <w:top w:type="dxa" w:w="160"/>
              <w:left w:type="dxa" w:w="200"/>
              <w:bottom w:type="dxa" w:w="160"/>
              <w:right w:type="dxa" w:w="200"/>
            </w:tcMar>
          </w:tcPr>
          <w:p>
            <w:pPr>
              <w:spacing w:after="60"/>
            </w:pPr>
            <w:r>
              <w:rPr>
                <w:b/>
                <w:bCs/>
                <w:color w:val="5B43B5"/>
                <w:sz w:val="22"/>
                <w:szCs w:val="22"/>
              </w:rPr>
              <w:t xml:space="preserve">At a glance</w:t>
            </w:r>
          </w:p>
          <w:p>
            <w:pPr>
              <w:spacing w:after="0" w:line="300"/>
            </w:pPr>
            <w:r>
              <w:rPr>
                <w:color w:val="111827"/>
                <w:sz w:val="21"/>
                <w:szCs w:val="21"/>
              </w:rPr>
              <w:t xml:space="preserve">Gateway to UK Internal Medicine Training and global recognition for IMGs entering medicine. </w:t>
            </w:r>
            <w:r>
              <w:rPr>
                <w:b/>
                <w:bCs/>
                <w:color w:val="111827"/>
                <w:sz w:val="21"/>
                <w:szCs w:val="21"/>
              </w:rPr>
              <w:t xml:space="preserve">Two papers × 100 SBAs (best-of-five), 3 hours each</w:t>
            </w:r>
            <w:r>
              <w:rPr>
                <w:color w:val="111827"/>
                <w:sz w:val="21"/>
                <w:szCs w:val="21"/>
              </w:rPr>
              <w:t xml:space="preserve">. ~10,000 UK + global candidates annually. The bank market is dominated by Pastest and Passmedicine; an AI-personalised + spaced-repetition + UK-grounded entrant can take share.</w:t>
            </w:r>
          </w:p>
        </w:tc>
      </w:tr>
    </w:tbl>
    <w:p>
      <w:pPr>
        <w:spacing w:after="100"/>
      </w:pPr>
      <w:r>
        <w:t xml:space="preserve"> </w:t>
      </w:r>
    </w:p>
    <w:p>
      <w:pPr>
        <w:spacing w:after="120" w:line="300"/>
      </w:pPr>
      <w:r>
        <w:rPr>
          <w:b/>
          <w:bCs/>
          <w:color w:val="111827"/>
          <w:sz w:val="21"/>
          <w:szCs w:val="21"/>
        </w:rPr>
        <w:t xml:space="preserve">Curriculum source: </w:t>
      </w:r>
      <w:r>
        <w:rPr>
          <w:i/>
          <w:iCs/>
          <w:color w:val="111827"/>
          <w:sz w:val="21"/>
          <w:szCs w:val="21"/>
        </w:rPr>
        <w:t xml:space="preserve">MRCP(UK) examination — administered by The Federation (Royal Colleges of Physicians of London, Edinburgh, Glasgow). Curriculum: UK Internal Medicine.</w:t>
      </w:r>
    </w:p>
    <w:p>
      <w:pPr>
        <w:pStyle w:val="Heading3"/>
        <w:spacing w:after="60" w:before="160"/>
      </w:pPr>
      <w:r>
        <w:rPr>
          <w:b/>
          <w:bCs/>
          <w:color w:val="0F2740"/>
          <w:sz w:val="22"/>
          <w:szCs w:val="22"/>
        </w:rPr>
        <w:t xml:space="preserve">Format &amp;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6DEE6" w:sz="4"/>
              <w:left w:val="single" w:color="D6DEE6" w:sz="4"/>
              <w:bottom w:val="single" w:color="D6DEE6" w:sz="4"/>
              <w:right w:val="single" w:color="D6DEE6" w:sz="4"/>
            </w:tcBorders>
            <w:shd w:fill="5B43B5" w:val="clear"/>
            <w:tcMar>
              <w:top w:type="dxa" w:w="100"/>
              <w:left w:type="dxa" w:w="120"/>
              <w:bottom w:type="dxa" w:w="100"/>
              <w:right w:type="dxa" w:w="120"/>
            </w:tcMar>
          </w:tcPr>
          <w:p>
            <w:pPr>
              <w:jc w:val="left"/>
            </w:pPr>
            <w:r>
              <w:rPr>
                <w:b/>
                <w:bCs/>
                <w:color w:val="FFFFFF"/>
                <w:sz w:val="19"/>
                <w:szCs w:val="19"/>
              </w:rPr>
              <w:t xml:space="preserve">Aspect</w:t>
            </w:r>
          </w:p>
        </w:tc>
        <w:tc>
          <w:tcPr>
            <w:tcW w:type="dxa" w:w="7160"/>
            <w:tcBorders>
              <w:top w:val="single" w:color="D6DEE6" w:sz="4"/>
              <w:left w:val="single" w:color="D6DEE6" w:sz="4"/>
              <w:bottom w:val="single" w:color="D6DEE6" w:sz="4"/>
              <w:right w:val="single" w:color="D6DEE6" w:sz="4"/>
            </w:tcBorders>
            <w:shd w:fill="5B43B5" w:val="clear"/>
            <w:tcMar>
              <w:top w:type="dxa" w:w="100"/>
              <w:left w:type="dxa" w:w="120"/>
              <w:bottom w:type="dxa" w:w="100"/>
              <w:right w:type="dxa" w:w="120"/>
            </w:tcMar>
          </w:tcPr>
          <w:p>
            <w:pPr>
              <w:jc w:val="left"/>
            </w:pPr>
            <w:r>
              <w:rPr>
                <w:b/>
                <w:bCs/>
                <w:color w:val="FFFFFF"/>
                <w:sz w:val="19"/>
                <w:szCs w:val="19"/>
              </w:rPr>
              <w:t xml:space="preserve">Detail</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Body</w:t>
            </w:r>
          </w:p>
        </w:tc>
        <w:tc>
          <w:tcPr>
            <w:tcW w:type="dxa" w:w="7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Federation of Royal Colleges of Physicians (UK)</w:t>
            </w:r>
          </w:p>
        </w:tc>
      </w:tr>
      <w:tr>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Format</w:t>
            </w:r>
          </w:p>
        </w:tc>
        <w:tc>
          <w:tcPr>
            <w:tcW w:type="dxa" w:w="71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2 papers × 100 best-of-five SBAs</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Duration</w:t>
            </w:r>
          </w:p>
        </w:tc>
        <w:tc>
          <w:tcPr>
            <w:tcW w:type="dxa" w:w="7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3 hours per paper</w:t>
            </w:r>
          </w:p>
        </w:tc>
      </w:tr>
      <w:tr>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Pass standard</w:t>
            </w:r>
          </w:p>
        </w:tc>
        <w:tc>
          <w:tcPr>
            <w:tcW w:type="dxa" w:w="71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Modified Angoff per sitting</w:t>
            </w:r>
          </w:p>
        </w:tc>
      </w:tr>
    </w:tbl>
    <w:p>
      <w:pPr>
        <w:spacing w:after="100"/>
      </w:pPr>
      <w:r>
        <w:t xml:space="preserve"> </w:t>
      </w:r>
    </w:p>
    <w:p>
      <w:pPr>
        <w:pStyle w:val="Heading3"/>
        <w:spacing w:after="60" w:before="160"/>
      </w:pPr>
      <w:r>
        <w:rPr>
          <w:b/>
          <w:bCs/>
          <w:color w:val="0F2740"/>
          <w:sz w:val="22"/>
          <w:szCs w:val="22"/>
        </w:rPr>
        <w:t xml:space="preserve">Domain blueprint (with suggested seed bank counts)</w:t>
      </w:r>
    </w:p>
    <w:p>
      <w:pPr>
        <w:spacing w:after="120" w:line="300"/>
      </w:pPr>
      <w:r>
        <w:rPr>
          <w:color w:val="111827"/>
          <w:sz w:val="21"/>
          <w:szCs w:val="21"/>
        </w:rPr>
        <w:t xml:space="preserve">Question counts are editorial recommendations for a launch-quality bank, calibrated to published exam weights and what the platform should cover. Adjust ratios to your network's specialty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1500"/>
        <w:gridCol w:w="2660"/>
      </w:tblGrid>
      <w:tr>
        <w:trPr>
          <w:tblHeader/>
        </w:trPr>
        <w:tc>
          <w:tcPr>
            <w:tcW w:type="dxa" w:w="3500"/>
            <w:tcBorders>
              <w:top w:val="single" w:color="D6DEE6" w:sz="4"/>
              <w:left w:val="single" w:color="D6DEE6" w:sz="4"/>
              <w:bottom w:val="single" w:color="D6DEE6" w:sz="4"/>
              <w:right w:val="single" w:color="D6DEE6" w:sz="4"/>
            </w:tcBorders>
            <w:shd w:fill="5B43B5" w:val="clear"/>
            <w:tcMar>
              <w:top w:type="dxa" w:w="100"/>
              <w:left w:type="dxa" w:w="120"/>
              <w:bottom w:type="dxa" w:w="100"/>
              <w:right w:type="dxa" w:w="120"/>
            </w:tcMar>
          </w:tcPr>
          <w:p>
            <w:pPr>
              <w:jc w:val="left"/>
            </w:pPr>
            <w:r>
              <w:rPr>
                <w:b/>
                <w:bCs/>
                <w:color w:val="FFFFFF"/>
                <w:sz w:val="19"/>
                <w:szCs w:val="19"/>
              </w:rPr>
              <w:t xml:space="preserve">Domain</w:t>
            </w:r>
          </w:p>
        </w:tc>
        <w:tc>
          <w:tcPr>
            <w:tcW w:type="dxa" w:w="1700"/>
            <w:tcBorders>
              <w:top w:val="single" w:color="D6DEE6" w:sz="4"/>
              <w:left w:val="single" w:color="D6DEE6" w:sz="4"/>
              <w:bottom w:val="single" w:color="D6DEE6" w:sz="4"/>
              <w:right w:val="single" w:color="D6DEE6" w:sz="4"/>
            </w:tcBorders>
            <w:shd w:fill="5B43B5" w:val="clear"/>
            <w:tcMar>
              <w:top w:type="dxa" w:w="100"/>
              <w:left w:type="dxa" w:w="120"/>
              <w:bottom w:type="dxa" w:w="100"/>
              <w:right w:type="dxa" w:w="120"/>
            </w:tcMar>
          </w:tcPr>
          <w:p>
            <w:pPr>
              <w:jc w:val="left"/>
            </w:pPr>
            <w:r>
              <w:rPr>
                <w:b/>
                <w:bCs/>
                <w:color w:val="FFFFFF"/>
                <w:sz w:val="19"/>
                <w:szCs w:val="19"/>
              </w:rPr>
              <w:t xml:space="preserve">Weight (approx)</w:t>
            </w:r>
          </w:p>
        </w:tc>
        <w:tc>
          <w:tcPr>
            <w:tcW w:type="dxa" w:w="1500"/>
            <w:tcBorders>
              <w:top w:val="single" w:color="D6DEE6" w:sz="4"/>
              <w:left w:val="single" w:color="D6DEE6" w:sz="4"/>
              <w:bottom w:val="single" w:color="D6DEE6" w:sz="4"/>
              <w:right w:val="single" w:color="D6DEE6" w:sz="4"/>
            </w:tcBorders>
            <w:shd w:fill="5B43B5" w:val="clear"/>
            <w:tcMar>
              <w:top w:type="dxa" w:w="100"/>
              <w:left w:type="dxa" w:w="120"/>
              <w:bottom w:type="dxa" w:w="100"/>
              <w:right w:type="dxa" w:w="120"/>
            </w:tcMar>
          </w:tcPr>
          <w:p>
            <w:pPr>
              <w:jc w:val="left"/>
            </w:pPr>
            <w:r>
              <w:rPr>
                <w:b/>
                <w:bCs/>
                <w:color w:val="FFFFFF"/>
                <w:sz w:val="19"/>
                <w:szCs w:val="19"/>
              </w:rPr>
              <w:t xml:space="preserve">Seed bank target</w:t>
            </w:r>
          </w:p>
        </w:tc>
      </w:tr>
      <w:tr>
        <w:tc>
          <w:tcPr>
            <w:tcW w:type="dxa" w:w="3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Cardiology</w:t>
            </w:r>
          </w:p>
        </w:tc>
        <w:tc>
          <w:tcPr>
            <w:tcW w:type="dxa" w:w="1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10–12%</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150</w:t>
            </w:r>
          </w:p>
        </w:tc>
      </w:tr>
      <w:tr>
        <w:tc>
          <w:tcPr>
            <w:tcW w:type="dxa" w:w="3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Respiratory</w:t>
            </w:r>
          </w:p>
        </w:tc>
        <w:tc>
          <w:tcPr>
            <w:tcW w:type="dxa" w:w="1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8–10%</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120</w:t>
            </w:r>
          </w:p>
        </w:tc>
      </w:tr>
      <w:tr>
        <w:tc>
          <w:tcPr>
            <w:tcW w:type="dxa" w:w="3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Gastroenterology + Hepatology</w:t>
            </w:r>
          </w:p>
        </w:tc>
        <w:tc>
          <w:tcPr>
            <w:tcW w:type="dxa" w:w="1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8–10%</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120</w:t>
            </w:r>
          </w:p>
        </w:tc>
      </w:tr>
      <w:tr>
        <w:tc>
          <w:tcPr>
            <w:tcW w:type="dxa" w:w="3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Endocrinology + Diabetes</w:t>
            </w:r>
          </w:p>
        </w:tc>
        <w:tc>
          <w:tcPr>
            <w:tcW w:type="dxa" w:w="1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8–10%</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120</w:t>
            </w:r>
          </w:p>
        </w:tc>
      </w:tr>
      <w:tr>
        <w:tc>
          <w:tcPr>
            <w:tcW w:type="dxa" w:w="3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Nephrology</w:t>
            </w:r>
          </w:p>
        </w:tc>
        <w:tc>
          <w:tcPr>
            <w:tcW w:type="dxa" w:w="1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6–8%</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90</w:t>
            </w:r>
          </w:p>
        </w:tc>
      </w:tr>
      <w:tr>
        <w:tc>
          <w:tcPr>
            <w:tcW w:type="dxa" w:w="3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Neurology</w:t>
            </w:r>
          </w:p>
        </w:tc>
        <w:tc>
          <w:tcPr>
            <w:tcW w:type="dxa" w:w="1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8–10%</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120</w:t>
            </w:r>
          </w:p>
        </w:tc>
      </w:tr>
      <w:tr>
        <w:tc>
          <w:tcPr>
            <w:tcW w:type="dxa" w:w="3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Haematology + Oncology</w:t>
            </w:r>
          </w:p>
        </w:tc>
        <w:tc>
          <w:tcPr>
            <w:tcW w:type="dxa" w:w="1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8–10%</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120</w:t>
            </w:r>
          </w:p>
        </w:tc>
      </w:tr>
      <w:tr>
        <w:tc>
          <w:tcPr>
            <w:tcW w:type="dxa" w:w="3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Infectious Diseases + Tropical</w:t>
            </w:r>
          </w:p>
        </w:tc>
        <w:tc>
          <w:tcPr>
            <w:tcW w:type="dxa" w:w="1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5–7%</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80</w:t>
            </w:r>
          </w:p>
        </w:tc>
      </w:tr>
      <w:tr>
        <w:tc>
          <w:tcPr>
            <w:tcW w:type="dxa" w:w="3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Rheumatology</w:t>
            </w:r>
          </w:p>
        </w:tc>
        <w:tc>
          <w:tcPr>
            <w:tcW w:type="dxa" w:w="1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5–7%</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80</w:t>
            </w:r>
          </w:p>
        </w:tc>
      </w:tr>
      <w:tr>
        <w:tc>
          <w:tcPr>
            <w:tcW w:type="dxa" w:w="3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Clinical Pharmacology + Therapeutics</w:t>
            </w:r>
          </w:p>
        </w:tc>
        <w:tc>
          <w:tcPr>
            <w:tcW w:type="dxa" w:w="1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5–7%</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80</w:t>
            </w:r>
          </w:p>
        </w:tc>
      </w:tr>
      <w:tr>
        <w:tc>
          <w:tcPr>
            <w:tcW w:type="dxa" w:w="3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Clinical Sciences (anatomy, physio, genetics, immuno, EBM, statistics)</w:t>
            </w:r>
          </w:p>
        </w:tc>
        <w:tc>
          <w:tcPr>
            <w:tcW w:type="dxa" w:w="1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10–15%</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180</w:t>
            </w:r>
          </w:p>
        </w:tc>
      </w:tr>
      <w:tr>
        <w:tc>
          <w:tcPr>
            <w:tcW w:type="dxa" w:w="3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Geriatrics, Dermatology, Ophthalmology, Psychiatry (smaller)</w:t>
            </w:r>
          </w:p>
        </w:tc>
        <w:tc>
          <w:tcPr>
            <w:tcW w:type="dxa" w:w="1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8–10%</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120</w:t>
            </w:r>
          </w:p>
        </w:tc>
      </w:tr>
      <w:tr>
        <w:tc>
          <w:tcPr>
            <w:tcW w:type="dxa" w:w="3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TOTAL</w:t>
            </w:r>
          </w:p>
        </w:tc>
        <w:tc>
          <w:tcPr>
            <w:tcW w:type="dxa" w:w="1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~100%</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1,380 SBAs</w:t>
            </w:r>
          </w:p>
        </w:tc>
      </w:tr>
    </w:tbl>
    <w:p>
      <w:pPr>
        <w:spacing w:after="100"/>
      </w:pPr>
      <w:r>
        <w:t xml:space="preserve"> </w:t>
      </w:r>
    </w:p>
    <w:p>
      <w:pPr>
        <w:pStyle w:val="Heading3"/>
        <w:spacing w:after="60" w:before="160"/>
      </w:pPr>
      <w:r>
        <w:rPr>
          <w:b/>
          <w:bCs/>
          <w:color w:val="0F2740"/>
          <w:sz w:val="22"/>
          <w:szCs w:val="22"/>
        </w:rPr>
        <w:t xml:space="preserve">Existing market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60"/>
      </w:tblGrid>
      <w:tr>
        <w:trPr>
          <w:tblHeader/>
        </w:trPr>
        <w:tc>
          <w:tcPr>
            <w:tcW w:type="dxa" w:w="2600"/>
            <w:tcBorders>
              <w:top w:val="single" w:color="D6DEE6" w:sz="4"/>
              <w:left w:val="single" w:color="D6DEE6" w:sz="4"/>
              <w:bottom w:val="single" w:color="D6DEE6" w:sz="4"/>
              <w:right w:val="single" w:color="D6DEE6" w:sz="4"/>
            </w:tcBorders>
            <w:shd w:fill="5B43B5" w:val="clear"/>
            <w:tcMar>
              <w:top w:type="dxa" w:w="100"/>
              <w:left w:type="dxa" w:w="120"/>
              <w:bottom w:type="dxa" w:w="100"/>
              <w:right w:type="dxa" w:w="120"/>
            </w:tcMar>
          </w:tcPr>
          <w:p>
            <w:pPr>
              <w:jc w:val="left"/>
            </w:pPr>
            <w:r>
              <w:rPr>
                <w:b/>
                <w:bCs/>
                <w:color w:val="FFFFFF"/>
                <w:sz w:val="19"/>
                <w:szCs w:val="19"/>
              </w:rPr>
              <w:t xml:space="preserve">Resource</w:t>
            </w:r>
          </w:p>
        </w:tc>
        <w:tc>
          <w:tcPr>
            <w:tcW w:type="dxa" w:w="3700"/>
            <w:tcBorders>
              <w:top w:val="single" w:color="D6DEE6" w:sz="4"/>
              <w:left w:val="single" w:color="D6DEE6" w:sz="4"/>
              <w:bottom w:val="single" w:color="D6DEE6" w:sz="4"/>
              <w:right w:val="single" w:color="D6DEE6" w:sz="4"/>
            </w:tcBorders>
            <w:shd w:fill="5B43B5" w:val="clear"/>
            <w:tcMar>
              <w:top w:type="dxa" w:w="100"/>
              <w:left w:type="dxa" w:w="120"/>
              <w:bottom w:type="dxa" w:w="100"/>
              <w:right w:type="dxa" w:w="120"/>
            </w:tcMar>
          </w:tcPr>
          <w:p>
            <w:pPr>
              <w:jc w:val="left"/>
            </w:pPr>
            <w:r>
              <w:rPr>
                <w:b/>
                <w:bCs/>
                <w:color w:val="FFFFFF"/>
                <w:sz w:val="19"/>
                <w:szCs w:val="19"/>
              </w:rPr>
              <w:t xml:space="preserve">Position</w:t>
            </w:r>
          </w:p>
        </w:tc>
        <w:tc>
          <w:tcPr>
            <w:tcW w:type="dxa" w:w="3060"/>
            <w:tcBorders>
              <w:top w:val="single" w:color="D6DEE6" w:sz="4"/>
              <w:left w:val="single" w:color="D6DEE6" w:sz="4"/>
              <w:bottom w:val="single" w:color="D6DEE6" w:sz="4"/>
              <w:right w:val="single" w:color="D6DEE6" w:sz="4"/>
            </w:tcBorders>
            <w:shd w:fill="5B43B5" w:val="clear"/>
            <w:tcMar>
              <w:top w:type="dxa" w:w="100"/>
              <w:left w:type="dxa" w:w="120"/>
              <w:bottom w:type="dxa" w:w="100"/>
              <w:right w:type="dxa" w:w="120"/>
            </w:tcMar>
          </w:tcPr>
          <w:p>
            <w:pPr>
              <w:jc w:val="left"/>
            </w:pPr>
            <w:r>
              <w:rPr>
                <w:b/>
                <w:bCs/>
                <w:color w:val="FFFFFF"/>
                <w:sz w:val="19"/>
                <w:szCs w:val="19"/>
              </w:rPr>
              <w:t xml:space="preserve">Pricing / note</w:t>
            </w:r>
          </w:p>
        </w:tc>
      </w:tr>
      <w:tr>
        <w:tc>
          <w:tcPr>
            <w:tcW w:type="dxa" w:w="26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Pastest MRCP Part 1</w:t>
            </w:r>
          </w:p>
        </w:tc>
        <w:tc>
          <w:tcPr>
            <w:tcW w:type="dxa" w:w="3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5,000+ Q-bank, mock exams</w:t>
            </w:r>
          </w:p>
        </w:tc>
        <w:tc>
          <w:tcPr>
            <w:tcW w:type="dxa" w:w="30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£94–180</w:t>
            </w:r>
          </w:p>
        </w:tc>
      </w:tr>
      <w:tr>
        <w:tc>
          <w:tcPr>
            <w:tcW w:type="dxa" w:w="26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Passmedicine MRCP</w:t>
            </w:r>
          </w:p>
        </w:tc>
        <w:tc>
          <w:tcPr>
            <w:tcW w:type="dxa" w:w="3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Knowledge Tutor (spaced rep), 5,100+ SBAs</w:t>
            </w:r>
          </w:p>
        </w:tc>
        <w:tc>
          <w:tcPr>
            <w:tcW w:type="dxa" w:w="30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£50–75</w:t>
            </w:r>
          </w:p>
        </w:tc>
      </w:tr>
      <w:tr>
        <w:tc>
          <w:tcPr>
            <w:tcW w:type="dxa" w:w="26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Quesmed MRCP</w:t>
            </w:r>
          </w:p>
        </w:tc>
        <w:tc>
          <w:tcPr>
            <w:tcW w:type="dxa" w:w="3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App-first, modern UI, 7,200+ Qs</w:t>
            </w:r>
          </w:p>
        </w:tc>
        <w:tc>
          <w:tcPr>
            <w:tcW w:type="dxa" w:w="30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From £14.99/mo</w:t>
            </w:r>
          </w:p>
        </w:tc>
      </w:tr>
      <w:tr>
        <w:tc>
          <w:tcPr>
            <w:tcW w:type="dxa" w:w="26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BMJ OnExamination MRCP</w:t>
            </w:r>
          </w:p>
        </w:tc>
        <w:tc>
          <w:tcPr>
            <w:tcW w:type="dxa" w:w="3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Established</w:t>
            </w:r>
          </w:p>
        </w:tc>
        <w:tc>
          <w:tcPr>
            <w:tcW w:type="dxa" w:w="30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£100–180</w:t>
            </w:r>
          </w:p>
        </w:tc>
      </w:tr>
      <w:tr>
        <w:tc>
          <w:tcPr>
            <w:tcW w:type="dxa" w:w="26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Medibuddy MRCP</w:t>
            </w:r>
          </w:p>
        </w:tc>
        <w:tc>
          <w:tcPr>
            <w:tcW w:type="dxa" w:w="3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AI personalised learning</w:t>
            </w:r>
          </w:p>
        </w:tc>
        <w:tc>
          <w:tcPr>
            <w:tcW w:type="dxa" w:w="30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£40–80</w:t>
            </w:r>
          </w:p>
        </w:tc>
      </w:tr>
    </w:tbl>
    <w:p>
      <w:pPr>
        <w:spacing w:after="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A12" w:sz="24"/>
              <w:left w:val="single" w:color="B07A12" w:sz="4"/>
              <w:bottom w:val="single" w:color="FFF4DC" w:sz="4"/>
              <w:right w:val="single" w:color="FFF4DC" w:sz="4"/>
            </w:tcBorders>
            <w:shd w:fill="FFF4DC" w:val="clear"/>
            <w:tcMar>
              <w:top w:type="dxa" w:w="160"/>
              <w:left w:type="dxa" w:w="200"/>
              <w:bottom w:type="dxa" w:w="160"/>
              <w:right w:type="dxa" w:w="200"/>
            </w:tcMar>
          </w:tcPr>
          <w:p>
            <w:pPr>
              <w:spacing w:after="60"/>
            </w:pPr>
            <w:r>
              <w:rPr>
                <w:b/>
                <w:bCs/>
                <w:color w:val="B07A12"/>
                <w:sz w:val="22"/>
                <w:szCs w:val="22"/>
              </w:rPr>
              <w:t xml:space="preserve">Network angle</w:t>
            </w:r>
          </w:p>
          <w:p>
            <w:pPr>
              <w:spacing w:after="0" w:line="300"/>
            </w:pPr>
            <w:r>
              <w:rPr>
                <w:color w:val="111827"/>
                <w:sz w:val="21"/>
                <w:szCs w:val="21"/>
              </w:rPr>
              <w:t xml:space="preserve">This is the largest specialty bank Tier 2; treat as a </w:t>
            </w:r>
            <w:r>
              <w:rPr>
                <w:b/>
                <w:bCs/>
                <w:color w:val="111827"/>
                <w:sz w:val="21"/>
                <w:szCs w:val="21"/>
              </w:rPr>
              <w:t xml:space="preserve">multi-creator project</w:t>
            </w:r>
            <w:r>
              <w:rPr>
                <w:color w:val="111827"/>
                <w:sz w:val="21"/>
                <w:szCs w:val="21"/>
              </w:rPr>
              <w:t xml:space="preserve">. Recruit 4–5 IMT/CT trainees across cardiology, respiratory, GI, neuro — pay them per accepted SBA. They're 18 months from sitting it themselves; their topic memory is fresh.</w:t>
            </w:r>
          </w:p>
        </w:tc>
      </w:tr>
    </w:tbl>
    <w:p>
      <w:pPr>
        <w:spacing w:after="100"/>
      </w:pPr>
      <w:r>
        <w:t xml:space="preserve"> </w:t>
      </w:r>
    </w:p>
    <w:p>
      <w:r>
        <w:br w:type="page"/>
      </w:r>
    </w:p>
    <w:p>
      <w:pPr>
        <w:pStyle w:val="Heading1"/>
        <w:spacing w:after="120" w:before="320"/>
      </w:pPr>
      <w:r>
        <w:rPr>
          <w:b/>
          <w:bCs/>
          <w:color w:val="0F2740"/>
          <w:sz w:val="36"/>
          <w:szCs w:val="36"/>
        </w:rPr>
        <w:t xml:space="preserve">MSRA  </w:t>
      </w:r>
      <w:r>
        <w:rPr>
          <w:b w:val="false"/>
          <w:bCs w:val="false"/>
          <w:color w:val="5B43B5"/>
          <w:sz w:val="28"/>
          <w:szCs w:val="28"/>
        </w:rPr>
        <w:t xml:space="preserve">— Multi-Specialty Recruitment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43B5" w:sz="24"/>
              <w:left w:val="single" w:color="5B43B5" w:sz="4"/>
              <w:bottom w:val="single" w:color="EAF6F5" w:sz="4"/>
              <w:right w:val="single" w:color="EAF6F5" w:sz="4"/>
            </w:tcBorders>
            <w:shd w:fill="EAF6F5" w:val="clear"/>
            <w:tcMar>
              <w:top w:type="dxa" w:w="160"/>
              <w:left w:type="dxa" w:w="200"/>
              <w:bottom w:type="dxa" w:w="160"/>
              <w:right w:type="dxa" w:w="200"/>
            </w:tcMar>
          </w:tcPr>
          <w:p>
            <w:pPr>
              <w:spacing w:after="60"/>
            </w:pPr>
            <w:r>
              <w:rPr>
                <w:b/>
                <w:bCs/>
                <w:color w:val="5B43B5"/>
                <w:sz w:val="22"/>
                <w:szCs w:val="22"/>
              </w:rPr>
              <w:t xml:space="preserve">At a glance</w:t>
            </w:r>
          </w:p>
          <w:p>
            <w:pPr>
              <w:spacing w:after="0" w:line="300"/>
            </w:pPr>
            <w:r>
              <w:rPr>
                <w:color w:val="111827"/>
                <w:sz w:val="21"/>
                <w:szCs w:val="21"/>
              </w:rPr>
              <w:t xml:space="preserve">Used for ST recruitment to GP, Psychiatry, Radiology, Anaesthetics, Ophthalmology, ACCS, and others. </w:t>
            </w:r>
            <w:r>
              <w:rPr>
                <w:b/>
                <w:bCs/>
                <w:color w:val="111827"/>
                <w:sz w:val="21"/>
                <w:szCs w:val="21"/>
              </w:rPr>
              <w:t xml:space="preserve">170 minutes, 2 papers</w:t>
            </w:r>
            <w:r>
              <w:rPr>
                <w:color w:val="111827"/>
                <w:sz w:val="21"/>
                <w:szCs w:val="21"/>
              </w:rPr>
              <w:t xml:space="preserve">: Professional Dilemmas (50 SJT-style) + Clinical Problem Solving (86 mixed SBA/EMQ). Annual volume </w:t>
            </w:r>
            <w:r>
              <w:rPr>
                <w:b/>
                <w:bCs/>
                <w:color w:val="111827"/>
                <w:sz w:val="21"/>
                <w:szCs w:val="21"/>
              </w:rPr>
              <w:t xml:space="preserve">10,000+ candidates</w:t>
            </w:r>
            <w:r>
              <w:rPr>
                <w:color w:val="111827"/>
                <w:sz w:val="21"/>
                <w:szCs w:val="21"/>
              </w:rPr>
              <w:t xml:space="preserve"> with high stakes (ranking determines training place).</w:t>
            </w:r>
          </w:p>
        </w:tc>
      </w:tr>
    </w:tbl>
    <w:p>
      <w:pPr>
        <w:spacing w:after="100"/>
      </w:pPr>
      <w:r>
        <w:t xml:space="preserve"> </w:t>
      </w:r>
    </w:p>
    <w:p>
      <w:pPr>
        <w:spacing w:after="120" w:line="300"/>
      </w:pPr>
      <w:r>
        <w:rPr>
          <w:b/>
          <w:bCs/>
          <w:color w:val="111827"/>
          <w:sz w:val="21"/>
          <w:szCs w:val="21"/>
        </w:rPr>
        <w:t xml:space="preserve">Curriculum source: </w:t>
      </w:r>
      <w:r>
        <w:rPr>
          <w:i/>
          <w:iCs/>
          <w:color w:val="111827"/>
          <w:sz w:val="21"/>
          <w:szCs w:val="21"/>
        </w:rPr>
        <w:t xml:space="preserve">NHS England (Workforce, Training &amp; Education) — MSRA Test Blueprint and Practice Paper documents.</w:t>
      </w:r>
    </w:p>
    <w:p>
      <w:pPr>
        <w:pStyle w:val="Heading3"/>
        <w:spacing w:after="60" w:before="160"/>
      </w:pPr>
      <w:r>
        <w:rPr>
          <w:b/>
          <w:bCs/>
          <w:color w:val="0F2740"/>
          <w:sz w:val="22"/>
          <w:szCs w:val="22"/>
        </w:rPr>
        <w:t xml:space="preserve">Format &amp;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6DEE6" w:sz="4"/>
              <w:left w:val="single" w:color="D6DEE6" w:sz="4"/>
              <w:bottom w:val="single" w:color="D6DEE6" w:sz="4"/>
              <w:right w:val="single" w:color="D6DEE6" w:sz="4"/>
            </w:tcBorders>
            <w:shd w:fill="5B43B5" w:val="clear"/>
            <w:tcMar>
              <w:top w:type="dxa" w:w="100"/>
              <w:left w:type="dxa" w:w="120"/>
              <w:bottom w:type="dxa" w:w="100"/>
              <w:right w:type="dxa" w:w="120"/>
            </w:tcMar>
          </w:tcPr>
          <w:p>
            <w:pPr>
              <w:jc w:val="left"/>
            </w:pPr>
            <w:r>
              <w:rPr>
                <w:b/>
                <w:bCs/>
                <w:color w:val="FFFFFF"/>
                <w:sz w:val="19"/>
                <w:szCs w:val="19"/>
              </w:rPr>
              <w:t xml:space="preserve">Aspect</w:t>
            </w:r>
          </w:p>
        </w:tc>
        <w:tc>
          <w:tcPr>
            <w:tcW w:type="dxa" w:w="7160"/>
            <w:tcBorders>
              <w:top w:val="single" w:color="D6DEE6" w:sz="4"/>
              <w:left w:val="single" w:color="D6DEE6" w:sz="4"/>
              <w:bottom w:val="single" w:color="D6DEE6" w:sz="4"/>
              <w:right w:val="single" w:color="D6DEE6" w:sz="4"/>
            </w:tcBorders>
            <w:shd w:fill="5B43B5" w:val="clear"/>
            <w:tcMar>
              <w:top w:type="dxa" w:w="100"/>
              <w:left w:type="dxa" w:w="120"/>
              <w:bottom w:type="dxa" w:w="100"/>
              <w:right w:type="dxa" w:w="120"/>
            </w:tcMar>
          </w:tcPr>
          <w:p>
            <w:pPr>
              <w:jc w:val="left"/>
            </w:pPr>
            <w:r>
              <w:rPr>
                <w:b/>
                <w:bCs/>
                <w:color w:val="FFFFFF"/>
                <w:sz w:val="19"/>
                <w:szCs w:val="19"/>
              </w:rPr>
              <w:t xml:space="preserve">Detail</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Body</w:t>
            </w:r>
          </w:p>
        </w:tc>
        <w:tc>
          <w:tcPr>
            <w:tcW w:type="dxa" w:w="7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NHS England (HEE)</w:t>
            </w:r>
          </w:p>
        </w:tc>
      </w:tr>
      <w:tr>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Format</w:t>
            </w:r>
          </w:p>
        </w:tc>
        <w:tc>
          <w:tcPr>
            <w:tcW w:type="dxa" w:w="71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Paper 1: 50 Professional Dilemma items (SJT) · Paper 2: 86 Clinical (split SBA/EMQ)</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Duration</w:t>
            </w:r>
          </w:p>
        </w:tc>
        <w:tc>
          <w:tcPr>
            <w:tcW w:type="dxa" w:w="7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170 min total + 5 min break</w:t>
            </w:r>
          </w:p>
        </w:tc>
      </w:tr>
      <w:tr>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Pass / scoring</w:t>
            </w:r>
          </w:p>
        </w:tc>
        <w:tc>
          <w:tcPr>
            <w:tcW w:type="dxa" w:w="71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Used for specialty ranking — no fixed pass mark</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Sittings</w:t>
            </w:r>
          </w:p>
        </w:tc>
        <w:tc>
          <w:tcPr>
            <w:tcW w:type="dxa" w:w="7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January cycle (main); July re-sit</w:t>
            </w:r>
          </w:p>
        </w:tc>
      </w:tr>
    </w:tbl>
    <w:p>
      <w:pPr>
        <w:spacing w:after="100"/>
      </w:pPr>
      <w:r>
        <w:t xml:space="preserve"> </w:t>
      </w:r>
    </w:p>
    <w:p>
      <w:pPr>
        <w:pStyle w:val="Heading3"/>
        <w:spacing w:after="60" w:before="160"/>
      </w:pPr>
      <w:r>
        <w:rPr>
          <w:b/>
          <w:bCs/>
          <w:color w:val="0F2740"/>
          <w:sz w:val="22"/>
          <w:szCs w:val="22"/>
        </w:rPr>
        <w:t xml:space="preserve">Domain blueprint (with suggested seed bank counts)</w:t>
      </w:r>
    </w:p>
    <w:p>
      <w:pPr>
        <w:spacing w:after="120" w:line="300"/>
      </w:pPr>
      <w:r>
        <w:rPr>
          <w:color w:val="111827"/>
          <w:sz w:val="21"/>
          <w:szCs w:val="21"/>
        </w:rPr>
        <w:t xml:space="preserve">Question counts are editorial recommendations for a launch-quality bank, calibrated to published exam weights and what the platform should cover. Adjust ratios to your network's specialty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1500"/>
        <w:gridCol w:w="2360"/>
      </w:tblGrid>
      <w:tr>
        <w:trPr>
          <w:tblHeader/>
        </w:trPr>
        <w:tc>
          <w:tcPr>
            <w:tcW w:type="dxa" w:w="4000"/>
            <w:tcBorders>
              <w:top w:val="single" w:color="D6DEE6" w:sz="4"/>
              <w:left w:val="single" w:color="D6DEE6" w:sz="4"/>
              <w:bottom w:val="single" w:color="D6DEE6" w:sz="4"/>
              <w:right w:val="single" w:color="D6DEE6" w:sz="4"/>
            </w:tcBorders>
            <w:shd w:fill="5B43B5" w:val="clear"/>
            <w:tcMar>
              <w:top w:type="dxa" w:w="100"/>
              <w:left w:type="dxa" w:w="120"/>
              <w:bottom w:type="dxa" w:w="100"/>
              <w:right w:type="dxa" w:w="120"/>
            </w:tcMar>
          </w:tcPr>
          <w:p>
            <w:pPr>
              <w:jc w:val="left"/>
            </w:pPr>
            <w:r>
              <w:rPr>
                <w:b/>
                <w:bCs/>
                <w:color w:val="FFFFFF"/>
                <w:sz w:val="19"/>
                <w:szCs w:val="19"/>
              </w:rPr>
              <w:t xml:space="preserve">Section</w:t>
            </w:r>
          </w:p>
        </w:tc>
        <w:tc>
          <w:tcPr>
            <w:tcW w:type="dxa" w:w="1500"/>
            <w:tcBorders>
              <w:top w:val="single" w:color="D6DEE6" w:sz="4"/>
              <w:left w:val="single" w:color="D6DEE6" w:sz="4"/>
              <w:bottom w:val="single" w:color="D6DEE6" w:sz="4"/>
              <w:right w:val="single" w:color="D6DEE6" w:sz="4"/>
            </w:tcBorders>
            <w:shd w:fill="5B43B5" w:val="clear"/>
            <w:tcMar>
              <w:top w:type="dxa" w:w="100"/>
              <w:left w:type="dxa" w:w="120"/>
              <w:bottom w:type="dxa" w:w="100"/>
              <w:right w:type="dxa" w:w="120"/>
            </w:tcMar>
          </w:tcPr>
          <w:p>
            <w:pPr>
              <w:jc w:val="left"/>
            </w:pPr>
            <w:r>
              <w:rPr>
                <w:b/>
                <w:bCs/>
                <w:color w:val="FFFFFF"/>
                <w:sz w:val="19"/>
                <w:szCs w:val="19"/>
              </w:rPr>
              <w:t xml:space="preserve">Weight</w:t>
            </w:r>
          </w:p>
        </w:tc>
        <w:tc>
          <w:tcPr>
            <w:tcW w:type="dxa" w:w="1500"/>
            <w:tcBorders>
              <w:top w:val="single" w:color="D6DEE6" w:sz="4"/>
              <w:left w:val="single" w:color="D6DEE6" w:sz="4"/>
              <w:bottom w:val="single" w:color="D6DEE6" w:sz="4"/>
              <w:right w:val="single" w:color="D6DEE6" w:sz="4"/>
            </w:tcBorders>
            <w:shd w:fill="5B43B5" w:val="clear"/>
            <w:tcMar>
              <w:top w:type="dxa" w:w="100"/>
              <w:left w:type="dxa" w:w="120"/>
              <w:bottom w:type="dxa" w:w="100"/>
              <w:right w:type="dxa" w:w="120"/>
            </w:tcMar>
          </w:tcPr>
          <w:p>
            <w:pPr>
              <w:jc w:val="left"/>
            </w:pPr>
            <w:r>
              <w:rPr>
                <w:b/>
                <w:bCs/>
                <w:color w:val="FFFFFF"/>
                <w:sz w:val="19"/>
                <w:szCs w:val="19"/>
              </w:rPr>
              <w:t xml:space="preserve">Seed bank target</w:t>
            </w:r>
          </w:p>
        </w:tc>
      </w:tr>
      <w:tr>
        <w:tc>
          <w:tcPr>
            <w:tcW w:type="dxa" w:w="40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Professional Dilemmas (SJT) — Integrity, coping, empathy, teamwork</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37%</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300 SJT items</w:t>
            </w:r>
          </w:p>
        </w:tc>
      </w:tr>
      <w:tr>
        <w:tc>
          <w:tcPr>
            <w:tcW w:type="dxa" w:w="40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Clinical Problem Solving — broadly UKMLA / F1-level scenarios across all specialties</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63%</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700 SBA/EMQ</w:t>
            </w:r>
          </w:p>
        </w:tc>
      </w:tr>
      <w:tr>
        <w:tc>
          <w:tcPr>
            <w:tcW w:type="dxa" w:w="40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TOTAL</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100%</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1,000 items</w:t>
            </w:r>
          </w:p>
        </w:tc>
      </w:tr>
    </w:tbl>
    <w:p>
      <w:pPr>
        <w:spacing w:after="100"/>
      </w:pPr>
      <w:r>
        <w:t xml:space="preserve"> </w:t>
      </w:r>
    </w:p>
    <w:p>
      <w:pPr>
        <w:pStyle w:val="Heading3"/>
        <w:spacing w:after="60" w:before="160"/>
      </w:pPr>
      <w:r>
        <w:rPr>
          <w:b/>
          <w:bCs/>
          <w:color w:val="0F2740"/>
          <w:sz w:val="22"/>
          <w:szCs w:val="22"/>
        </w:rPr>
        <w:t xml:space="preserve">Existing market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60"/>
      </w:tblGrid>
      <w:tr>
        <w:trPr>
          <w:tblHeader/>
        </w:trPr>
        <w:tc>
          <w:tcPr>
            <w:tcW w:type="dxa" w:w="2600"/>
            <w:tcBorders>
              <w:top w:val="single" w:color="D6DEE6" w:sz="4"/>
              <w:left w:val="single" w:color="D6DEE6" w:sz="4"/>
              <w:bottom w:val="single" w:color="D6DEE6" w:sz="4"/>
              <w:right w:val="single" w:color="D6DEE6" w:sz="4"/>
            </w:tcBorders>
            <w:shd w:fill="5B43B5" w:val="clear"/>
            <w:tcMar>
              <w:top w:type="dxa" w:w="100"/>
              <w:left w:type="dxa" w:w="120"/>
              <w:bottom w:type="dxa" w:w="100"/>
              <w:right w:type="dxa" w:w="120"/>
            </w:tcMar>
          </w:tcPr>
          <w:p>
            <w:pPr>
              <w:jc w:val="left"/>
            </w:pPr>
            <w:r>
              <w:rPr>
                <w:b/>
                <w:bCs/>
                <w:color w:val="FFFFFF"/>
                <w:sz w:val="19"/>
                <w:szCs w:val="19"/>
              </w:rPr>
              <w:t xml:space="preserve">Resource</w:t>
            </w:r>
          </w:p>
        </w:tc>
        <w:tc>
          <w:tcPr>
            <w:tcW w:type="dxa" w:w="3700"/>
            <w:tcBorders>
              <w:top w:val="single" w:color="D6DEE6" w:sz="4"/>
              <w:left w:val="single" w:color="D6DEE6" w:sz="4"/>
              <w:bottom w:val="single" w:color="D6DEE6" w:sz="4"/>
              <w:right w:val="single" w:color="D6DEE6" w:sz="4"/>
            </w:tcBorders>
            <w:shd w:fill="5B43B5" w:val="clear"/>
            <w:tcMar>
              <w:top w:type="dxa" w:w="100"/>
              <w:left w:type="dxa" w:w="120"/>
              <w:bottom w:type="dxa" w:w="100"/>
              <w:right w:type="dxa" w:w="120"/>
            </w:tcMar>
          </w:tcPr>
          <w:p>
            <w:pPr>
              <w:jc w:val="left"/>
            </w:pPr>
            <w:r>
              <w:rPr>
                <w:b/>
                <w:bCs/>
                <w:color w:val="FFFFFF"/>
                <w:sz w:val="19"/>
                <w:szCs w:val="19"/>
              </w:rPr>
              <w:t xml:space="preserve">Position</w:t>
            </w:r>
          </w:p>
        </w:tc>
        <w:tc>
          <w:tcPr>
            <w:tcW w:type="dxa" w:w="3060"/>
            <w:tcBorders>
              <w:top w:val="single" w:color="D6DEE6" w:sz="4"/>
              <w:left w:val="single" w:color="D6DEE6" w:sz="4"/>
              <w:bottom w:val="single" w:color="D6DEE6" w:sz="4"/>
              <w:right w:val="single" w:color="D6DEE6" w:sz="4"/>
            </w:tcBorders>
            <w:shd w:fill="5B43B5" w:val="clear"/>
            <w:tcMar>
              <w:top w:type="dxa" w:w="100"/>
              <w:left w:type="dxa" w:w="120"/>
              <w:bottom w:type="dxa" w:w="100"/>
              <w:right w:type="dxa" w:w="120"/>
            </w:tcMar>
          </w:tcPr>
          <w:p>
            <w:pPr>
              <w:jc w:val="left"/>
            </w:pPr>
            <w:r>
              <w:rPr>
                <w:b/>
                <w:bCs/>
                <w:color w:val="FFFFFF"/>
                <w:sz w:val="19"/>
                <w:szCs w:val="19"/>
              </w:rPr>
              <w:t xml:space="preserve">Pricing / note</w:t>
            </w:r>
          </w:p>
        </w:tc>
      </w:tr>
      <w:tr>
        <w:tc>
          <w:tcPr>
            <w:tcW w:type="dxa" w:w="26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Pass The MSRA / MSRA Prep</w:t>
            </w:r>
          </w:p>
        </w:tc>
        <w:tc>
          <w:tcPr>
            <w:tcW w:type="dxa" w:w="3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Established, bundle pricing</w:t>
            </w:r>
          </w:p>
        </w:tc>
        <w:tc>
          <w:tcPr>
            <w:tcW w:type="dxa" w:w="30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£60–150</w:t>
            </w:r>
          </w:p>
        </w:tc>
      </w:tr>
      <w:tr>
        <w:tc>
          <w:tcPr>
            <w:tcW w:type="dxa" w:w="26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Emedica MSRA</w:t>
            </w:r>
          </w:p>
        </w:tc>
        <w:tc>
          <w:tcPr>
            <w:tcW w:type="dxa" w:w="3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Long-running, GP-focused</w:t>
            </w:r>
          </w:p>
        </w:tc>
        <w:tc>
          <w:tcPr>
            <w:tcW w:type="dxa" w:w="30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£80–150</w:t>
            </w:r>
          </w:p>
        </w:tc>
      </w:tr>
      <w:tr>
        <w:tc>
          <w:tcPr>
            <w:tcW w:type="dxa" w:w="26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Mr Radiologist MSRA</w:t>
            </w:r>
          </w:p>
        </w:tc>
        <w:tc>
          <w:tcPr>
            <w:tcW w:type="dxa" w:w="3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Radiology-applicant focus</w:t>
            </w:r>
          </w:p>
        </w:tc>
        <w:tc>
          <w:tcPr>
            <w:tcW w:type="dxa" w:w="30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£50–100</w:t>
            </w:r>
          </w:p>
        </w:tc>
      </w:tr>
      <w:tr>
        <w:tc>
          <w:tcPr>
            <w:tcW w:type="dxa" w:w="26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BMJ OnExamination MSRA</w:t>
            </w:r>
          </w:p>
        </w:tc>
        <w:tc>
          <w:tcPr>
            <w:tcW w:type="dxa" w:w="3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BMJ-branded SJT + clinical</w:t>
            </w:r>
          </w:p>
        </w:tc>
        <w:tc>
          <w:tcPr>
            <w:tcW w:type="dxa" w:w="30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£80–150</w:t>
            </w:r>
          </w:p>
        </w:tc>
      </w:tr>
    </w:tbl>
    <w:p>
      <w:pPr>
        <w:spacing w:after="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A12" w:sz="24"/>
              <w:left w:val="single" w:color="B07A12" w:sz="4"/>
              <w:bottom w:val="single" w:color="FFF4DC" w:sz="4"/>
              <w:right w:val="single" w:color="FFF4DC" w:sz="4"/>
            </w:tcBorders>
            <w:shd w:fill="FFF4DC" w:val="clear"/>
            <w:tcMar>
              <w:top w:type="dxa" w:w="160"/>
              <w:left w:type="dxa" w:w="200"/>
              <w:bottom w:type="dxa" w:w="160"/>
              <w:right w:type="dxa" w:w="200"/>
            </w:tcMar>
          </w:tcPr>
          <w:p>
            <w:pPr>
              <w:spacing w:after="60"/>
            </w:pPr>
            <w:r>
              <w:rPr>
                <w:b/>
                <w:bCs/>
                <w:color w:val="B07A12"/>
                <w:sz w:val="22"/>
                <w:szCs w:val="22"/>
              </w:rPr>
              <w:t xml:space="preserve">Network angle</w:t>
            </w:r>
          </w:p>
          <w:p>
            <w:pPr>
              <w:spacing w:after="0" w:line="300"/>
            </w:pPr>
            <w:r>
              <w:rPr>
                <w:color w:val="111827"/>
                <w:sz w:val="21"/>
                <w:szCs w:val="21"/>
              </w:rPr>
              <w:t xml:space="preserve">MSRA is unique because the Professional Dilemmas section is </w:t>
            </w:r>
            <w:r>
              <w:rPr>
                <w:b/>
                <w:bCs/>
                <w:color w:val="111827"/>
                <w:sz w:val="21"/>
                <w:szCs w:val="21"/>
              </w:rPr>
              <w:t xml:space="preserve">not medical knowledge — it's situational judgment</w:t>
            </w:r>
            <w:r>
              <w:rPr>
                <w:color w:val="111827"/>
                <w:sz w:val="21"/>
                <w:szCs w:val="21"/>
              </w:rPr>
              <w:t xml:space="preserve">. Recruit 1 GP educator and 1 senior occupational psychologist contact (if available) for SJT-item authoring. SJT items must be carefully calibrated and are easier for AI to draft poorly.</w:t>
            </w:r>
          </w:p>
        </w:tc>
      </w:tr>
    </w:tbl>
    <w:p>
      <w:pPr>
        <w:spacing w:after="100"/>
      </w:pPr>
      <w:r>
        <w:t xml:space="preserve"> </w:t>
      </w:r>
    </w:p>
    <w:p>
      <w:r>
        <w:br w:type="page"/>
      </w:r>
    </w:p>
    <w:p>
      <w:pPr>
        <w:pStyle w:val="Heading1"/>
        <w:spacing w:after="120" w:before="320"/>
      </w:pPr>
      <w:r>
        <w:rPr>
          <w:b/>
          <w:bCs/>
          <w:color w:val="0F2740"/>
          <w:sz w:val="36"/>
          <w:szCs w:val="36"/>
        </w:rPr>
        <w:t xml:space="preserve">MRCEM-P  </w:t>
      </w:r>
      <w:r>
        <w:rPr>
          <w:b w:val="false"/>
          <w:bCs w:val="false"/>
          <w:color w:val="5B43B5"/>
          <w:sz w:val="28"/>
          <w:szCs w:val="28"/>
        </w:rPr>
        <w:t xml:space="preserve">— MRCEM Primary (SBA)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43B5" w:sz="24"/>
              <w:left w:val="single" w:color="5B43B5" w:sz="4"/>
              <w:bottom w:val="single" w:color="EAF6F5" w:sz="4"/>
              <w:right w:val="single" w:color="EAF6F5" w:sz="4"/>
            </w:tcBorders>
            <w:shd w:fill="EAF6F5" w:val="clear"/>
            <w:tcMar>
              <w:top w:type="dxa" w:w="160"/>
              <w:left w:type="dxa" w:w="200"/>
              <w:bottom w:type="dxa" w:w="160"/>
              <w:right w:type="dxa" w:w="200"/>
            </w:tcMar>
          </w:tcPr>
          <w:p>
            <w:pPr>
              <w:spacing w:after="60"/>
            </w:pPr>
            <w:r>
              <w:rPr>
                <w:b/>
                <w:bCs/>
                <w:color w:val="5B43B5"/>
                <w:sz w:val="22"/>
                <w:szCs w:val="22"/>
              </w:rPr>
              <w:t xml:space="preserve">At a glance</w:t>
            </w:r>
          </w:p>
          <w:p>
            <w:pPr>
              <w:spacing w:after="0" w:line="300"/>
            </w:pPr>
            <w:r>
              <w:rPr>
                <w:color w:val="111827"/>
                <w:sz w:val="21"/>
                <w:szCs w:val="21"/>
              </w:rPr>
              <w:t xml:space="preserve">Written gateway to Emergency Medicine training in the UK. </w:t>
            </w:r>
            <w:r>
              <w:rPr>
                <w:b/>
                <w:bCs/>
                <w:color w:val="111827"/>
                <w:sz w:val="21"/>
                <w:szCs w:val="21"/>
              </w:rPr>
              <w:t xml:space="preserve">180 SBAs across 2 papers (2h each)</w:t>
            </w:r>
            <w:r>
              <w:rPr>
                <w:color w:val="111827"/>
                <w:sz w:val="21"/>
                <w:szCs w:val="21"/>
              </w:rPr>
              <w:t xml:space="preserve">. Annual volume ~2,000. Curriculum tightly integrated with the RCEM Specialty Learning Outcomes (SLOs). High-trauma, high-paeds, high-resus emphasis.</w:t>
            </w:r>
          </w:p>
        </w:tc>
      </w:tr>
    </w:tbl>
    <w:p>
      <w:pPr>
        <w:spacing w:after="100"/>
      </w:pPr>
      <w:r>
        <w:t xml:space="preserve"> </w:t>
      </w:r>
    </w:p>
    <w:p>
      <w:pPr>
        <w:spacing w:after="120" w:line="300"/>
      </w:pPr>
      <w:r>
        <w:rPr>
          <w:b/>
          <w:bCs/>
          <w:color w:val="111827"/>
          <w:sz w:val="21"/>
          <w:szCs w:val="21"/>
        </w:rPr>
        <w:t xml:space="preserve">Curriculum source: </w:t>
      </w:r>
      <w:r>
        <w:rPr>
          <w:i/>
          <w:iCs/>
          <w:color w:val="111827"/>
          <w:sz w:val="21"/>
          <w:szCs w:val="21"/>
        </w:rPr>
        <w:t xml:space="preserve">RCEM Curriculum 2021 (revised) — SLOs 1–7 and 9 are the core blueprint; basic-science and clinical syllabi are tagged per question.</w:t>
      </w:r>
    </w:p>
    <w:p>
      <w:pPr>
        <w:pStyle w:val="Heading3"/>
        <w:spacing w:after="60" w:before="160"/>
      </w:pPr>
      <w:r>
        <w:rPr>
          <w:b/>
          <w:bCs/>
          <w:color w:val="0F2740"/>
          <w:sz w:val="22"/>
          <w:szCs w:val="22"/>
        </w:rPr>
        <w:t xml:space="preserve">Format &amp;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6DEE6" w:sz="4"/>
              <w:left w:val="single" w:color="D6DEE6" w:sz="4"/>
              <w:bottom w:val="single" w:color="D6DEE6" w:sz="4"/>
              <w:right w:val="single" w:color="D6DEE6" w:sz="4"/>
            </w:tcBorders>
            <w:shd w:fill="5B43B5" w:val="clear"/>
            <w:tcMar>
              <w:top w:type="dxa" w:w="100"/>
              <w:left w:type="dxa" w:w="120"/>
              <w:bottom w:type="dxa" w:w="100"/>
              <w:right w:type="dxa" w:w="120"/>
            </w:tcMar>
          </w:tcPr>
          <w:p>
            <w:pPr>
              <w:jc w:val="left"/>
            </w:pPr>
            <w:r>
              <w:rPr>
                <w:b/>
                <w:bCs/>
                <w:color w:val="FFFFFF"/>
                <w:sz w:val="19"/>
                <w:szCs w:val="19"/>
              </w:rPr>
              <w:t xml:space="preserve">Aspect</w:t>
            </w:r>
          </w:p>
        </w:tc>
        <w:tc>
          <w:tcPr>
            <w:tcW w:type="dxa" w:w="7160"/>
            <w:tcBorders>
              <w:top w:val="single" w:color="D6DEE6" w:sz="4"/>
              <w:left w:val="single" w:color="D6DEE6" w:sz="4"/>
              <w:bottom w:val="single" w:color="D6DEE6" w:sz="4"/>
              <w:right w:val="single" w:color="D6DEE6" w:sz="4"/>
            </w:tcBorders>
            <w:shd w:fill="5B43B5" w:val="clear"/>
            <w:tcMar>
              <w:top w:type="dxa" w:w="100"/>
              <w:left w:type="dxa" w:w="120"/>
              <w:bottom w:type="dxa" w:w="100"/>
              <w:right w:type="dxa" w:w="120"/>
            </w:tcMar>
          </w:tcPr>
          <w:p>
            <w:pPr>
              <w:jc w:val="left"/>
            </w:pPr>
            <w:r>
              <w:rPr>
                <w:b/>
                <w:bCs/>
                <w:color w:val="FFFFFF"/>
                <w:sz w:val="19"/>
                <w:szCs w:val="19"/>
              </w:rPr>
              <w:t xml:space="preserve">Detail</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Body</w:t>
            </w:r>
          </w:p>
        </w:tc>
        <w:tc>
          <w:tcPr>
            <w:tcW w:type="dxa" w:w="7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Royal College of Emergency Medicine (RCEM)</w:t>
            </w:r>
          </w:p>
        </w:tc>
      </w:tr>
      <w:tr>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Format</w:t>
            </w:r>
          </w:p>
        </w:tc>
        <w:tc>
          <w:tcPr>
            <w:tcW w:type="dxa" w:w="71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2 papers × 90 SBAs each</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Duration</w:t>
            </w:r>
          </w:p>
        </w:tc>
        <w:tc>
          <w:tcPr>
            <w:tcW w:type="dxa" w:w="7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2h per paper</w:t>
            </w:r>
          </w:p>
        </w:tc>
      </w:tr>
    </w:tbl>
    <w:p>
      <w:pPr>
        <w:spacing w:after="100"/>
      </w:pPr>
      <w:r>
        <w:t xml:space="preserve"> </w:t>
      </w:r>
    </w:p>
    <w:p>
      <w:pPr>
        <w:pStyle w:val="Heading3"/>
        <w:spacing w:after="60" w:before="160"/>
      </w:pPr>
      <w:r>
        <w:rPr>
          <w:b/>
          <w:bCs/>
          <w:color w:val="0F2740"/>
          <w:sz w:val="22"/>
          <w:szCs w:val="22"/>
        </w:rPr>
        <w:t xml:space="preserve">Domain blueprint (with suggested seed bank counts)</w:t>
      </w:r>
    </w:p>
    <w:p>
      <w:pPr>
        <w:spacing w:after="120" w:line="300"/>
      </w:pPr>
      <w:r>
        <w:rPr>
          <w:color w:val="111827"/>
          <w:sz w:val="21"/>
          <w:szCs w:val="21"/>
        </w:rPr>
        <w:t xml:space="preserve">Question counts are editorial recommendations for a launch-quality bank, calibrated to published exam weights and what the platform should cover. Adjust ratios to your network's specialty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1500"/>
        <w:gridCol w:w="2360"/>
      </w:tblGrid>
      <w:tr>
        <w:trPr>
          <w:tblHeader/>
        </w:trPr>
        <w:tc>
          <w:tcPr>
            <w:tcW w:type="dxa" w:w="4000"/>
            <w:tcBorders>
              <w:top w:val="single" w:color="D6DEE6" w:sz="4"/>
              <w:left w:val="single" w:color="D6DEE6" w:sz="4"/>
              <w:bottom w:val="single" w:color="D6DEE6" w:sz="4"/>
              <w:right w:val="single" w:color="D6DEE6" w:sz="4"/>
            </w:tcBorders>
            <w:shd w:fill="5B43B5" w:val="clear"/>
            <w:tcMar>
              <w:top w:type="dxa" w:w="100"/>
              <w:left w:type="dxa" w:w="120"/>
              <w:bottom w:type="dxa" w:w="100"/>
              <w:right w:type="dxa" w:w="120"/>
            </w:tcMar>
          </w:tcPr>
          <w:p>
            <w:pPr>
              <w:jc w:val="left"/>
            </w:pPr>
            <w:r>
              <w:rPr>
                <w:b/>
                <w:bCs/>
                <w:color w:val="FFFFFF"/>
                <w:sz w:val="19"/>
                <w:szCs w:val="19"/>
              </w:rPr>
              <w:t xml:space="preserve">Domain (RCEM SLO-tagged)</w:t>
            </w:r>
          </w:p>
        </w:tc>
        <w:tc>
          <w:tcPr>
            <w:tcW w:type="dxa" w:w="1500"/>
            <w:tcBorders>
              <w:top w:val="single" w:color="D6DEE6" w:sz="4"/>
              <w:left w:val="single" w:color="D6DEE6" w:sz="4"/>
              <w:bottom w:val="single" w:color="D6DEE6" w:sz="4"/>
              <w:right w:val="single" w:color="D6DEE6" w:sz="4"/>
            </w:tcBorders>
            <w:shd w:fill="5B43B5" w:val="clear"/>
            <w:tcMar>
              <w:top w:type="dxa" w:w="100"/>
              <w:left w:type="dxa" w:w="120"/>
              <w:bottom w:type="dxa" w:w="100"/>
              <w:right w:type="dxa" w:w="120"/>
            </w:tcMar>
          </w:tcPr>
          <w:p>
            <w:pPr>
              <w:jc w:val="left"/>
            </w:pPr>
            <w:r>
              <w:rPr>
                <w:b/>
                <w:bCs/>
                <w:color w:val="FFFFFF"/>
                <w:sz w:val="19"/>
                <w:szCs w:val="19"/>
              </w:rPr>
              <w:t xml:space="preserve">Weight (approx)</w:t>
            </w:r>
          </w:p>
        </w:tc>
        <w:tc>
          <w:tcPr>
            <w:tcW w:type="dxa" w:w="1500"/>
            <w:tcBorders>
              <w:top w:val="single" w:color="D6DEE6" w:sz="4"/>
              <w:left w:val="single" w:color="D6DEE6" w:sz="4"/>
              <w:bottom w:val="single" w:color="D6DEE6" w:sz="4"/>
              <w:right w:val="single" w:color="D6DEE6" w:sz="4"/>
            </w:tcBorders>
            <w:shd w:fill="5B43B5" w:val="clear"/>
            <w:tcMar>
              <w:top w:type="dxa" w:w="100"/>
              <w:left w:type="dxa" w:w="120"/>
              <w:bottom w:type="dxa" w:w="100"/>
              <w:right w:type="dxa" w:w="120"/>
            </w:tcMar>
          </w:tcPr>
          <w:p>
            <w:pPr>
              <w:jc w:val="left"/>
            </w:pPr>
            <w:r>
              <w:rPr>
                <w:b/>
                <w:bCs/>
                <w:color w:val="FFFFFF"/>
                <w:sz w:val="19"/>
                <w:szCs w:val="19"/>
              </w:rPr>
              <w:t xml:space="preserve">Seed bank target</w:t>
            </w:r>
          </w:p>
        </w:tc>
      </w:tr>
      <w:tr>
        <w:tc>
          <w:tcPr>
            <w:tcW w:type="dxa" w:w="40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Resuscitation + peri-arrest</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20%</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180</w:t>
            </w:r>
          </w:p>
        </w:tc>
      </w:tr>
      <w:tr>
        <w:tc>
          <w:tcPr>
            <w:tcW w:type="dxa" w:w="40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Major trauma + minor injuries</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18%</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150</w:t>
            </w:r>
          </w:p>
        </w:tc>
      </w:tr>
      <w:tr>
        <w:tc>
          <w:tcPr>
            <w:tcW w:type="dxa" w:w="40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Acute medicine (cardio/resp/neuro/GI/endo)</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25%</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200</w:t>
            </w:r>
          </w:p>
        </w:tc>
      </w:tr>
      <w:tr>
        <w:tc>
          <w:tcPr>
            <w:tcW w:type="dxa" w:w="40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Paediatrics + safeguarding</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12%</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100</w:t>
            </w:r>
          </w:p>
        </w:tc>
      </w:tr>
      <w:tr>
        <w:tc>
          <w:tcPr>
            <w:tcW w:type="dxa" w:w="40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Toxicology + poisoning</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8%</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70</w:t>
            </w:r>
          </w:p>
        </w:tc>
      </w:tr>
      <w:tr>
        <w:tc>
          <w:tcPr>
            <w:tcW w:type="dxa" w:w="40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Mental health + behavioural</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5%</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45</w:t>
            </w:r>
          </w:p>
        </w:tc>
      </w:tr>
      <w:tr>
        <w:tc>
          <w:tcPr>
            <w:tcW w:type="dxa" w:w="40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Anatomy + physiology + pharmacology (basic sciences)</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90</w:t>
            </w:r>
          </w:p>
        </w:tc>
      </w:tr>
      <w:tr>
        <w:tc>
          <w:tcPr>
            <w:tcW w:type="dxa" w:w="40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Governance + ethics + safety</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2%</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20</w:t>
            </w:r>
          </w:p>
        </w:tc>
      </w:tr>
      <w:tr>
        <w:tc>
          <w:tcPr>
            <w:tcW w:type="dxa" w:w="40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TOTAL</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100%</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855 SBAs</w:t>
            </w:r>
          </w:p>
        </w:tc>
      </w:tr>
    </w:tbl>
    <w:p>
      <w:pPr>
        <w:spacing w:after="100"/>
      </w:pPr>
      <w:r>
        <w:t xml:space="preserve"> </w:t>
      </w:r>
    </w:p>
    <w:p>
      <w:pPr>
        <w:pStyle w:val="Heading3"/>
        <w:spacing w:after="60" w:before="160"/>
      </w:pPr>
      <w:r>
        <w:rPr>
          <w:b/>
          <w:bCs/>
          <w:color w:val="0F2740"/>
          <w:sz w:val="22"/>
          <w:szCs w:val="22"/>
        </w:rPr>
        <w:t xml:space="preserve">Existing market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60"/>
      </w:tblGrid>
      <w:tr>
        <w:trPr>
          <w:tblHeader/>
        </w:trPr>
        <w:tc>
          <w:tcPr>
            <w:tcW w:type="dxa" w:w="2600"/>
            <w:tcBorders>
              <w:top w:val="single" w:color="D6DEE6" w:sz="4"/>
              <w:left w:val="single" w:color="D6DEE6" w:sz="4"/>
              <w:bottom w:val="single" w:color="D6DEE6" w:sz="4"/>
              <w:right w:val="single" w:color="D6DEE6" w:sz="4"/>
            </w:tcBorders>
            <w:shd w:fill="5B43B5" w:val="clear"/>
            <w:tcMar>
              <w:top w:type="dxa" w:w="100"/>
              <w:left w:type="dxa" w:w="120"/>
              <w:bottom w:type="dxa" w:w="100"/>
              <w:right w:type="dxa" w:w="120"/>
            </w:tcMar>
          </w:tcPr>
          <w:p>
            <w:pPr>
              <w:jc w:val="left"/>
            </w:pPr>
            <w:r>
              <w:rPr>
                <w:b/>
                <w:bCs/>
                <w:color w:val="FFFFFF"/>
                <w:sz w:val="19"/>
                <w:szCs w:val="19"/>
              </w:rPr>
              <w:t xml:space="preserve">Resource</w:t>
            </w:r>
          </w:p>
        </w:tc>
        <w:tc>
          <w:tcPr>
            <w:tcW w:type="dxa" w:w="3700"/>
            <w:tcBorders>
              <w:top w:val="single" w:color="D6DEE6" w:sz="4"/>
              <w:left w:val="single" w:color="D6DEE6" w:sz="4"/>
              <w:bottom w:val="single" w:color="D6DEE6" w:sz="4"/>
              <w:right w:val="single" w:color="D6DEE6" w:sz="4"/>
            </w:tcBorders>
            <w:shd w:fill="5B43B5" w:val="clear"/>
            <w:tcMar>
              <w:top w:type="dxa" w:w="100"/>
              <w:left w:type="dxa" w:w="120"/>
              <w:bottom w:type="dxa" w:w="100"/>
              <w:right w:type="dxa" w:w="120"/>
            </w:tcMar>
          </w:tcPr>
          <w:p>
            <w:pPr>
              <w:jc w:val="left"/>
            </w:pPr>
            <w:r>
              <w:rPr>
                <w:b/>
                <w:bCs/>
                <w:color w:val="FFFFFF"/>
                <w:sz w:val="19"/>
                <w:szCs w:val="19"/>
              </w:rPr>
              <w:t xml:space="preserve">Position</w:t>
            </w:r>
          </w:p>
        </w:tc>
        <w:tc>
          <w:tcPr>
            <w:tcW w:type="dxa" w:w="3060"/>
            <w:tcBorders>
              <w:top w:val="single" w:color="D6DEE6" w:sz="4"/>
              <w:left w:val="single" w:color="D6DEE6" w:sz="4"/>
              <w:bottom w:val="single" w:color="D6DEE6" w:sz="4"/>
              <w:right w:val="single" w:color="D6DEE6" w:sz="4"/>
            </w:tcBorders>
            <w:shd w:fill="5B43B5" w:val="clear"/>
            <w:tcMar>
              <w:top w:type="dxa" w:w="100"/>
              <w:left w:type="dxa" w:w="120"/>
              <w:bottom w:type="dxa" w:w="100"/>
              <w:right w:type="dxa" w:w="120"/>
            </w:tcMar>
          </w:tcPr>
          <w:p>
            <w:pPr>
              <w:jc w:val="left"/>
            </w:pPr>
            <w:r>
              <w:rPr>
                <w:b/>
                <w:bCs/>
                <w:color w:val="FFFFFF"/>
                <w:sz w:val="19"/>
                <w:szCs w:val="19"/>
              </w:rPr>
              <w:t xml:space="preserve">Pricing / note</w:t>
            </w:r>
          </w:p>
        </w:tc>
      </w:tr>
      <w:tr>
        <w:tc>
          <w:tcPr>
            <w:tcW w:type="dxa" w:w="26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MRCEM Success</w:t>
            </w:r>
          </w:p>
        </w:tc>
        <w:tc>
          <w:tcPr>
            <w:tcW w:type="dxa" w:w="3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Bank + courses + mocks</w:t>
            </w:r>
          </w:p>
        </w:tc>
        <w:tc>
          <w:tcPr>
            <w:tcW w:type="dxa" w:w="30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£100–200</w:t>
            </w:r>
          </w:p>
        </w:tc>
      </w:tr>
      <w:tr>
        <w:tc>
          <w:tcPr>
            <w:tcW w:type="dxa" w:w="26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Pastest MRCEM</w:t>
            </w:r>
          </w:p>
        </w:tc>
        <w:tc>
          <w:tcPr>
            <w:tcW w:type="dxa" w:w="3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Q-bank</w:t>
            </w:r>
          </w:p>
        </w:tc>
        <w:tc>
          <w:tcPr>
            <w:tcW w:type="dxa" w:w="30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£90–180</w:t>
            </w:r>
          </w:p>
        </w:tc>
      </w:tr>
      <w:tr>
        <w:tc>
          <w:tcPr>
            <w:tcW w:type="dxa" w:w="26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Bromley Emergency</w:t>
            </w:r>
          </w:p>
        </w:tc>
        <w:tc>
          <w:tcPr>
            <w:tcW w:type="dxa" w:w="3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Course-led prep</w:t>
            </w:r>
          </w:p>
        </w:tc>
        <w:tc>
          <w:tcPr>
            <w:tcW w:type="dxa" w:w="30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Course-priced</w:t>
            </w:r>
          </w:p>
        </w:tc>
      </w:tr>
      <w:tr>
        <w:tc>
          <w:tcPr>
            <w:tcW w:type="dxa" w:w="26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FRCEM Study Zone</w:t>
            </w:r>
          </w:p>
        </w:tc>
        <w:tc>
          <w:tcPr>
            <w:tcW w:type="dxa" w:w="3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Wider EM resources</w:t>
            </w:r>
          </w:p>
        </w:tc>
        <w:tc>
          <w:tcPr>
            <w:tcW w:type="dxa" w:w="30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Bundled</w:t>
            </w:r>
          </w:p>
        </w:tc>
      </w:tr>
    </w:tbl>
    <w:p>
      <w:pPr>
        <w:spacing w:after="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A12" w:sz="24"/>
              <w:left w:val="single" w:color="B07A12" w:sz="4"/>
              <w:bottom w:val="single" w:color="FFF4DC" w:sz="4"/>
              <w:right w:val="single" w:color="FFF4DC" w:sz="4"/>
            </w:tcBorders>
            <w:shd w:fill="FFF4DC" w:val="clear"/>
            <w:tcMar>
              <w:top w:type="dxa" w:w="160"/>
              <w:left w:type="dxa" w:w="200"/>
              <w:bottom w:type="dxa" w:w="160"/>
              <w:right w:type="dxa" w:w="200"/>
            </w:tcMar>
          </w:tcPr>
          <w:p>
            <w:pPr>
              <w:spacing w:after="60"/>
            </w:pPr>
            <w:r>
              <w:rPr>
                <w:b/>
                <w:bCs/>
                <w:color w:val="B07A12"/>
                <w:sz w:val="22"/>
                <w:szCs w:val="22"/>
              </w:rPr>
              <w:t xml:space="preserve">Network angle</w:t>
            </w:r>
          </w:p>
          <w:p>
            <w:pPr>
              <w:spacing w:after="0" w:line="300"/>
            </w:pPr>
            <w:r>
              <w:rPr>
                <w:color w:val="111827"/>
                <w:sz w:val="21"/>
                <w:szCs w:val="21"/>
              </w:rPr>
              <w:t xml:space="preserve">Recruit </w:t>
            </w:r>
            <w:r>
              <w:rPr>
                <w:b/>
                <w:bCs/>
                <w:color w:val="111827"/>
                <w:sz w:val="21"/>
                <w:szCs w:val="21"/>
              </w:rPr>
              <w:t xml:space="preserve">1 EM ST4+ registrar + 1 paediatric A&amp;E doctor</w:t>
            </w:r>
            <w:r>
              <w:rPr>
                <w:color w:val="111827"/>
                <w:sz w:val="21"/>
                <w:szCs w:val="21"/>
              </w:rPr>
              <w:t xml:space="preserve">. Trauma + paeds A&amp;E are the highest-failure domains; getting their voice into the bank lifts perceived authority.</w:t>
            </w:r>
          </w:p>
        </w:tc>
      </w:tr>
    </w:tbl>
    <w:p>
      <w:pPr>
        <w:spacing w:after="100"/>
      </w:pPr>
      <w:r>
        <w:t xml:space="preserve"> </w:t>
      </w:r>
    </w:p>
    <w:p>
      <w:r>
        <w:br w:type="page"/>
      </w:r>
    </w:p>
    <w:p>
      <w:pPr>
        <w:pStyle w:val="Heading1"/>
        <w:spacing w:after="120" w:before="320"/>
      </w:pPr>
      <w:r>
        <w:rPr>
          <w:b/>
          <w:bCs/>
          <w:color w:val="0F2740"/>
          <w:sz w:val="36"/>
          <w:szCs w:val="36"/>
        </w:rPr>
        <w:t xml:space="preserve">FRCA-P  </w:t>
      </w:r>
      <w:r>
        <w:rPr>
          <w:b w:val="false"/>
          <w:bCs w:val="false"/>
          <w:color w:val="5B43B5"/>
          <w:sz w:val="28"/>
          <w:szCs w:val="28"/>
        </w:rPr>
        <w:t xml:space="preserve">— FRCA Primary MCQ/SBA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43B5" w:sz="24"/>
              <w:left w:val="single" w:color="5B43B5" w:sz="4"/>
              <w:bottom w:val="single" w:color="EAF6F5" w:sz="4"/>
              <w:right w:val="single" w:color="EAF6F5" w:sz="4"/>
            </w:tcBorders>
            <w:shd w:fill="EAF6F5" w:val="clear"/>
            <w:tcMar>
              <w:top w:type="dxa" w:w="160"/>
              <w:left w:type="dxa" w:w="200"/>
              <w:bottom w:type="dxa" w:w="160"/>
              <w:right w:type="dxa" w:w="200"/>
            </w:tcMar>
          </w:tcPr>
          <w:p>
            <w:pPr>
              <w:spacing w:after="60"/>
            </w:pPr>
            <w:r>
              <w:rPr>
                <w:b/>
                <w:bCs/>
                <w:color w:val="5B43B5"/>
                <w:sz w:val="22"/>
                <w:szCs w:val="22"/>
              </w:rPr>
              <w:t xml:space="preserve">At a glance</w:t>
            </w:r>
          </w:p>
          <w:p>
            <w:pPr>
              <w:spacing w:after="0" w:line="300"/>
            </w:pPr>
            <w:r>
              <w:rPr>
                <w:color w:val="111827"/>
                <w:sz w:val="21"/>
                <w:szCs w:val="21"/>
              </w:rPr>
              <w:t xml:space="preserve">Written gateway to UK anaesthesia training. From September 2023, </w:t>
            </w:r>
            <w:r>
              <w:rPr>
                <w:b/>
                <w:bCs/>
                <w:color w:val="111827"/>
                <w:sz w:val="21"/>
                <w:szCs w:val="21"/>
              </w:rPr>
              <w:t xml:space="preserve">90 SBAs in a single 3-hour paper</w:t>
            </w:r>
            <w:r>
              <w:rPr>
                <w:color w:val="111827"/>
                <w:sz w:val="21"/>
                <w:szCs w:val="21"/>
              </w:rPr>
              <w:t xml:space="preserve"> (MTF questions removed). Annual volume ~1,500. Tight syllabus split across pharmacology, physiology + anatomy, and physics + clinical measurement.</w:t>
            </w:r>
          </w:p>
        </w:tc>
      </w:tr>
    </w:tbl>
    <w:p>
      <w:pPr>
        <w:spacing w:after="100"/>
      </w:pPr>
      <w:r>
        <w:t xml:space="preserve"> </w:t>
      </w:r>
    </w:p>
    <w:p>
      <w:pPr>
        <w:spacing w:after="120" w:line="300"/>
      </w:pPr>
      <w:r>
        <w:rPr>
          <w:b/>
          <w:bCs/>
          <w:color w:val="111827"/>
          <w:sz w:val="21"/>
          <w:szCs w:val="21"/>
        </w:rPr>
        <w:t xml:space="preserve">Curriculum source: </w:t>
      </w:r>
      <w:r>
        <w:rPr>
          <w:i/>
          <w:iCs/>
          <w:color w:val="111827"/>
          <w:sz w:val="21"/>
          <w:szCs w:val="21"/>
        </w:rPr>
        <w:t xml:space="preserve">Royal College of Anaesthetists — FRCA exam syllabus + CCT Annex B Core Level Training curriculum.</w:t>
      </w:r>
    </w:p>
    <w:p>
      <w:pPr>
        <w:pStyle w:val="Heading3"/>
        <w:spacing w:after="60" w:before="160"/>
      </w:pPr>
      <w:r>
        <w:rPr>
          <w:b/>
          <w:bCs/>
          <w:color w:val="0F2740"/>
          <w:sz w:val="22"/>
          <w:szCs w:val="22"/>
        </w:rPr>
        <w:t xml:space="preserve">Format &amp;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6DEE6" w:sz="4"/>
              <w:left w:val="single" w:color="D6DEE6" w:sz="4"/>
              <w:bottom w:val="single" w:color="D6DEE6" w:sz="4"/>
              <w:right w:val="single" w:color="D6DEE6" w:sz="4"/>
            </w:tcBorders>
            <w:shd w:fill="5B43B5" w:val="clear"/>
            <w:tcMar>
              <w:top w:type="dxa" w:w="100"/>
              <w:left w:type="dxa" w:w="120"/>
              <w:bottom w:type="dxa" w:w="100"/>
              <w:right w:type="dxa" w:w="120"/>
            </w:tcMar>
          </w:tcPr>
          <w:p>
            <w:pPr>
              <w:jc w:val="left"/>
            </w:pPr>
            <w:r>
              <w:rPr>
                <w:b/>
                <w:bCs/>
                <w:color w:val="FFFFFF"/>
                <w:sz w:val="19"/>
                <w:szCs w:val="19"/>
              </w:rPr>
              <w:t xml:space="preserve">Aspect</w:t>
            </w:r>
          </w:p>
        </w:tc>
        <w:tc>
          <w:tcPr>
            <w:tcW w:type="dxa" w:w="7160"/>
            <w:tcBorders>
              <w:top w:val="single" w:color="D6DEE6" w:sz="4"/>
              <w:left w:val="single" w:color="D6DEE6" w:sz="4"/>
              <w:bottom w:val="single" w:color="D6DEE6" w:sz="4"/>
              <w:right w:val="single" w:color="D6DEE6" w:sz="4"/>
            </w:tcBorders>
            <w:shd w:fill="5B43B5" w:val="clear"/>
            <w:tcMar>
              <w:top w:type="dxa" w:w="100"/>
              <w:left w:type="dxa" w:w="120"/>
              <w:bottom w:type="dxa" w:w="100"/>
              <w:right w:type="dxa" w:w="120"/>
            </w:tcMar>
          </w:tcPr>
          <w:p>
            <w:pPr>
              <w:jc w:val="left"/>
            </w:pPr>
            <w:r>
              <w:rPr>
                <w:b/>
                <w:bCs/>
                <w:color w:val="FFFFFF"/>
                <w:sz w:val="19"/>
                <w:szCs w:val="19"/>
              </w:rPr>
              <w:t xml:space="preserve">Detail</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Body</w:t>
            </w:r>
          </w:p>
        </w:tc>
        <w:tc>
          <w:tcPr>
            <w:tcW w:type="dxa" w:w="7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Royal College of Anaesthetists (RCoA)</w:t>
            </w:r>
          </w:p>
        </w:tc>
      </w:tr>
      <w:tr>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Format</w:t>
            </w:r>
          </w:p>
        </w:tc>
        <w:tc>
          <w:tcPr>
            <w:tcW w:type="dxa" w:w="71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90 SBAs, single paper</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Duration</w:t>
            </w:r>
          </w:p>
        </w:tc>
        <w:tc>
          <w:tcPr>
            <w:tcW w:type="dxa" w:w="7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3h</w:t>
            </w:r>
          </w:p>
        </w:tc>
      </w:tr>
    </w:tbl>
    <w:p>
      <w:pPr>
        <w:spacing w:after="100"/>
      </w:pPr>
      <w:r>
        <w:t xml:space="preserve"> </w:t>
      </w:r>
    </w:p>
    <w:p>
      <w:pPr>
        <w:pStyle w:val="Heading3"/>
        <w:spacing w:after="60" w:before="160"/>
      </w:pPr>
      <w:r>
        <w:rPr>
          <w:b/>
          <w:bCs/>
          <w:color w:val="0F2740"/>
          <w:sz w:val="22"/>
          <w:szCs w:val="22"/>
        </w:rPr>
        <w:t xml:space="preserve">Domain blueprint (with suggested seed bank counts)</w:t>
      </w:r>
    </w:p>
    <w:p>
      <w:pPr>
        <w:spacing w:after="120" w:line="300"/>
      </w:pPr>
      <w:r>
        <w:rPr>
          <w:color w:val="111827"/>
          <w:sz w:val="21"/>
          <w:szCs w:val="21"/>
        </w:rPr>
        <w:t xml:space="preserve">Question counts are editorial recommendations for a launch-quality bank, calibrated to published exam weights and what the platform should cover. Adjust ratios to your network's specialty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300"/>
        <w:gridCol w:w="1500"/>
        <w:gridCol w:w="2060"/>
      </w:tblGrid>
      <w:tr>
        <w:trPr>
          <w:tblHeader/>
        </w:trPr>
        <w:tc>
          <w:tcPr>
            <w:tcW w:type="dxa" w:w="4500"/>
            <w:tcBorders>
              <w:top w:val="single" w:color="D6DEE6" w:sz="4"/>
              <w:left w:val="single" w:color="D6DEE6" w:sz="4"/>
              <w:bottom w:val="single" w:color="D6DEE6" w:sz="4"/>
              <w:right w:val="single" w:color="D6DEE6" w:sz="4"/>
            </w:tcBorders>
            <w:shd w:fill="5B43B5" w:val="clear"/>
            <w:tcMar>
              <w:top w:type="dxa" w:w="100"/>
              <w:left w:type="dxa" w:w="120"/>
              <w:bottom w:type="dxa" w:w="100"/>
              <w:right w:type="dxa" w:w="120"/>
            </w:tcMar>
          </w:tcPr>
          <w:p>
            <w:pPr>
              <w:jc w:val="left"/>
            </w:pPr>
            <w:r>
              <w:rPr>
                <w:b/>
                <w:bCs/>
                <w:color w:val="FFFFFF"/>
                <w:sz w:val="19"/>
                <w:szCs w:val="19"/>
              </w:rPr>
              <w:t xml:space="preserve">Domain</w:t>
            </w:r>
          </w:p>
        </w:tc>
        <w:tc>
          <w:tcPr>
            <w:tcW w:type="dxa" w:w="1300"/>
            <w:tcBorders>
              <w:top w:val="single" w:color="D6DEE6" w:sz="4"/>
              <w:left w:val="single" w:color="D6DEE6" w:sz="4"/>
              <w:bottom w:val="single" w:color="D6DEE6" w:sz="4"/>
              <w:right w:val="single" w:color="D6DEE6" w:sz="4"/>
            </w:tcBorders>
            <w:shd w:fill="5B43B5" w:val="clear"/>
            <w:tcMar>
              <w:top w:type="dxa" w:w="100"/>
              <w:left w:type="dxa" w:w="120"/>
              <w:bottom w:type="dxa" w:w="100"/>
              <w:right w:type="dxa" w:w="120"/>
            </w:tcMar>
          </w:tcPr>
          <w:p>
            <w:pPr>
              <w:jc w:val="left"/>
            </w:pPr>
            <w:r>
              <w:rPr>
                <w:b/>
                <w:bCs/>
                <w:color w:val="FFFFFF"/>
                <w:sz w:val="19"/>
                <w:szCs w:val="19"/>
              </w:rPr>
              <w:t xml:space="preserve">Weight</w:t>
            </w:r>
          </w:p>
        </w:tc>
        <w:tc>
          <w:tcPr>
            <w:tcW w:type="dxa" w:w="1500"/>
            <w:tcBorders>
              <w:top w:val="single" w:color="D6DEE6" w:sz="4"/>
              <w:left w:val="single" w:color="D6DEE6" w:sz="4"/>
              <w:bottom w:val="single" w:color="D6DEE6" w:sz="4"/>
              <w:right w:val="single" w:color="D6DEE6" w:sz="4"/>
            </w:tcBorders>
            <w:shd w:fill="5B43B5" w:val="clear"/>
            <w:tcMar>
              <w:top w:type="dxa" w:w="100"/>
              <w:left w:type="dxa" w:w="120"/>
              <w:bottom w:type="dxa" w:w="100"/>
              <w:right w:type="dxa" w:w="120"/>
            </w:tcMar>
          </w:tcPr>
          <w:p>
            <w:pPr>
              <w:jc w:val="left"/>
            </w:pPr>
            <w:r>
              <w:rPr>
                <w:b/>
                <w:bCs/>
                <w:color w:val="FFFFFF"/>
                <w:sz w:val="19"/>
                <w:szCs w:val="19"/>
              </w:rPr>
              <w:t xml:space="preserve">Seed bank target</w:t>
            </w:r>
          </w:p>
        </w:tc>
      </w:tr>
      <w:tr>
        <w:tc>
          <w:tcPr>
            <w:tcW w:type="dxa" w:w="4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Pharmacology</w:t>
            </w:r>
          </w:p>
        </w:tc>
        <w:tc>
          <w:tcPr>
            <w:tcW w:type="dxa" w:w="1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33% (~30 Qs)</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250</w:t>
            </w:r>
          </w:p>
        </w:tc>
      </w:tr>
      <w:tr>
        <w:tc>
          <w:tcPr>
            <w:tcW w:type="dxa" w:w="4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Physiology + biochemistry + anatomy</w:t>
            </w:r>
          </w:p>
        </w:tc>
        <w:tc>
          <w:tcPr>
            <w:tcW w:type="dxa" w:w="1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33% (~30 Qs)</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250</w:t>
            </w:r>
          </w:p>
        </w:tc>
      </w:tr>
      <w:tr>
        <w:tc>
          <w:tcPr>
            <w:tcW w:type="dxa" w:w="4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Physics + clinical measurement + statistics + data interpretation</w:t>
            </w:r>
          </w:p>
        </w:tc>
        <w:tc>
          <w:tcPr>
            <w:tcW w:type="dxa" w:w="1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33% (~30 Qs)</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250</w:t>
            </w:r>
          </w:p>
        </w:tc>
      </w:tr>
      <w:tr>
        <w:tc>
          <w:tcPr>
            <w:tcW w:type="dxa" w:w="4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TOTAL</w:t>
            </w:r>
          </w:p>
        </w:tc>
        <w:tc>
          <w:tcPr>
            <w:tcW w:type="dxa" w:w="1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100%</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750 SBAs</w:t>
            </w:r>
          </w:p>
        </w:tc>
      </w:tr>
    </w:tbl>
    <w:p>
      <w:pPr>
        <w:spacing w:after="100"/>
      </w:pPr>
      <w:r>
        <w:t xml:space="preserve"> </w:t>
      </w:r>
    </w:p>
    <w:p>
      <w:pPr>
        <w:pStyle w:val="Heading3"/>
        <w:spacing w:after="60" w:before="160"/>
      </w:pPr>
      <w:r>
        <w:rPr>
          <w:b/>
          <w:bCs/>
          <w:color w:val="0F2740"/>
          <w:sz w:val="22"/>
          <w:szCs w:val="22"/>
        </w:rPr>
        <w:t xml:space="preserve">Existing market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60"/>
      </w:tblGrid>
      <w:tr>
        <w:trPr>
          <w:tblHeader/>
        </w:trPr>
        <w:tc>
          <w:tcPr>
            <w:tcW w:type="dxa" w:w="2600"/>
            <w:tcBorders>
              <w:top w:val="single" w:color="D6DEE6" w:sz="4"/>
              <w:left w:val="single" w:color="D6DEE6" w:sz="4"/>
              <w:bottom w:val="single" w:color="D6DEE6" w:sz="4"/>
              <w:right w:val="single" w:color="D6DEE6" w:sz="4"/>
            </w:tcBorders>
            <w:shd w:fill="5B43B5" w:val="clear"/>
            <w:tcMar>
              <w:top w:type="dxa" w:w="100"/>
              <w:left w:type="dxa" w:w="120"/>
              <w:bottom w:type="dxa" w:w="100"/>
              <w:right w:type="dxa" w:w="120"/>
            </w:tcMar>
          </w:tcPr>
          <w:p>
            <w:pPr>
              <w:jc w:val="left"/>
            </w:pPr>
            <w:r>
              <w:rPr>
                <w:b/>
                <w:bCs/>
                <w:color w:val="FFFFFF"/>
                <w:sz w:val="19"/>
                <w:szCs w:val="19"/>
              </w:rPr>
              <w:t xml:space="preserve">Resource</w:t>
            </w:r>
          </w:p>
        </w:tc>
        <w:tc>
          <w:tcPr>
            <w:tcW w:type="dxa" w:w="3700"/>
            <w:tcBorders>
              <w:top w:val="single" w:color="D6DEE6" w:sz="4"/>
              <w:left w:val="single" w:color="D6DEE6" w:sz="4"/>
              <w:bottom w:val="single" w:color="D6DEE6" w:sz="4"/>
              <w:right w:val="single" w:color="D6DEE6" w:sz="4"/>
            </w:tcBorders>
            <w:shd w:fill="5B43B5" w:val="clear"/>
            <w:tcMar>
              <w:top w:type="dxa" w:w="100"/>
              <w:left w:type="dxa" w:w="120"/>
              <w:bottom w:type="dxa" w:w="100"/>
              <w:right w:type="dxa" w:w="120"/>
            </w:tcMar>
          </w:tcPr>
          <w:p>
            <w:pPr>
              <w:jc w:val="left"/>
            </w:pPr>
            <w:r>
              <w:rPr>
                <w:b/>
                <w:bCs/>
                <w:color w:val="FFFFFF"/>
                <w:sz w:val="19"/>
                <w:szCs w:val="19"/>
              </w:rPr>
              <w:t xml:space="preserve">Position</w:t>
            </w:r>
          </w:p>
        </w:tc>
        <w:tc>
          <w:tcPr>
            <w:tcW w:type="dxa" w:w="3060"/>
            <w:tcBorders>
              <w:top w:val="single" w:color="D6DEE6" w:sz="4"/>
              <w:left w:val="single" w:color="D6DEE6" w:sz="4"/>
              <w:bottom w:val="single" w:color="D6DEE6" w:sz="4"/>
              <w:right w:val="single" w:color="D6DEE6" w:sz="4"/>
            </w:tcBorders>
            <w:shd w:fill="5B43B5" w:val="clear"/>
            <w:tcMar>
              <w:top w:type="dxa" w:w="100"/>
              <w:left w:type="dxa" w:w="120"/>
              <w:bottom w:type="dxa" w:w="100"/>
              <w:right w:type="dxa" w:w="120"/>
            </w:tcMar>
          </w:tcPr>
          <w:p>
            <w:pPr>
              <w:jc w:val="left"/>
            </w:pPr>
            <w:r>
              <w:rPr>
                <w:b/>
                <w:bCs/>
                <w:color w:val="FFFFFF"/>
                <w:sz w:val="19"/>
                <w:szCs w:val="19"/>
              </w:rPr>
              <w:t xml:space="preserve">Pricing / note</w:t>
            </w:r>
          </w:p>
        </w:tc>
      </w:tr>
      <w:tr>
        <w:tc>
          <w:tcPr>
            <w:tcW w:type="dxa" w:w="26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TeachMeAnaesthetics</w:t>
            </w:r>
          </w:p>
        </w:tc>
        <w:tc>
          <w:tcPr>
            <w:tcW w:type="dxa" w:w="3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1,100+ SBAs, free</w:t>
            </w:r>
          </w:p>
        </w:tc>
        <w:tc>
          <w:tcPr>
            <w:tcW w:type="dxa" w:w="30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Free / supporter tier</w:t>
            </w:r>
          </w:p>
        </w:tc>
      </w:tr>
      <w:tr>
        <w:tc>
          <w:tcPr>
            <w:tcW w:type="dxa" w:w="26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Pastest Primary FRCA</w:t>
            </w:r>
          </w:p>
        </w:tc>
        <w:tc>
          <w:tcPr>
            <w:tcW w:type="dxa" w:w="3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Established</w:t>
            </w:r>
          </w:p>
        </w:tc>
        <w:tc>
          <w:tcPr>
            <w:tcW w:type="dxa" w:w="30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£100–200</w:t>
            </w:r>
          </w:p>
        </w:tc>
      </w:tr>
      <w:tr>
        <w:tc>
          <w:tcPr>
            <w:tcW w:type="dxa" w:w="26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Anaesthesia UK / Frca.co.uk</w:t>
            </w:r>
          </w:p>
        </w:tc>
        <w:tc>
          <w:tcPr>
            <w:tcW w:type="dxa" w:w="3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Free educational community</w:t>
            </w:r>
          </w:p>
        </w:tc>
        <w:tc>
          <w:tcPr>
            <w:tcW w:type="dxa" w:w="30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Free</w:t>
            </w:r>
          </w:p>
        </w:tc>
      </w:tr>
      <w:tr>
        <w:tc>
          <w:tcPr>
            <w:tcW w:type="dxa" w:w="26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RCoA Primary Guide</w:t>
            </w:r>
          </w:p>
        </w:tc>
        <w:tc>
          <w:tcPr>
            <w:tcW w:type="dxa" w:w="3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Official prep</w:t>
            </w:r>
          </w:p>
        </w:tc>
        <w:tc>
          <w:tcPr>
            <w:tcW w:type="dxa" w:w="30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RCoA-tied</w:t>
            </w:r>
          </w:p>
        </w:tc>
      </w:tr>
    </w:tbl>
    <w:p>
      <w:pPr>
        <w:spacing w:after="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A12" w:sz="24"/>
              <w:left w:val="single" w:color="B07A12" w:sz="4"/>
              <w:bottom w:val="single" w:color="FFF4DC" w:sz="4"/>
              <w:right w:val="single" w:color="FFF4DC" w:sz="4"/>
            </w:tcBorders>
            <w:shd w:fill="FFF4DC" w:val="clear"/>
            <w:tcMar>
              <w:top w:type="dxa" w:w="160"/>
              <w:left w:type="dxa" w:w="200"/>
              <w:bottom w:type="dxa" w:w="160"/>
              <w:right w:type="dxa" w:w="200"/>
            </w:tcMar>
          </w:tcPr>
          <w:p>
            <w:pPr>
              <w:spacing w:after="60"/>
            </w:pPr>
            <w:r>
              <w:rPr>
                <w:b/>
                <w:bCs/>
                <w:color w:val="B07A12"/>
                <w:sz w:val="22"/>
                <w:szCs w:val="22"/>
              </w:rPr>
              <w:t xml:space="preserve">Network angle</w:t>
            </w:r>
          </w:p>
          <w:p>
            <w:pPr>
              <w:spacing w:after="0" w:line="300"/>
            </w:pPr>
            <w:r>
              <w:rPr>
                <w:color w:val="111827"/>
                <w:sz w:val="21"/>
                <w:szCs w:val="21"/>
              </w:rPr>
              <w:t xml:space="preserve">Recruit </w:t>
            </w:r>
            <w:r>
              <w:rPr>
                <w:b/>
                <w:bCs/>
                <w:color w:val="111827"/>
                <w:sz w:val="21"/>
                <w:szCs w:val="21"/>
              </w:rPr>
              <w:t xml:space="preserve">1 anaesthesia ST3–5 trainee</w:t>
            </w:r>
            <w:r>
              <w:rPr>
                <w:color w:val="111827"/>
                <w:sz w:val="21"/>
                <w:szCs w:val="21"/>
              </w:rPr>
              <w:t xml:space="preserve">. Anaesthesia exam content is unusually basic-science-heavy (physics + pharmacology dominance), so a reviewer with a strong physiology head is more valuable than a senior consultant.</w:t>
            </w:r>
          </w:p>
        </w:tc>
      </w:tr>
    </w:tbl>
    <w:p>
      <w:pPr>
        <w:spacing w:after="100"/>
      </w:pPr>
      <w:r>
        <w:t xml:space="preserve"> </w:t>
      </w:r>
    </w:p>
    <w:p>
      <w:r>
        <w:br w:type="page"/>
      </w:r>
    </w:p>
    <w:p>
      <w:pPr>
        <w:pStyle w:val="Heading1"/>
        <w:spacing w:after="120" w:before="320"/>
      </w:pPr>
      <w:r>
        <w:rPr>
          <w:b/>
          <w:bCs/>
          <w:color w:val="0F2740"/>
          <w:sz w:val="36"/>
          <w:szCs w:val="36"/>
        </w:rPr>
        <w:t xml:space="preserve">MRCOG 1  </w:t>
      </w:r>
      <w:r>
        <w:rPr>
          <w:b w:val="false"/>
          <w:bCs w:val="false"/>
          <w:color w:val="5B43B5"/>
          <w:sz w:val="28"/>
          <w:szCs w:val="28"/>
        </w:rPr>
        <w:t xml:space="preserve">— MRCOG Part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43B5" w:sz="24"/>
              <w:left w:val="single" w:color="5B43B5" w:sz="4"/>
              <w:bottom w:val="single" w:color="EAF6F5" w:sz="4"/>
              <w:right w:val="single" w:color="EAF6F5" w:sz="4"/>
            </w:tcBorders>
            <w:shd w:fill="EAF6F5" w:val="clear"/>
            <w:tcMar>
              <w:top w:type="dxa" w:w="160"/>
              <w:left w:type="dxa" w:w="200"/>
              <w:bottom w:type="dxa" w:w="160"/>
              <w:right w:type="dxa" w:w="200"/>
            </w:tcMar>
          </w:tcPr>
          <w:p>
            <w:pPr>
              <w:spacing w:after="60"/>
            </w:pPr>
            <w:r>
              <w:rPr>
                <w:b/>
                <w:bCs/>
                <w:color w:val="5B43B5"/>
                <w:sz w:val="22"/>
                <w:szCs w:val="22"/>
              </w:rPr>
              <w:t xml:space="preserve">At a glance</w:t>
            </w:r>
          </w:p>
          <w:p>
            <w:pPr>
              <w:spacing w:after="0" w:line="300"/>
            </w:pPr>
            <w:r>
              <w:rPr>
                <w:color w:val="111827"/>
                <w:sz w:val="21"/>
                <w:szCs w:val="21"/>
              </w:rPr>
              <w:t xml:space="preserve">Written gateway to O&amp;G training. </w:t>
            </w:r>
            <w:r>
              <w:rPr>
                <w:b/>
                <w:bCs/>
                <w:color w:val="111827"/>
                <w:sz w:val="21"/>
                <w:szCs w:val="21"/>
              </w:rPr>
              <w:t xml:space="preserve">200 SBAs across 2 papers, 50% / 50%</w:t>
            </w:r>
            <w:r>
              <w:rPr>
                <w:color w:val="111827"/>
                <w:sz w:val="21"/>
                <w:szCs w:val="21"/>
              </w:rPr>
              <w:t xml:space="preserve">, 2.5h each. Approximately 1,500 UK + IMG candidates per year. Heavy basic-sciences emphasis: 4 domains of which physiology, microbiology, pharmacology, and genetics together make up over half the paper.</w:t>
            </w:r>
          </w:p>
        </w:tc>
      </w:tr>
    </w:tbl>
    <w:p>
      <w:pPr>
        <w:spacing w:after="100"/>
      </w:pPr>
      <w:r>
        <w:t xml:space="preserve"> </w:t>
      </w:r>
    </w:p>
    <w:p>
      <w:pPr>
        <w:spacing w:after="120" w:line="300"/>
      </w:pPr>
      <w:r>
        <w:rPr>
          <w:b/>
          <w:bCs/>
          <w:color w:val="111827"/>
          <w:sz w:val="21"/>
          <w:szCs w:val="21"/>
        </w:rPr>
        <w:t xml:space="preserve">Curriculum source: </w:t>
      </w:r>
      <w:r>
        <w:rPr>
          <w:i/>
          <w:iCs/>
          <w:color w:val="111827"/>
          <w:sz w:val="21"/>
          <w:szCs w:val="21"/>
        </w:rPr>
        <w:t xml:space="preserve">Royal College of Obstetricians &amp; Gynaecologists (RCOG) — MRCOG Part 1 syllabus across 4 domains and 15 core knowledge areas.</w:t>
      </w:r>
    </w:p>
    <w:p>
      <w:pPr>
        <w:pStyle w:val="Heading3"/>
        <w:spacing w:after="60" w:before="160"/>
      </w:pPr>
      <w:r>
        <w:rPr>
          <w:b/>
          <w:bCs/>
          <w:color w:val="0F2740"/>
          <w:sz w:val="22"/>
          <w:szCs w:val="22"/>
        </w:rPr>
        <w:t xml:space="preserve">Format &amp;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6DEE6" w:sz="4"/>
              <w:left w:val="single" w:color="D6DEE6" w:sz="4"/>
              <w:bottom w:val="single" w:color="D6DEE6" w:sz="4"/>
              <w:right w:val="single" w:color="D6DEE6" w:sz="4"/>
            </w:tcBorders>
            <w:shd w:fill="5B43B5" w:val="clear"/>
            <w:tcMar>
              <w:top w:type="dxa" w:w="100"/>
              <w:left w:type="dxa" w:w="120"/>
              <w:bottom w:type="dxa" w:w="100"/>
              <w:right w:type="dxa" w:w="120"/>
            </w:tcMar>
          </w:tcPr>
          <w:p>
            <w:pPr>
              <w:jc w:val="left"/>
            </w:pPr>
            <w:r>
              <w:rPr>
                <w:b/>
                <w:bCs/>
                <w:color w:val="FFFFFF"/>
                <w:sz w:val="19"/>
                <w:szCs w:val="19"/>
              </w:rPr>
              <w:t xml:space="preserve">Aspect</w:t>
            </w:r>
          </w:p>
        </w:tc>
        <w:tc>
          <w:tcPr>
            <w:tcW w:type="dxa" w:w="7160"/>
            <w:tcBorders>
              <w:top w:val="single" w:color="D6DEE6" w:sz="4"/>
              <w:left w:val="single" w:color="D6DEE6" w:sz="4"/>
              <w:bottom w:val="single" w:color="D6DEE6" w:sz="4"/>
              <w:right w:val="single" w:color="D6DEE6" w:sz="4"/>
            </w:tcBorders>
            <w:shd w:fill="5B43B5" w:val="clear"/>
            <w:tcMar>
              <w:top w:type="dxa" w:w="100"/>
              <w:left w:type="dxa" w:w="120"/>
              <w:bottom w:type="dxa" w:w="100"/>
              <w:right w:type="dxa" w:w="120"/>
            </w:tcMar>
          </w:tcPr>
          <w:p>
            <w:pPr>
              <w:jc w:val="left"/>
            </w:pPr>
            <w:r>
              <w:rPr>
                <w:b/>
                <w:bCs/>
                <w:color w:val="FFFFFF"/>
                <w:sz w:val="19"/>
                <w:szCs w:val="19"/>
              </w:rPr>
              <w:t xml:space="preserve">Detail</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Body</w:t>
            </w:r>
          </w:p>
        </w:tc>
        <w:tc>
          <w:tcPr>
            <w:tcW w:type="dxa" w:w="7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Royal College of Obstetricians &amp; Gynaecologists (RCOG)</w:t>
            </w:r>
          </w:p>
        </w:tc>
      </w:tr>
      <w:tr>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Format</w:t>
            </w:r>
          </w:p>
        </w:tc>
        <w:tc>
          <w:tcPr>
            <w:tcW w:type="dxa" w:w="71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2 papers × 100 SBAs each</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Duration</w:t>
            </w:r>
          </w:p>
        </w:tc>
        <w:tc>
          <w:tcPr>
            <w:tcW w:type="dxa" w:w="7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2.5h per paper</w:t>
            </w:r>
          </w:p>
        </w:tc>
      </w:tr>
    </w:tbl>
    <w:p>
      <w:pPr>
        <w:spacing w:after="100"/>
      </w:pPr>
      <w:r>
        <w:t xml:space="preserve"> </w:t>
      </w:r>
    </w:p>
    <w:p>
      <w:pPr>
        <w:pStyle w:val="Heading3"/>
        <w:spacing w:after="60" w:before="160"/>
      </w:pPr>
      <w:r>
        <w:rPr>
          <w:b/>
          <w:bCs/>
          <w:color w:val="0F2740"/>
          <w:sz w:val="22"/>
          <w:szCs w:val="22"/>
        </w:rPr>
        <w:t xml:space="preserve">Domain blueprint (with suggested seed bank counts)</w:t>
      </w:r>
    </w:p>
    <w:p>
      <w:pPr>
        <w:spacing w:after="120" w:line="300"/>
      </w:pPr>
      <w:r>
        <w:rPr>
          <w:color w:val="111827"/>
          <w:sz w:val="21"/>
          <w:szCs w:val="21"/>
        </w:rPr>
        <w:t xml:space="preserve">Question counts are editorial recommendations for a launch-quality bank, calibrated to published exam weights and what the platform should cover. Adjust ratios to your network's specialty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300"/>
        <w:gridCol w:w="1500"/>
        <w:gridCol w:w="2060"/>
      </w:tblGrid>
      <w:tr>
        <w:trPr>
          <w:tblHeader/>
        </w:trPr>
        <w:tc>
          <w:tcPr>
            <w:tcW w:type="dxa" w:w="4500"/>
            <w:tcBorders>
              <w:top w:val="single" w:color="D6DEE6" w:sz="4"/>
              <w:left w:val="single" w:color="D6DEE6" w:sz="4"/>
              <w:bottom w:val="single" w:color="D6DEE6" w:sz="4"/>
              <w:right w:val="single" w:color="D6DEE6" w:sz="4"/>
            </w:tcBorders>
            <w:shd w:fill="5B43B5" w:val="clear"/>
            <w:tcMar>
              <w:top w:type="dxa" w:w="100"/>
              <w:left w:type="dxa" w:w="120"/>
              <w:bottom w:type="dxa" w:w="100"/>
              <w:right w:type="dxa" w:w="120"/>
            </w:tcMar>
          </w:tcPr>
          <w:p>
            <w:pPr>
              <w:jc w:val="left"/>
            </w:pPr>
            <w:r>
              <w:rPr>
                <w:b/>
                <w:bCs/>
                <w:color w:val="FFFFFF"/>
                <w:sz w:val="19"/>
                <w:szCs w:val="19"/>
              </w:rPr>
              <w:t xml:space="preserve">Domain</w:t>
            </w:r>
          </w:p>
        </w:tc>
        <w:tc>
          <w:tcPr>
            <w:tcW w:type="dxa" w:w="1300"/>
            <w:tcBorders>
              <w:top w:val="single" w:color="D6DEE6" w:sz="4"/>
              <w:left w:val="single" w:color="D6DEE6" w:sz="4"/>
              <w:bottom w:val="single" w:color="D6DEE6" w:sz="4"/>
              <w:right w:val="single" w:color="D6DEE6" w:sz="4"/>
            </w:tcBorders>
            <w:shd w:fill="5B43B5" w:val="clear"/>
            <w:tcMar>
              <w:top w:type="dxa" w:w="100"/>
              <w:left w:type="dxa" w:w="120"/>
              <w:bottom w:type="dxa" w:w="100"/>
              <w:right w:type="dxa" w:w="120"/>
            </w:tcMar>
          </w:tcPr>
          <w:p>
            <w:pPr>
              <w:jc w:val="left"/>
            </w:pPr>
            <w:r>
              <w:rPr>
                <w:b/>
                <w:bCs/>
                <w:color w:val="FFFFFF"/>
                <w:sz w:val="19"/>
                <w:szCs w:val="19"/>
              </w:rPr>
              <w:t xml:space="preserve">Weight (approx)</w:t>
            </w:r>
          </w:p>
        </w:tc>
        <w:tc>
          <w:tcPr>
            <w:tcW w:type="dxa" w:w="1500"/>
            <w:tcBorders>
              <w:top w:val="single" w:color="D6DEE6" w:sz="4"/>
              <w:left w:val="single" w:color="D6DEE6" w:sz="4"/>
              <w:bottom w:val="single" w:color="D6DEE6" w:sz="4"/>
              <w:right w:val="single" w:color="D6DEE6" w:sz="4"/>
            </w:tcBorders>
            <w:shd w:fill="5B43B5" w:val="clear"/>
            <w:tcMar>
              <w:top w:type="dxa" w:w="100"/>
              <w:left w:type="dxa" w:w="120"/>
              <w:bottom w:type="dxa" w:w="100"/>
              <w:right w:type="dxa" w:w="120"/>
            </w:tcMar>
          </w:tcPr>
          <w:p>
            <w:pPr>
              <w:jc w:val="left"/>
            </w:pPr>
            <w:r>
              <w:rPr>
                <w:b/>
                <w:bCs/>
                <w:color w:val="FFFFFF"/>
                <w:sz w:val="19"/>
                <w:szCs w:val="19"/>
              </w:rPr>
              <w:t xml:space="preserve">Seed bank target</w:t>
            </w:r>
          </w:p>
        </w:tc>
      </w:tr>
      <w:tr>
        <w:tc>
          <w:tcPr>
            <w:tcW w:type="dxa" w:w="4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Cell function — physiology, endocrinology, biochemistry</w:t>
            </w:r>
          </w:p>
        </w:tc>
        <w:tc>
          <w:tcPr>
            <w:tcW w:type="dxa" w:w="1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30%</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300</w:t>
            </w:r>
          </w:p>
        </w:tc>
      </w:tr>
      <w:tr>
        <w:tc>
          <w:tcPr>
            <w:tcW w:type="dxa" w:w="4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Human structure — anatomy, embryology, genetics</w:t>
            </w:r>
          </w:p>
        </w:tc>
        <w:tc>
          <w:tcPr>
            <w:tcW w:type="dxa" w:w="1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25%</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250</w:t>
            </w:r>
          </w:p>
        </w:tc>
      </w:tr>
      <w:tr>
        <w:tc>
          <w:tcPr>
            <w:tcW w:type="dxa" w:w="4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Measurement &amp; manipulation — biophysics, epi, stats, data, pharmacology</w:t>
            </w:r>
          </w:p>
        </w:tc>
        <w:tc>
          <w:tcPr>
            <w:tcW w:type="dxa" w:w="1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20%</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200</w:t>
            </w:r>
          </w:p>
        </w:tc>
      </w:tr>
      <w:tr>
        <w:tc>
          <w:tcPr>
            <w:tcW w:type="dxa" w:w="4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Illness — immunology, microbiology, pathology, clinical management</w:t>
            </w:r>
          </w:p>
        </w:tc>
        <w:tc>
          <w:tcPr>
            <w:tcW w:type="dxa" w:w="1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25%</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250</w:t>
            </w:r>
          </w:p>
        </w:tc>
      </w:tr>
      <w:tr>
        <w:tc>
          <w:tcPr>
            <w:tcW w:type="dxa" w:w="4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TOTAL</w:t>
            </w:r>
          </w:p>
        </w:tc>
        <w:tc>
          <w:tcPr>
            <w:tcW w:type="dxa" w:w="1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100%</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1,000 SBAs</w:t>
            </w:r>
          </w:p>
        </w:tc>
      </w:tr>
    </w:tbl>
    <w:p>
      <w:pPr>
        <w:spacing w:after="100"/>
      </w:pPr>
      <w:r>
        <w:t xml:space="preserve"> </w:t>
      </w:r>
    </w:p>
    <w:p>
      <w:pPr>
        <w:pStyle w:val="Heading3"/>
        <w:spacing w:after="60" w:before="160"/>
      </w:pPr>
      <w:r>
        <w:rPr>
          <w:b/>
          <w:bCs/>
          <w:color w:val="0F2740"/>
          <w:sz w:val="22"/>
          <w:szCs w:val="22"/>
        </w:rPr>
        <w:t xml:space="preserve">Existing market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60"/>
      </w:tblGrid>
      <w:tr>
        <w:trPr>
          <w:tblHeader/>
        </w:trPr>
        <w:tc>
          <w:tcPr>
            <w:tcW w:type="dxa" w:w="2600"/>
            <w:tcBorders>
              <w:top w:val="single" w:color="D6DEE6" w:sz="4"/>
              <w:left w:val="single" w:color="D6DEE6" w:sz="4"/>
              <w:bottom w:val="single" w:color="D6DEE6" w:sz="4"/>
              <w:right w:val="single" w:color="D6DEE6" w:sz="4"/>
            </w:tcBorders>
            <w:shd w:fill="5B43B5" w:val="clear"/>
            <w:tcMar>
              <w:top w:type="dxa" w:w="100"/>
              <w:left w:type="dxa" w:w="120"/>
              <w:bottom w:type="dxa" w:w="100"/>
              <w:right w:type="dxa" w:w="120"/>
            </w:tcMar>
          </w:tcPr>
          <w:p>
            <w:pPr>
              <w:jc w:val="left"/>
            </w:pPr>
            <w:r>
              <w:rPr>
                <w:b/>
                <w:bCs/>
                <w:color w:val="FFFFFF"/>
                <w:sz w:val="19"/>
                <w:szCs w:val="19"/>
              </w:rPr>
              <w:t xml:space="preserve">Resource</w:t>
            </w:r>
          </w:p>
        </w:tc>
        <w:tc>
          <w:tcPr>
            <w:tcW w:type="dxa" w:w="3700"/>
            <w:tcBorders>
              <w:top w:val="single" w:color="D6DEE6" w:sz="4"/>
              <w:left w:val="single" w:color="D6DEE6" w:sz="4"/>
              <w:bottom w:val="single" w:color="D6DEE6" w:sz="4"/>
              <w:right w:val="single" w:color="D6DEE6" w:sz="4"/>
            </w:tcBorders>
            <w:shd w:fill="5B43B5" w:val="clear"/>
            <w:tcMar>
              <w:top w:type="dxa" w:w="100"/>
              <w:left w:type="dxa" w:w="120"/>
              <w:bottom w:type="dxa" w:w="100"/>
              <w:right w:type="dxa" w:w="120"/>
            </w:tcMar>
          </w:tcPr>
          <w:p>
            <w:pPr>
              <w:jc w:val="left"/>
            </w:pPr>
            <w:r>
              <w:rPr>
                <w:b/>
                <w:bCs/>
                <w:color w:val="FFFFFF"/>
                <w:sz w:val="19"/>
                <w:szCs w:val="19"/>
              </w:rPr>
              <w:t xml:space="preserve">Position</w:t>
            </w:r>
          </w:p>
        </w:tc>
        <w:tc>
          <w:tcPr>
            <w:tcW w:type="dxa" w:w="3060"/>
            <w:tcBorders>
              <w:top w:val="single" w:color="D6DEE6" w:sz="4"/>
              <w:left w:val="single" w:color="D6DEE6" w:sz="4"/>
              <w:bottom w:val="single" w:color="D6DEE6" w:sz="4"/>
              <w:right w:val="single" w:color="D6DEE6" w:sz="4"/>
            </w:tcBorders>
            <w:shd w:fill="5B43B5" w:val="clear"/>
            <w:tcMar>
              <w:top w:type="dxa" w:w="100"/>
              <w:left w:type="dxa" w:w="120"/>
              <w:bottom w:type="dxa" w:w="100"/>
              <w:right w:type="dxa" w:w="120"/>
            </w:tcMar>
          </w:tcPr>
          <w:p>
            <w:pPr>
              <w:jc w:val="left"/>
            </w:pPr>
            <w:r>
              <w:rPr>
                <w:b/>
                <w:bCs/>
                <w:color w:val="FFFFFF"/>
                <w:sz w:val="19"/>
                <w:szCs w:val="19"/>
              </w:rPr>
              <w:t xml:space="preserve">Pricing / note</w:t>
            </w:r>
          </w:p>
        </w:tc>
      </w:tr>
      <w:tr>
        <w:tc>
          <w:tcPr>
            <w:tcW w:type="dxa" w:w="26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StudyMRCOG / AceMRCOG</w:t>
            </w:r>
          </w:p>
        </w:tc>
        <w:tc>
          <w:tcPr>
            <w:tcW w:type="dxa" w:w="3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Bundle prep + live courses</w:t>
            </w:r>
          </w:p>
        </w:tc>
        <w:tc>
          <w:tcPr>
            <w:tcW w:type="dxa" w:w="30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£100–250</w:t>
            </w:r>
          </w:p>
        </w:tc>
      </w:tr>
      <w:tr>
        <w:tc>
          <w:tcPr>
            <w:tcW w:type="dxa" w:w="26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Pastest MRCOG</w:t>
            </w:r>
          </w:p>
        </w:tc>
        <w:tc>
          <w:tcPr>
            <w:tcW w:type="dxa" w:w="3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Q-bank</w:t>
            </w:r>
          </w:p>
        </w:tc>
        <w:tc>
          <w:tcPr>
            <w:tcW w:type="dxa" w:w="30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£90–180</w:t>
            </w:r>
          </w:p>
        </w:tc>
      </w:tr>
      <w:tr>
        <w:tc>
          <w:tcPr>
            <w:tcW w:type="dxa" w:w="26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BMJ OnExamination MRCOG</w:t>
            </w:r>
          </w:p>
        </w:tc>
        <w:tc>
          <w:tcPr>
            <w:tcW w:type="dxa" w:w="3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Established</w:t>
            </w:r>
          </w:p>
        </w:tc>
        <w:tc>
          <w:tcPr>
            <w:tcW w:type="dxa" w:w="30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£100–180</w:t>
            </w:r>
          </w:p>
        </w:tc>
      </w:tr>
      <w:tr>
        <w:tc>
          <w:tcPr>
            <w:tcW w:type="dxa" w:w="26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Uterio MRCOG</w:t>
            </w:r>
          </w:p>
        </w:tc>
        <w:tc>
          <w:tcPr>
            <w:tcW w:type="dxa" w:w="3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Modern app-first</w:t>
            </w:r>
          </w:p>
        </w:tc>
        <w:tc>
          <w:tcPr>
            <w:tcW w:type="dxa" w:w="30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£40–100</w:t>
            </w:r>
          </w:p>
        </w:tc>
      </w:tr>
    </w:tbl>
    <w:p>
      <w:pPr>
        <w:spacing w:after="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A12" w:sz="24"/>
              <w:left w:val="single" w:color="B07A12" w:sz="4"/>
              <w:bottom w:val="single" w:color="FFF4DC" w:sz="4"/>
              <w:right w:val="single" w:color="FFF4DC" w:sz="4"/>
            </w:tcBorders>
            <w:shd w:fill="FFF4DC" w:val="clear"/>
            <w:tcMar>
              <w:top w:type="dxa" w:w="160"/>
              <w:left w:type="dxa" w:w="200"/>
              <w:bottom w:type="dxa" w:w="160"/>
              <w:right w:type="dxa" w:w="200"/>
            </w:tcMar>
          </w:tcPr>
          <w:p>
            <w:pPr>
              <w:spacing w:after="60"/>
            </w:pPr>
            <w:r>
              <w:rPr>
                <w:b/>
                <w:bCs/>
                <w:color w:val="B07A12"/>
                <w:sz w:val="22"/>
                <w:szCs w:val="22"/>
              </w:rPr>
              <w:t xml:space="preserve">Network angle</w:t>
            </w:r>
          </w:p>
          <w:p>
            <w:pPr>
              <w:spacing w:after="0" w:line="300"/>
            </w:pPr>
            <w:r>
              <w:rPr>
                <w:color w:val="111827"/>
                <w:sz w:val="21"/>
                <w:szCs w:val="21"/>
              </w:rPr>
              <w:t xml:space="preserve">Recruit </w:t>
            </w:r>
            <w:r>
              <w:rPr>
                <w:b/>
                <w:bCs/>
                <w:color w:val="111827"/>
                <w:sz w:val="21"/>
                <w:szCs w:val="21"/>
              </w:rPr>
              <w:t xml:space="preserve">1 O&amp;G ST3+ trainee + 1 O&amp;G consultant willing to validate</w:t>
            </w:r>
            <w:r>
              <w:rPr>
                <w:color w:val="111827"/>
                <w:sz w:val="21"/>
                <w:szCs w:val="21"/>
              </w:rPr>
              <w:t xml:space="preserve">. This is a strong marketplace fit because O&amp;G IMG candidates are concentrated and high-WTP — a consultant-authored 'mastering anatomy of the pelvis' pack at £25 will sell.</w:t>
            </w:r>
          </w:p>
        </w:tc>
      </w:tr>
    </w:tbl>
    <w:p>
      <w:pPr>
        <w:spacing w:after="100"/>
      </w:pPr>
      <w:r>
        <w:t xml:space="preserve"> </w:t>
      </w:r>
    </w:p>
    <w:p>
      <w:r>
        <w:br w:type="page"/>
      </w:r>
    </w:p>
    <w:p>
      <w:pPr>
        <w:pStyle w:val="Heading1"/>
        <w:spacing w:after="160" w:before="360"/>
      </w:pPr>
      <w:r>
        <w:rPr>
          <w:b/>
          <w:bCs/>
          <w:color w:val="0F2740"/>
          <w:sz w:val="36"/>
          <w:szCs w:val="36"/>
        </w:rPr>
        <w:t xml:space="preserve">Tier 3 — Year-2 specialty depth (compact)</w:t>
      </w:r>
    </w:p>
    <w:p>
      <w:pPr>
        <w:spacing w:after="120" w:line="300"/>
      </w:pPr>
      <w:r>
        <w:rPr>
          <w:color w:val="111827"/>
          <w:sz w:val="21"/>
          <w:szCs w:val="21"/>
        </w:rPr>
        <w:t xml:space="preserve">These are smaller annual cohorts (200–1,500 each) but high-WTP and underserved by AI-native banks. The play here is </w:t>
      </w:r>
      <w:r>
        <w:rPr>
          <w:b/>
          <w:bCs/>
          <w:color w:val="111827"/>
          <w:sz w:val="21"/>
          <w:szCs w:val="21"/>
        </w:rPr>
        <w:t xml:space="preserve">marketplace-first</w:t>
      </w:r>
      <w:r>
        <w:rPr>
          <w:color w:val="111827"/>
          <w:sz w:val="21"/>
          <w:szCs w:val="21"/>
        </w:rPr>
        <w:t xml:space="preserve"> — invite specialty trainees to publish vetted packs rather than authoring centrally. You curate the quality bar; they author the content; revenue split is 30% you / 70% them.</w:t>
      </w:r>
    </w:p>
    <w:p>
      <w:r>
        <w:br w:type="page"/>
      </w:r>
    </w:p>
    <w:p>
      <w:pPr>
        <w:pStyle w:val="Heading1"/>
        <w:spacing w:after="120" w:before="320"/>
      </w:pPr>
      <w:r>
        <w:rPr>
          <w:b/>
          <w:bCs/>
          <w:color w:val="0F2740"/>
          <w:sz w:val="36"/>
          <w:szCs w:val="36"/>
        </w:rPr>
        <w:t xml:space="preserve">MRCP 2  </w:t>
      </w:r>
      <w:r>
        <w:rPr>
          <w:b w:val="false"/>
          <w:bCs w:val="false"/>
          <w:color w:val="5A647A"/>
          <w:sz w:val="28"/>
          <w:szCs w:val="28"/>
        </w:rPr>
        <w:t xml:space="preserve">— MRCP (UK) Part 2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647A" w:sz="24"/>
              <w:left w:val="single" w:color="5A647A" w:sz="4"/>
              <w:bottom w:val="single" w:color="EAF6F5" w:sz="4"/>
              <w:right w:val="single" w:color="EAF6F5" w:sz="4"/>
            </w:tcBorders>
            <w:shd w:fill="EAF6F5" w:val="clear"/>
            <w:tcMar>
              <w:top w:type="dxa" w:w="160"/>
              <w:left w:type="dxa" w:w="200"/>
              <w:bottom w:type="dxa" w:w="160"/>
              <w:right w:type="dxa" w:w="200"/>
            </w:tcMar>
          </w:tcPr>
          <w:p>
            <w:pPr>
              <w:spacing w:after="60"/>
            </w:pPr>
            <w:r>
              <w:rPr>
                <w:b/>
                <w:bCs/>
                <w:color w:val="5A647A"/>
                <w:sz w:val="22"/>
                <w:szCs w:val="22"/>
              </w:rPr>
              <w:t xml:space="preserve">At a glance</w:t>
            </w:r>
          </w:p>
          <w:p>
            <w:pPr>
              <w:spacing w:after="0" w:line="300"/>
            </w:pPr>
            <w:r>
              <w:rPr>
                <w:color w:val="111827"/>
                <w:sz w:val="21"/>
                <w:szCs w:val="21"/>
              </w:rPr>
              <w:t xml:space="preserve">Builds on MRCP Part 1 with applied internal medicine. </w:t>
            </w:r>
            <w:r>
              <w:rPr>
                <w:b/>
                <w:bCs/>
                <w:color w:val="111827"/>
                <w:sz w:val="21"/>
                <w:szCs w:val="21"/>
              </w:rPr>
              <w:t xml:space="preserve">2 papers × 100 best-of-five SBAs, 3h each</w:t>
            </w:r>
            <w:r>
              <w:rPr>
                <w:color w:val="111827"/>
                <w:sz w:val="21"/>
                <w:szCs w:val="21"/>
              </w:rPr>
              <w:t xml:space="preserve">. Image-rich. ~6,000–8,000 candidates. Same UK Internal Medicine curriculum, different difficulty.</w:t>
            </w:r>
          </w:p>
        </w:tc>
      </w:tr>
    </w:tbl>
    <w:p>
      <w:pPr>
        <w:spacing w:after="100"/>
      </w:pPr>
      <w:r>
        <w:t xml:space="preserve"> </w:t>
      </w:r>
    </w:p>
    <w:p>
      <w:pPr>
        <w:spacing w:after="120" w:line="300"/>
      </w:pPr>
      <w:r>
        <w:rPr>
          <w:b/>
          <w:bCs/>
          <w:color w:val="111827"/>
          <w:sz w:val="21"/>
          <w:szCs w:val="21"/>
        </w:rPr>
        <w:t xml:space="preserve">Curriculum source: </w:t>
      </w:r>
      <w:r>
        <w:rPr>
          <w:i/>
          <w:iCs/>
          <w:color w:val="111827"/>
          <w:sz w:val="21"/>
          <w:szCs w:val="21"/>
        </w:rPr>
        <w:t xml:space="preserve">Federation of Royal Colleges of Physicians (UK). Updated 2020 blueprint terminology aligned to UK Internal Medicine curriculum.</w:t>
      </w:r>
    </w:p>
    <w:p>
      <w:pPr>
        <w:pStyle w:val="Heading3"/>
        <w:spacing w:after="60" w:before="160"/>
      </w:pPr>
      <w:r>
        <w:rPr>
          <w:b/>
          <w:bCs/>
          <w:color w:val="0F2740"/>
          <w:sz w:val="22"/>
          <w:szCs w:val="22"/>
        </w:rPr>
        <w:t xml:space="preserve">Format &amp;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Aspect</w:t>
            </w:r>
          </w:p>
        </w:tc>
        <w:tc>
          <w:tcPr>
            <w:tcW w:type="dxa" w:w="716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Detail</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Body</w:t>
            </w:r>
          </w:p>
        </w:tc>
        <w:tc>
          <w:tcPr>
            <w:tcW w:type="dxa" w:w="7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Federation of Royal Colleges of Physicians (UK)</w:t>
            </w:r>
          </w:p>
        </w:tc>
      </w:tr>
      <w:tr>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Format</w:t>
            </w:r>
          </w:p>
        </w:tc>
        <w:tc>
          <w:tcPr>
            <w:tcW w:type="dxa" w:w="71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2 × 100 best-of-five SBAs (with images)</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Duration</w:t>
            </w:r>
          </w:p>
        </w:tc>
        <w:tc>
          <w:tcPr>
            <w:tcW w:type="dxa" w:w="7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3h per paper</w:t>
            </w:r>
          </w:p>
        </w:tc>
      </w:tr>
    </w:tbl>
    <w:p>
      <w:pPr>
        <w:spacing w:after="100"/>
      </w:pPr>
      <w:r>
        <w:t xml:space="preserve"> </w:t>
      </w:r>
    </w:p>
    <w:p>
      <w:pPr>
        <w:pStyle w:val="Heading3"/>
        <w:spacing w:after="60" w:before="160"/>
      </w:pPr>
      <w:r>
        <w:rPr>
          <w:b/>
          <w:bCs/>
          <w:color w:val="0F2740"/>
          <w:sz w:val="22"/>
          <w:szCs w:val="22"/>
        </w:rPr>
        <w:t xml:space="preserve">Domain blueprint (with suggested seed bank counts)</w:t>
      </w:r>
    </w:p>
    <w:p>
      <w:pPr>
        <w:spacing w:after="120" w:line="300"/>
      </w:pPr>
      <w:r>
        <w:rPr>
          <w:color w:val="111827"/>
          <w:sz w:val="21"/>
          <w:szCs w:val="21"/>
        </w:rPr>
        <w:t xml:space="preserve">Question counts are editorial recommendations for a launch-quality bank, calibrated to published exam weights and what the platform should cover. Adjust ratios to your network's specialty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300"/>
        <w:gridCol w:w="1500"/>
        <w:gridCol w:w="2060"/>
      </w:tblGrid>
      <w:tr>
        <w:trPr>
          <w:tblHeader/>
        </w:trPr>
        <w:tc>
          <w:tcPr>
            <w:tcW w:type="dxa" w:w="450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Domain</w:t>
            </w:r>
          </w:p>
        </w:tc>
        <w:tc>
          <w:tcPr>
            <w:tcW w:type="dxa" w:w="130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Weight (approx)</w:t>
            </w:r>
          </w:p>
        </w:tc>
        <w:tc>
          <w:tcPr>
            <w:tcW w:type="dxa" w:w="150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Seed bank target</w:t>
            </w:r>
          </w:p>
        </w:tc>
      </w:tr>
      <w:tr>
        <w:tc>
          <w:tcPr>
            <w:tcW w:type="dxa" w:w="4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Cardiology + Respiratory + Acute medicine</w:t>
            </w:r>
          </w:p>
        </w:tc>
        <w:tc>
          <w:tcPr>
            <w:tcW w:type="dxa" w:w="1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25%</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250</w:t>
            </w:r>
          </w:p>
        </w:tc>
      </w:tr>
      <w:tr>
        <w:tc>
          <w:tcPr>
            <w:tcW w:type="dxa" w:w="4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GI + Hepatology + Renal</w:t>
            </w:r>
          </w:p>
        </w:tc>
        <w:tc>
          <w:tcPr>
            <w:tcW w:type="dxa" w:w="1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20%</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200</w:t>
            </w:r>
          </w:p>
        </w:tc>
      </w:tr>
      <w:tr>
        <w:tc>
          <w:tcPr>
            <w:tcW w:type="dxa" w:w="4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Neuro + Endocrine + Rheum + Haem-Onc</w:t>
            </w:r>
          </w:p>
        </w:tc>
        <w:tc>
          <w:tcPr>
            <w:tcW w:type="dxa" w:w="1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30%</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300</w:t>
            </w:r>
          </w:p>
        </w:tc>
      </w:tr>
      <w:tr>
        <w:tc>
          <w:tcPr>
            <w:tcW w:type="dxa" w:w="4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Infectious Disease + Dermatology + ID + Geriatrics + Psych</w:t>
            </w:r>
          </w:p>
        </w:tc>
        <w:tc>
          <w:tcPr>
            <w:tcW w:type="dxa" w:w="1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15%</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150</w:t>
            </w:r>
          </w:p>
        </w:tc>
      </w:tr>
      <w:tr>
        <w:tc>
          <w:tcPr>
            <w:tcW w:type="dxa" w:w="4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Clinical Pharmacology + Statistics + Image interpretation</w:t>
            </w:r>
          </w:p>
        </w:tc>
        <w:tc>
          <w:tcPr>
            <w:tcW w:type="dxa" w:w="1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100</w:t>
            </w:r>
          </w:p>
        </w:tc>
      </w:tr>
      <w:tr>
        <w:tc>
          <w:tcPr>
            <w:tcW w:type="dxa" w:w="4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TOTAL</w:t>
            </w:r>
          </w:p>
        </w:tc>
        <w:tc>
          <w:tcPr>
            <w:tcW w:type="dxa" w:w="1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100%</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1,000 SBAs</w:t>
            </w:r>
          </w:p>
        </w:tc>
      </w:tr>
    </w:tbl>
    <w:p>
      <w:pPr>
        <w:spacing w:after="100"/>
      </w:pPr>
      <w:r>
        <w:t xml:space="preserve"> </w:t>
      </w:r>
    </w:p>
    <w:p>
      <w:pPr>
        <w:pStyle w:val="Heading3"/>
        <w:spacing w:after="60" w:before="160"/>
      </w:pPr>
      <w:r>
        <w:rPr>
          <w:b/>
          <w:bCs/>
          <w:color w:val="0F2740"/>
          <w:sz w:val="22"/>
          <w:szCs w:val="22"/>
        </w:rPr>
        <w:t xml:space="preserve">Existing market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60"/>
      </w:tblGrid>
      <w:tr>
        <w:trPr>
          <w:tblHeader/>
        </w:trPr>
        <w:tc>
          <w:tcPr>
            <w:tcW w:type="dxa" w:w="260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Resource</w:t>
            </w:r>
          </w:p>
        </w:tc>
        <w:tc>
          <w:tcPr>
            <w:tcW w:type="dxa" w:w="370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Position</w:t>
            </w:r>
          </w:p>
        </w:tc>
        <w:tc>
          <w:tcPr>
            <w:tcW w:type="dxa" w:w="306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Pricing / note</w:t>
            </w:r>
          </w:p>
        </w:tc>
      </w:tr>
      <w:tr>
        <w:tc>
          <w:tcPr>
            <w:tcW w:type="dxa" w:w="26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Pastest MRCP Part 2</w:t>
            </w:r>
          </w:p>
        </w:tc>
        <w:tc>
          <w:tcPr>
            <w:tcW w:type="dxa" w:w="3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Established</w:t>
            </w:r>
          </w:p>
        </w:tc>
        <w:tc>
          <w:tcPr>
            <w:tcW w:type="dxa" w:w="30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£100–180</w:t>
            </w:r>
          </w:p>
        </w:tc>
      </w:tr>
      <w:tr>
        <w:tc>
          <w:tcPr>
            <w:tcW w:type="dxa" w:w="26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Passmedicine MRCP 2</w:t>
            </w:r>
          </w:p>
        </w:tc>
        <w:tc>
          <w:tcPr>
            <w:tcW w:type="dxa" w:w="3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Knowledge Tutor</w:t>
            </w:r>
          </w:p>
        </w:tc>
        <w:tc>
          <w:tcPr>
            <w:tcW w:type="dxa" w:w="30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£50–80</w:t>
            </w:r>
          </w:p>
        </w:tc>
      </w:tr>
      <w:tr>
        <w:tc>
          <w:tcPr>
            <w:tcW w:type="dxa" w:w="26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Quesmed MRCP 2</w:t>
            </w:r>
          </w:p>
        </w:tc>
        <w:tc>
          <w:tcPr>
            <w:tcW w:type="dxa" w:w="3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App-first</w:t>
            </w:r>
          </w:p>
        </w:tc>
        <w:tc>
          <w:tcPr>
            <w:tcW w:type="dxa" w:w="30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From £14.99/mo</w:t>
            </w:r>
          </w:p>
        </w:tc>
      </w:tr>
    </w:tbl>
    <w:p>
      <w:pPr>
        <w:spacing w:after="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A12" w:sz="24"/>
              <w:left w:val="single" w:color="B07A12" w:sz="4"/>
              <w:bottom w:val="single" w:color="FFF4DC" w:sz="4"/>
              <w:right w:val="single" w:color="FFF4DC" w:sz="4"/>
            </w:tcBorders>
            <w:shd w:fill="FFF4DC" w:val="clear"/>
            <w:tcMar>
              <w:top w:type="dxa" w:w="160"/>
              <w:left w:type="dxa" w:w="200"/>
              <w:bottom w:type="dxa" w:w="160"/>
              <w:right w:type="dxa" w:w="200"/>
            </w:tcMar>
          </w:tcPr>
          <w:p>
            <w:pPr>
              <w:spacing w:after="60"/>
            </w:pPr>
            <w:r>
              <w:rPr>
                <w:b/>
                <w:bCs/>
                <w:color w:val="B07A12"/>
                <w:sz w:val="22"/>
                <w:szCs w:val="22"/>
              </w:rPr>
              <w:t xml:space="preserve">Network angle</w:t>
            </w:r>
          </w:p>
          <w:p>
            <w:pPr>
              <w:spacing w:after="0" w:line="300"/>
            </w:pPr>
            <w:r>
              <w:rPr>
                <w:color w:val="111827"/>
                <w:sz w:val="21"/>
                <w:szCs w:val="21"/>
              </w:rPr>
              <w:t xml:space="preserve">Recruit through marketplace — invite IMT trainees and core medical SpRs as creators.</w:t>
            </w:r>
          </w:p>
        </w:tc>
      </w:tr>
    </w:tbl>
    <w:p>
      <w:pPr>
        <w:spacing w:after="100"/>
      </w:pPr>
      <w:r>
        <w:t xml:space="preserve"> </w:t>
      </w:r>
    </w:p>
    <w:p>
      <w:r>
        <w:br w:type="page"/>
      </w:r>
    </w:p>
    <w:p>
      <w:pPr>
        <w:pStyle w:val="Heading1"/>
        <w:spacing w:after="120" w:before="320"/>
      </w:pPr>
      <w:r>
        <w:rPr>
          <w:b/>
          <w:bCs/>
          <w:color w:val="0F2740"/>
          <w:sz w:val="36"/>
          <w:szCs w:val="36"/>
        </w:rPr>
        <w:t xml:space="preserve">FRCR 1  </w:t>
      </w:r>
      <w:r>
        <w:rPr>
          <w:b w:val="false"/>
          <w:bCs w:val="false"/>
          <w:color w:val="5A647A"/>
          <w:sz w:val="28"/>
          <w:szCs w:val="28"/>
        </w:rPr>
        <w:t xml:space="preserve">— FRCR Part 1 — Anatomy + Physics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647A" w:sz="24"/>
              <w:left w:val="single" w:color="5A647A" w:sz="4"/>
              <w:bottom w:val="single" w:color="EAF6F5" w:sz="4"/>
              <w:right w:val="single" w:color="EAF6F5" w:sz="4"/>
            </w:tcBorders>
            <w:shd w:fill="EAF6F5" w:val="clear"/>
            <w:tcMar>
              <w:top w:type="dxa" w:w="160"/>
              <w:left w:type="dxa" w:w="200"/>
              <w:bottom w:type="dxa" w:w="160"/>
              <w:right w:type="dxa" w:w="200"/>
            </w:tcMar>
          </w:tcPr>
          <w:p>
            <w:pPr>
              <w:spacing w:after="60"/>
            </w:pPr>
            <w:r>
              <w:rPr>
                <w:b/>
                <w:bCs/>
                <w:color w:val="5A647A"/>
                <w:sz w:val="22"/>
                <w:szCs w:val="22"/>
              </w:rPr>
              <w:t xml:space="preserve">At a glance</w:t>
            </w:r>
          </w:p>
          <w:p>
            <w:pPr>
              <w:spacing w:after="0" w:line="300"/>
            </w:pPr>
            <w:r>
              <w:rPr>
                <w:color w:val="111827"/>
                <w:sz w:val="21"/>
                <w:szCs w:val="21"/>
              </w:rPr>
              <w:t xml:space="preserve">Specialty written exam for radiology trainees. </w:t>
            </w:r>
            <w:r>
              <w:rPr>
                <w:b/>
                <w:bCs/>
                <w:color w:val="111827"/>
                <w:sz w:val="21"/>
                <w:szCs w:val="21"/>
              </w:rPr>
              <w:t xml:space="preserve">Two modules: Anatomy (100 image MCQs) + Physics (40 questions × 5 statements = 200 statements)</w:t>
            </w:r>
            <w:r>
              <w:rPr>
                <w:color w:val="111827"/>
                <w:sz w:val="21"/>
                <w:szCs w:val="21"/>
              </w:rPr>
              <w:t xml:space="preserve">. ~500 candidates. Highly visual — lean into multimodal capture and image-based generation.</w:t>
            </w:r>
          </w:p>
        </w:tc>
      </w:tr>
    </w:tbl>
    <w:p>
      <w:pPr>
        <w:spacing w:after="100"/>
      </w:pPr>
      <w:r>
        <w:t xml:space="preserve"> </w:t>
      </w:r>
    </w:p>
    <w:p>
      <w:pPr>
        <w:spacing w:after="120" w:line="300"/>
      </w:pPr>
      <w:r>
        <w:rPr>
          <w:b/>
          <w:bCs/>
          <w:color w:val="111827"/>
          <w:sz w:val="21"/>
          <w:szCs w:val="21"/>
        </w:rPr>
        <w:t xml:space="preserve">Curriculum source: </w:t>
      </w:r>
      <w:r>
        <w:rPr>
          <w:i/>
          <w:iCs/>
          <w:color w:val="111827"/>
          <w:sz w:val="21"/>
          <w:szCs w:val="21"/>
        </w:rPr>
        <w:t xml:space="preserve">Royal College of Radiologists (RCR) — FRCR Part 1 (CR1) Purpose of Assessment Statements + specimen questions.</w:t>
      </w:r>
    </w:p>
    <w:p>
      <w:pPr>
        <w:pStyle w:val="Heading3"/>
        <w:spacing w:after="60" w:before="160"/>
      </w:pPr>
      <w:r>
        <w:rPr>
          <w:b/>
          <w:bCs/>
          <w:color w:val="0F2740"/>
          <w:sz w:val="22"/>
          <w:szCs w:val="22"/>
        </w:rPr>
        <w:t xml:space="preserve">Format &amp;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Aspect</w:t>
            </w:r>
          </w:p>
        </w:tc>
        <w:tc>
          <w:tcPr>
            <w:tcW w:type="dxa" w:w="716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Detail</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Body</w:t>
            </w:r>
          </w:p>
        </w:tc>
        <w:tc>
          <w:tcPr>
            <w:tcW w:type="dxa" w:w="7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Royal College of Radiologists (RCR)</w:t>
            </w:r>
          </w:p>
        </w:tc>
      </w:tr>
      <w:tr>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Format</w:t>
            </w:r>
          </w:p>
        </w:tc>
        <w:tc>
          <w:tcPr>
            <w:tcW w:type="dxa" w:w="71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Anatomy module: 100 image-based questions (Assess software). Physics module: 40 stems × 5 T/F statements (Speedwell)</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Duration</w:t>
            </w:r>
          </w:p>
        </w:tc>
        <w:tc>
          <w:tcPr>
            <w:tcW w:type="dxa" w:w="7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Anatomy ~90 min image session; Physics 2h</w:t>
            </w:r>
          </w:p>
        </w:tc>
      </w:tr>
    </w:tbl>
    <w:p>
      <w:pPr>
        <w:spacing w:after="100"/>
      </w:pPr>
      <w:r>
        <w:t xml:space="preserve"> </w:t>
      </w:r>
    </w:p>
    <w:p>
      <w:pPr>
        <w:pStyle w:val="Heading3"/>
        <w:spacing w:after="60" w:before="160"/>
      </w:pPr>
      <w:r>
        <w:rPr>
          <w:b/>
          <w:bCs/>
          <w:color w:val="0F2740"/>
          <w:sz w:val="22"/>
          <w:szCs w:val="22"/>
        </w:rPr>
        <w:t xml:space="preserve">Domain blueprint (with suggested seed bank counts)</w:t>
      </w:r>
    </w:p>
    <w:p>
      <w:pPr>
        <w:spacing w:after="120" w:line="300"/>
      </w:pPr>
      <w:r>
        <w:rPr>
          <w:color w:val="111827"/>
          <w:sz w:val="21"/>
          <w:szCs w:val="21"/>
        </w:rPr>
        <w:t xml:space="preserve">Question counts are editorial recommendations for a launch-quality bank, calibrated to published exam weights and what the platform should cover. Adjust ratios to your network's specialty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300"/>
        <w:gridCol w:w="1500"/>
        <w:gridCol w:w="2060"/>
      </w:tblGrid>
      <w:tr>
        <w:trPr>
          <w:tblHeader/>
        </w:trPr>
        <w:tc>
          <w:tcPr>
            <w:tcW w:type="dxa" w:w="450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Module</w:t>
            </w:r>
          </w:p>
        </w:tc>
        <w:tc>
          <w:tcPr>
            <w:tcW w:type="dxa" w:w="130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Weight</w:t>
            </w:r>
          </w:p>
        </w:tc>
        <w:tc>
          <w:tcPr>
            <w:tcW w:type="dxa" w:w="150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Seed bank target</w:t>
            </w:r>
          </w:p>
        </w:tc>
      </w:tr>
      <w:tr>
        <w:tc>
          <w:tcPr>
            <w:tcW w:type="dxa" w:w="4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Anatomy — head &amp; neck</w:t>
            </w:r>
          </w:p>
        </w:tc>
        <w:tc>
          <w:tcPr>
            <w:tcW w:type="dxa" w:w="1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20%</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100 image-MCQs</w:t>
            </w:r>
          </w:p>
        </w:tc>
      </w:tr>
      <w:tr>
        <w:tc>
          <w:tcPr>
            <w:tcW w:type="dxa" w:w="4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Anatomy — thorax + cardiac</w:t>
            </w:r>
          </w:p>
        </w:tc>
        <w:tc>
          <w:tcPr>
            <w:tcW w:type="dxa" w:w="1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15%</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75</w:t>
            </w:r>
          </w:p>
        </w:tc>
      </w:tr>
      <w:tr>
        <w:tc>
          <w:tcPr>
            <w:tcW w:type="dxa" w:w="4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Anatomy — abdomen + pelvis</w:t>
            </w:r>
          </w:p>
        </w:tc>
        <w:tc>
          <w:tcPr>
            <w:tcW w:type="dxa" w:w="1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20%</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100</w:t>
            </w:r>
          </w:p>
        </w:tc>
      </w:tr>
      <w:tr>
        <w:tc>
          <w:tcPr>
            <w:tcW w:type="dxa" w:w="4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Anatomy — MSK + neuro</w:t>
            </w:r>
          </w:p>
        </w:tc>
        <w:tc>
          <w:tcPr>
            <w:tcW w:type="dxa" w:w="1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20%</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100</w:t>
            </w:r>
          </w:p>
        </w:tc>
      </w:tr>
      <w:tr>
        <w:tc>
          <w:tcPr>
            <w:tcW w:type="dxa" w:w="4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Anatomy — vascular + paeds</w:t>
            </w:r>
          </w:p>
        </w:tc>
        <w:tc>
          <w:tcPr>
            <w:tcW w:type="dxa" w:w="1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50</w:t>
            </w:r>
          </w:p>
        </w:tc>
      </w:tr>
      <w:tr>
        <w:tc>
          <w:tcPr>
            <w:tcW w:type="dxa" w:w="4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Anatomy — cross-sectional + advanced</w:t>
            </w:r>
          </w:p>
        </w:tc>
        <w:tc>
          <w:tcPr>
            <w:tcW w:type="dxa" w:w="1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15%</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75</w:t>
            </w:r>
          </w:p>
        </w:tc>
      </w:tr>
      <w:tr>
        <w:tc>
          <w:tcPr>
            <w:tcW w:type="dxa" w:w="4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Physics — radiation production + interaction</w:t>
            </w:r>
          </w:p>
        </w:tc>
        <w:tc>
          <w:tcPr>
            <w:tcW w:type="dxa" w:w="1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20%</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60 statements</w:t>
            </w:r>
          </w:p>
        </w:tc>
      </w:tr>
      <w:tr>
        <w:tc>
          <w:tcPr>
            <w:tcW w:type="dxa" w:w="4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Physics — image formation + quality</w:t>
            </w:r>
          </w:p>
        </w:tc>
        <w:tc>
          <w:tcPr>
            <w:tcW w:type="dxa" w:w="1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20%</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60</w:t>
            </w:r>
          </w:p>
        </w:tc>
      </w:tr>
      <w:tr>
        <w:tc>
          <w:tcPr>
            <w:tcW w:type="dxa" w:w="4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Physics — CT + MRI + US + nuclear</w:t>
            </w:r>
          </w:p>
        </w:tc>
        <w:tc>
          <w:tcPr>
            <w:tcW w:type="dxa" w:w="1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30%</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90</w:t>
            </w:r>
          </w:p>
        </w:tc>
      </w:tr>
      <w:tr>
        <w:tc>
          <w:tcPr>
            <w:tcW w:type="dxa" w:w="4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Physics — radiation safety + dose + statistics</w:t>
            </w:r>
          </w:p>
        </w:tc>
        <w:tc>
          <w:tcPr>
            <w:tcW w:type="dxa" w:w="1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30%</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90</w:t>
            </w:r>
          </w:p>
        </w:tc>
      </w:tr>
      <w:tr>
        <w:tc>
          <w:tcPr>
            <w:tcW w:type="dxa" w:w="4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TOTAL</w:t>
            </w:r>
          </w:p>
        </w:tc>
        <w:tc>
          <w:tcPr>
            <w:tcW w:type="dxa" w:w="1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100%</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Anatomy 500 + Physics 300</w:t>
            </w:r>
          </w:p>
        </w:tc>
      </w:tr>
    </w:tbl>
    <w:p>
      <w:pPr>
        <w:spacing w:after="100"/>
      </w:pPr>
      <w:r>
        <w:t xml:space="preserve"> </w:t>
      </w:r>
    </w:p>
    <w:p>
      <w:pPr>
        <w:pStyle w:val="Heading3"/>
        <w:spacing w:after="60" w:before="160"/>
      </w:pPr>
      <w:r>
        <w:rPr>
          <w:b/>
          <w:bCs/>
          <w:color w:val="0F2740"/>
          <w:sz w:val="22"/>
          <w:szCs w:val="22"/>
        </w:rPr>
        <w:t xml:space="preserve">Existing market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60"/>
      </w:tblGrid>
      <w:tr>
        <w:trPr>
          <w:tblHeader/>
        </w:trPr>
        <w:tc>
          <w:tcPr>
            <w:tcW w:type="dxa" w:w="260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Resource</w:t>
            </w:r>
          </w:p>
        </w:tc>
        <w:tc>
          <w:tcPr>
            <w:tcW w:type="dxa" w:w="370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Position</w:t>
            </w:r>
          </w:p>
        </w:tc>
        <w:tc>
          <w:tcPr>
            <w:tcW w:type="dxa" w:w="306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Pricing / note</w:t>
            </w:r>
          </w:p>
        </w:tc>
      </w:tr>
      <w:tr>
        <w:tc>
          <w:tcPr>
            <w:tcW w:type="dxa" w:w="26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Radiology Cafe</w:t>
            </w:r>
          </w:p>
        </w:tc>
        <w:tc>
          <w:tcPr>
            <w:tcW w:type="dxa" w:w="3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Free educational, established</w:t>
            </w:r>
          </w:p>
        </w:tc>
        <w:tc>
          <w:tcPr>
            <w:tcW w:type="dxa" w:w="30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Free</w:t>
            </w:r>
          </w:p>
        </w:tc>
      </w:tr>
      <w:tr>
        <w:tc>
          <w:tcPr>
            <w:tcW w:type="dxa" w:w="26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Radiology Vibes</w:t>
            </w:r>
          </w:p>
        </w:tc>
        <w:tc>
          <w:tcPr>
            <w:tcW w:type="dxa" w:w="3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Online learning platform</w:t>
            </w:r>
          </w:p>
        </w:tc>
        <w:tc>
          <w:tcPr>
            <w:tcW w:type="dxa" w:w="30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Subscription</w:t>
            </w:r>
          </w:p>
        </w:tc>
      </w:tr>
      <w:tr>
        <w:tc>
          <w:tcPr>
            <w:tcW w:type="dxa" w:w="26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Pastest / RadiologyVibes</w:t>
            </w:r>
          </w:p>
        </w:tc>
        <w:tc>
          <w:tcPr>
            <w:tcW w:type="dxa" w:w="3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Bundles</w:t>
            </w:r>
          </w:p>
        </w:tc>
        <w:tc>
          <w:tcPr>
            <w:tcW w:type="dxa" w:w="30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Variable</w:t>
            </w:r>
          </w:p>
        </w:tc>
      </w:tr>
      <w:tr>
        <w:tc>
          <w:tcPr>
            <w:tcW w:type="dxa" w:w="26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RCR specimen questions</w:t>
            </w:r>
          </w:p>
        </w:tc>
        <w:tc>
          <w:tcPr>
            <w:tcW w:type="dxa" w:w="3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Official</w:t>
            </w:r>
          </w:p>
        </w:tc>
        <w:tc>
          <w:tcPr>
            <w:tcW w:type="dxa" w:w="30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Free</w:t>
            </w:r>
          </w:p>
        </w:tc>
      </w:tr>
    </w:tbl>
    <w:p>
      <w:pPr>
        <w:spacing w:after="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A12" w:sz="24"/>
              <w:left w:val="single" w:color="B07A12" w:sz="4"/>
              <w:bottom w:val="single" w:color="FFF4DC" w:sz="4"/>
              <w:right w:val="single" w:color="FFF4DC" w:sz="4"/>
            </w:tcBorders>
            <w:shd w:fill="FFF4DC" w:val="clear"/>
            <w:tcMar>
              <w:top w:type="dxa" w:w="160"/>
              <w:left w:type="dxa" w:w="200"/>
              <w:bottom w:type="dxa" w:w="160"/>
              <w:right w:type="dxa" w:w="200"/>
            </w:tcMar>
          </w:tcPr>
          <w:p>
            <w:pPr>
              <w:spacing w:after="60"/>
            </w:pPr>
            <w:r>
              <w:rPr>
                <w:b/>
                <w:bCs/>
                <w:color w:val="B07A12"/>
                <w:sz w:val="22"/>
                <w:szCs w:val="22"/>
              </w:rPr>
              <w:t xml:space="preserve">Network angle</w:t>
            </w:r>
          </w:p>
          <w:p>
            <w:pPr>
              <w:spacing w:after="0" w:line="300"/>
            </w:pPr>
            <w:r>
              <w:rPr>
                <w:color w:val="111827"/>
                <w:sz w:val="21"/>
                <w:szCs w:val="21"/>
              </w:rPr>
              <w:t xml:space="preserve">Imaging banks are content-heavy; partner with one ST3+ radiology trainee and licence a small bank of </w:t>
            </w:r>
            <w:r>
              <w:rPr>
                <w:b/>
                <w:bCs/>
                <w:color w:val="111827"/>
                <w:sz w:val="21"/>
                <w:szCs w:val="21"/>
              </w:rPr>
              <w:t xml:space="preserve">anonymised teaching images</w:t>
            </w:r>
            <w:r>
              <w:rPr>
                <w:color w:val="111827"/>
                <w:sz w:val="21"/>
                <w:szCs w:val="21"/>
              </w:rPr>
              <w:t xml:space="preserve"> through your network or use openly-licensed image collections (Radiopaedia has CC-BY-SA tiers).</w:t>
            </w:r>
          </w:p>
        </w:tc>
      </w:tr>
    </w:tbl>
    <w:p>
      <w:pPr>
        <w:spacing w:after="100"/>
      </w:pPr>
      <w:r>
        <w:t xml:space="preserve"> </w:t>
      </w:r>
    </w:p>
    <w:p>
      <w:r>
        <w:br w:type="page"/>
      </w:r>
    </w:p>
    <w:p>
      <w:pPr>
        <w:pStyle w:val="Heading1"/>
        <w:spacing w:after="120" w:before="320"/>
      </w:pPr>
      <w:r>
        <w:rPr>
          <w:b/>
          <w:bCs/>
          <w:color w:val="0F2740"/>
          <w:sz w:val="36"/>
          <w:szCs w:val="36"/>
        </w:rPr>
        <w:t xml:space="preserve">MRCOG 2  </w:t>
      </w:r>
      <w:r>
        <w:rPr>
          <w:b w:val="false"/>
          <w:bCs w:val="false"/>
          <w:color w:val="5A647A"/>
          <w:sz w:val="28"/>
          <w:szCs w:val="28"/>
        </w:rPr>
        <w:t xml:space="preserve">— MRCOG Part 2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647A" w:sz="24"/>
              <w:left w:val="single" w:color="5A647A" w:sz="4"/>
              <w:bottom w:val="single" w:color="EAF6F5" w:sz="4"/>
              <w:right w:val="single" w:color="EAF6F5" w:sz="4"/>
            </w:tcBorders>
            <w:shd w:fill="EAF6F5" w:val="clear"/>
            <w:tcMar>
              <w:top w:type="dxa" w:w="160"/>
              <w:left w:type="dxa" w:w="200"/>
              <w:bottom w:type="dxa" w:w="160"/>
              <w:right w:type="dxa" w:w="200"/>
            </w:tcMar>
          </w:tcPr>
          <w:p>
            <w:pPr>
              <w:spacing w:after="60"/>
            </w:pPr>
            <w:r>
              <w:rPr>
                <w:b/>
                <w:bCs/>
                <w:color w:val="5A647A"/>
                <w:sz w:val="22"/>
                <w:szCs w:val="22"/>
              </w:rPr>
              <w:t xml:space="preserve">At a glance</w:t>
            </w:r>
          </w:p>
          <w:p>
            <w:pPr>
              <w:spacing w:after="0" w:line="300"/>
            </w:pPr>
            <w:r>
              <w:rPr>
                <w:color w:val="111827"/>
                <w:sz w:val="21"/>
                <w:szCs w:val="21"/>
              </w:rPr>
              <w:t xml:space="preserve">Application-focused written; tests management of clinical scenarios in O&amp;G. ~1,000 UK + IMGs. Heavy emphasis on RCOG Green-top guidelines.</w:t>
            </w:r>
          </w:p>
        </w:tc>
      </w:tr>
    </w:tbl>
    <w:p>
      <w:pPr>
        <w:spacing w:after="100"/>
      </w:pPr>
      <w:r>
        <w:t xml:space="preserve"> </w:t>
      </w:r>
    </w:p>
    <w:p>
      <w:pPr>
        <w:spacing w:after="120" w:line="300"/>
      </w:pPr>
      <w:r>
        <w:rPr>
          <w:b/>
          <w:bCs/>
          <w:color w:val="111827"/>
          <w:sz w:val="21"/>
          <w:szCs w:val="21"/>
        </w:rPr>
        <w:t xml:space="preserve">Curriculum source: </w:t>
      </w:r>
      <w:r>
        <w:rPr>
          <w:i/>
          <w:iCs/>
          <w:color w:val="111827"/>
          <w:sz w:val="21"/>
          <w:szCs w:val="21"/>
        </w:rPr>
        <w:t xml:space="preserve">RCOG Part 2 syllabus + 14 RCOG modules.</w:t>
      </w:r>
    </w:p>
    <w:p>
      <w:pPr>
        <w:pStyle w:val="Heading3"/>
        <w:spacing w:after="60" w:before="160"/>
      </w:pPr>
      <w:r>
        <w:rPr>
          <w:b/>
          <w:bCs/>
          <w:color w:val="0F2740"/>
          <w:sz w:val="22"/>
          <w:szCs w:val="22"/>
        </w:rPr>
        <w:t xml:space="preserve">Format &amp;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Aspect</w:t>
            </w:r>
          </w:p>
        </w:tc>
        <w:tc>
          <w:tcPr>
            <w:tcW w:type="dxa" w:w="716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Detail</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Body</w:t>
            </w:r>
          </w:p>
        </w:tc>
        <w:tc>
          <w:tcPr>
            <w:tcW w:type="dxa" w:w="7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RCOG</w:t>
            </w:r>
          </w:p>
        </w:tc>
      </w:tr>
      <w:tr>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Format</w:t>
            </w:r>
          </w:p>
        </w:tc>
        <w:tc>
          <w:tcPr>
            <w:tcW w:type="dxa" w:w="71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2 papers — SBAs + EMQs</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Duration</w:t>
            </w:r>
          </w:p>
        </w:tc>
        <w:tc>
          <w:tcPr>
            <w:tcW w:type="dxa" w:w="7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Part 2 written runs ~3.5h total</w:t>
            </w:r>
          </w:p>
        </w:tc>
      </w:tr>
    </w:tbl>
    <w:p>
      <w:pPr>
        <w:spacing w:after="100"/>
      </w:pPr>
      <w:r>
        <w:t xml:space="preserve"> </w:t>
      </w:r>
    </w:p>
    <w:p>
      <w:pPr>
        <w:pStyle w:val="Heading3"/>
        <w:spacing w:after="60" w:before="160"/>
      </w:pPr>
      <w:r>
        <w:rPr>
          <w:b/>
          <w:bCs/>
          <w:color w:val="0F2740"/>
          <w:sz w:val="22"/>
          <w:szCs w:val="22"/>
        </w:rPr>
        <w:t xml:space="preserve">Domain blueprint (with suggested seed bank counts)</w:t>
      </w:r>
    </w:p>
    <w:p>
      <w:pPr>
        <w:spacing w:after="120" w:line="300"/>
      </w:pPr>
      <w:r>
        <w:rPr>
          <w:color w:val="111827"/>
          <w:sz w:val="21"/>
          <w:szCs w:val="21"/>
        </w:rPr>
        <w:t xml:space="preserve">Question counts are editorial recommendations for a launch-quality bank, calibrated to published exam weights and what the platform should cover. Adjust ratios to your network's specialty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300"/>
        <w:gridCol w:w="1500"/>
        <w:gridCol w:w="2060"/>
      </w:tblGrid>
      <w:tr>
        <w:trPr>
          <w:tblHeader/>
        </w:trPr>
        <w:tc>
          <w:tcPr>
            <w:tcW w:type="dxa" w:w="450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Module domain</w:t>
            </w:r>
          </w:p>
        </w:tc>
        <w:tc>
          <w:tcPr>
            <w:tcW w:type="dxa" w:w="130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Weight</w:t>
            </w:r>
          </w:p>
        </w:tc>
        <w:tc>
          <w:tcPr>
            <w:tcW w:type="dxa" w:w="150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Seed bank target</w:t>
            </w:r>
          </w:p>
        </w:tc>
      </w:tr>
      <w:tr>
        <w:tc>
          <w:tcPr>
            <w:tcW w:type="dxa" w:w="4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Maternal Medicine + Antenatal</w:t>
            </w:r>
          </w:p>
        </w:tc>
        <w:tc>
          <w:tcPr>
            <w:tcW w:type="dxa" w:w="1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30%</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250</w:t>
            </w:r>
          </w:p>
        </w:tc>
      </w:tr>
      <w:tr>
        <w:tc>
          <w:tcPr>
            <w:tcW w:type="dxa" w:w="4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Labour + Intrapartum + Postnatal</w:t>
            </w:r>
          </w:p>
        </w:tc>
        <w:tc>
          <w:tcPr>
            <w:tcW w:type="dxa" w:w="1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25%</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200</w:t>
            </w:r>
          </w:p>
        </w:tc>
      </w:tr>
      <w:tr>
        <w:tc>
          <w:tcPr>
            <w:tcW w:type="dxa" w:w="4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Gynaecology + Subspecialty (Onco, Repro Med, Urogyn)</w:t>
            </w:r>
          </w:p>
        </w:tc>
        <w:tc>
          <w:tcPr>
            <w:tcW w:type="dxa" w:w="1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25%</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200</w:t>
            </w:r>
          </w:p>
        </w:tc>
      </w:tr>
      <w:tr>
        <w:tc>
          <w:tcPr>
            <w:tcW w:type="dxa" w:w="4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Sexual Health + Family Planning + Public Health</w:t>
            </w:r>
          </w:p>
        </w:tc>
        <w:tc>
          <w:tcPr>
            <w:tcW w:type="dxa" w:w="1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10%</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80</w:t>
            </w:r>
          </w:p>
        </w:tc>
      </w:tr>
      <w:tr>
        <w:tc>
          <w:tcPr>
            <w:tcW w:type="dxa" w:w="4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Ethics + Communication + Management</w:t>
            </w:r>
          </w:p>
        </w:tc>
        <w:tc>
          <w:tcPr>
            <w:tcW w:type="dxa" w:w="1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80</w:t>
            </w:r>
          </w:p>
        </w:tc>
      </w:tr>
      <w:tr>
        <w:tc>
          <w:tcPr>
            <w:tcW w:type="dxa" w:w="4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TOTAL</w:t>
            </w:r>
          </w:p>
        </w:tc>
        <w:tc>
          <w:tcPr>
            <w:tcW w:type="dxa" w:w="1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100%</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810 SBAs/EMQs</w:t>
            </w:r>
          </w:p>
        </w:tc>
      </w:tr>
    </w:tbl>
    <w:p>
      <w:pPr>
        <w:spacing w:after="100"/>
      </w:pPr>
      <w:r>
        <w:t xml:space="preserve"> </w:t>
      </w:r>
    </w:p>
    <w:p>
      <w:pPr>
        <w:pStyle w:val="Heading3"/>
        <w:spacing w:after="60" w:before="160"/>
      </w:pPr>
      <w:r>
        <w:rPr>
          <w:b/>
          <w:bCs/>
          <w:color w:val="0F2740"/>
          <w:sz w:val="22"/>
          <w:szCs w:val="22"/>
        </w:rPr>
        <w:t xml:space="preserve">Existing market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60"/>
      </w:tblGrid>
      <w:tr>
        <w:trPr>
          <w:tblHeader/>
        </w:trPr>
        <w:tc>
          <w:tcPr>
            <w:tcW w:type="dxa" w:w="260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Resource</w:t>
            </w:r>
          </w:p>
        </w:tc>
        <w:tc>
          <w:tcPr>
            <w:tcW w:type="dxa" w:w="370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Position</w:t>
            </w:r>
          </w:p>
        </w:tc>
        <w:tc>
          <w:tcPr>
            <w:tcW w:type="dxa" w:w="306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Pricing / note</w:t>
            </w:r>
          </w:p>
        </w:tc>
      </w:tr>
      <w:tr>
        <w:tc>
          <w:tcPr>
            <w:tcW w:type="dxa" w:w="26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StudyMRCOG</w:t>
            </w:r>
          </w:p>
        </w:tc>
        <w:tc>
          <w:tcPr>
            <w:tcW w:type="dxa" w:w="3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Bundles</w:t>
            </w:r>
          </w:p>
        </w:tc>
        <w:tc>
          <w:tcPr>
            <w:tcW w:type="dxa" w:w="30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£200+</w:t>
            </w:r>
          </w:p>
        </w:tc>
      </w:tr>
      <w:tr>
        <w:tc>
          <w:tcPr>
            <w:tcW w:type="dxa" w:w="26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Pastest MRCOG 2</w:t>
            </w:r>
          </w:p>
        </w:tc>
        <w:tc>
          <w:tcPr>
            <w:tcW w:type="dxa" w:w="3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Q-bank</w:t>
            </w:r>
          </w:p>
        </w:tc>
        <w:tc>
          <w:tcPr>
            <w:tcW w:type="dxa" w:w="30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£100–200</w:t>
            </w:r>
          </w:p>
        </w:tc>
      </w:tr>
    </w:tbl>
    <w:p>
      <w:pPr>
        <w:spacing w:after="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A12" w:sz="24"/>
              <w:left w:val="single" w:color="B07A12" w:sz="4"/>
              <w:bottom w:val="single" w:color="FFF4DC" w:sz="4"/>
              <w:right w:val="single" w:color="FFF4DC" w:sz="4"/>
            </w:tcBorders>
            <w:shd w:fill="FFF4DC" w:val="clear"/>
            <w:tcMar>
              <w:top w:type="dxa" w:w="160"/>
              <w:left w:type="dxa" w:w="200"/>
              <w:bottom w:type="dxa" w:w="160"/>
              <w:right w:type="dxa" w:w="200"/>
            </w:tcMar>
          </w:tcPr>
          <w:p>
            <w:pPr>
              <w:spacing w:after="60"/>
            </w:pPr>
            <w:r>
              <w:rPr>
                <w:b/>
                <w:bCs/>
                <w:color w:val="B07A12"/>
                <w:sz w:val="22"/>
                <w:szCs w:val="22"/>
              </w:rPr>
              <w:t xml:space="preserve">Network angle</w:t>
            </w:r>
          </w:p>
          <w:p>
            <w:pPr>
              <w:spacing w:after="0" w:line="300"/>
            </w:pPr>
            <w:r>
              <w:rPr>
                <w:color w:val="111827"/>
                <w:sz w:val="21"/>
                <w:szCs w:val="21"/>
              </w:rPr>
              <w:t xml:space="preserve">Marketplace-led — your O&amp;G consultant network is the value here.</w:t>
            </w:r>
          </w:p>
        </w:tc>
      </w:tr>
    </w:tbl>
    <w:p>
      <w:pPr>
        <w:spacing w:after="100"/>
      </w:pPr>
      <w:r>
        <w:t xml:space="preserve"> </w:t>
      </w:r>
    </w:p>
    <w:p>
      <w:r>
        <w:br w:type="page"/>
      </w:r>
    </w:p>
    <w:p>
      <w:pPr>
        <w:pStyle w:val="Heading1"/>
        <w:spacing w:after="120" w:before="320"/>
      </w:pPr>
      <w:r>
        <w:rPr>
          <w:b/>
          <w:bCs/>
          <w:color w:val="0F2740"/>
          <w:sz w:val="36"/>
          <w:szCs w:val="36"/>
        </w:rPr>
        <w:t xml:space="preserve">MRCPCH  </w:t>
      </w:r>
      <w:r>
        <w:rPr>
          <w:b w:val="false"/>
          <w:bCs w:val="false"/>
          <w:color w:val="5A647A"/>
          <w:sz w:val="28"/>
          <w:szCs w:val="28"/>
        </w:rPr>
        <w:t xml:space="preserve">— MRCPCH — FOP / TAS / AKP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647A" w:sz="24"/>
              <w:left w:val="single" w:color="5A647A" w:sz="4"/>
              <w:bottom w:val="single" w:color="EAF6F5" w:sz="4"/>
              <w:right w:val="single" w:color="EAF6F5" w:sz="4"/>
            </w:tcBorders>
            <w:shd w:fill="EAF6F5" w:val="clear"/>
            <w:tcMar>
              <w:top w:type="dxa" w:w="160"/>
              <w:left w:type="dxa" w:w="200"/>
              <w:bottom w:type="dxa" w:w="160"/>
              <w:right w:type="dxa" w:w="200"/>
            </w:tcMar>
          </w:tcPr>
          <w:p>
            <w:pPr>
              <w:spacing w:after="60"/>
            </w:pPr>
            <w:r>
              <w:rPr>
                <w:b/>
                <w:bCs/>
                <w:color w:val="5A647A"/>
                <w:sz w:val="22"/>
                <w:szCs w:val="22"/>
              </w:rPr>
              <w:t xml:space="preserve">At a glance</w:t>
            </w:r>
          </w:p>
          <w:p>
            <w:pPr>
              <w:spacing w:after="0" w:line="300"/>
            </w:pPr>
            <w:r>
              <w:rPr>
                <w:color w:val="111827"/>
                <w:sz w:val="21"/>
                <w:szCs w:val="21"/>
              </w:rPr>
              <w:t xml:space="preserve">Three-part theory pathway in paediatrics. </w:t>
            </w:r>
            <w:r>
              <w:rPr>
                <w:b/>
                <w:bCs/>
                <w:color w:val="111827"/>
                <w:sz w:val="21"/>
                <w:szCs w:val="21"/>
              </w:rPr>
              <w:t xml:space="preserve">FOP (Foundation of Practice), TAS (Theory and Science), AKP (Applied Knowledge in Practice)</w:t>
            </w:r>
            <w:r>
              <w:rPr>
                <w:color w:val="111827"/>
                <w:sz w:val="21"/>
                <w:szCs w:val="21"/>
              </w:rPr>
              <w:t xml:space="preserve">. ~1,500 candidates per part. RCPCH curriculum has 11 domains.</w:t>
            </w:r>
          </w:p>
        </w:tc>
      </w:tr>
    </w:tbl>
    <w:p>
      <w:pPr>
        <w:spacing w:after="100"/>
      </w:pPr>
      <w:r>
        <w:t xml:space="preserve"> </w:t>
      </w:r>
    </w:p>
    <w:p>
      <w:pPr>
        <w:spacing w:after="120" w:line="300"/>
      </w:pPr>
      <w:r>
        <w:rPr>
          <w:b/>
          <w:bCs/>
          <w:color w:val="111827"/>
          <w:sz w:val="21"/>
          <w:szCs w:val="21"/>
        </w:rPr>
        <w:t xml:space="preserve">Curriculum source: </w:t>
      </w:r>
      <w:r>
        <w:rPr>
          <w:i/>
          <w:iCs/>
          <w:color w:val="111827"/>
          <w:sz w:val="21"/>
          <w:szCs w:val="21"/>
        </w:rPr>
        <w:t xml:space="preserve">RCPCH — Theory exams structure and syllabi pages, MRCPCH Exam Handbook.</w:t>
      </w:r>
    </w:p>
    <w:p>
      <w:pPr>
        <w:pStyle w:val="Heading3"/>
        <w:spacing w:after="60" w:before="160"/>
      </w:pPr>
      <w:r>
        <w:rPr>
          <w:b/>
          <w:bCs/>
          <w:color w:val="0F2740"/>
          <w:sz w:val="22"/>
          <w:szCs w:val="22"/>
        </w:rPr>
        <w:t xml:space="preserve">Format &amp;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Aspect</w:t>
            </w:r>
          </w:p>
        </w:tc>
        <w:tc>
          <w:tcPr>
            <w:tcW w:type="dxa" w:w="716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Detail</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Body</w:t>
            </w:r>
          </w:p>
        </w:tc>
        <w:tc>
          <w:tcPr>
            <w:tcW w:type="dxa" w:w="7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Royal College of Paediatrics and Child Health (RCPCH)</w:t>
            </w:r>
          </w:p>
        </w:tc>
      </w:tr>
      <w:tr>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Format</w:t>
            </w:r>
          </w:p>
        </w:tc>
        <w:tc>
          <w:tcPr>
            <w:tcW w:type="dxa" w:w="71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FOP: SBAs + EMQs · TAS: SBAs + EMQs · AKP: SBA case scenarios</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Duration</w:t>
            </w:r>
          </w:p>
        </w:tc>
        <w:tc>
          <w:tcPr>
            <w:tcW w:type="dxa" w:w="7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~3h per exam</w:t>
            </w:r>
          </w:p>
        </w:tc>
      </w:tr>
    </w:tbl>
    <w:p>
      <w:pPr>
        <w:spacing w:after="100"/>
      </w:pPr>
      <w:r>
        <w:t xml:space="preserve"> </w:t>
      </w:r>
    </w:p>
    <w:p>
      <w:pPr>
        <w:pStyle w:val="Heading3"/>
        <w:spacing w:after="60" w:before="160"/>
      </w:pPr>
      <w:r>
        <w:rPr>
          <w:b/>
          <w:bCs/>
          <w:color w:val="0F2740"/>
          <w:sz w:val="22"/>
          <w:szCs w:val="22"/>
        </w:rPr>
        <w:t xml:space="preserve">Domain blueprint (with suggested seed bank counts)</w:t>
      </w:r>
    </w:p>
    <w:p>
      <w:pPr>
        <w:spacing w:after="120" w:line="300"/>
      </w:pPr>
      <w:r>
        <w:rPr>
          <w:color w:val="111827"/>
          <w:sz w:val="21"/>
          <w:szCs w:val="21"/>
        </w:rPr>
        <w:t xml:space="preserve">Question counts are editorial recommendations for a launch-quality bank, calibrated to published exam weights and what the platform should cover. Adjust ratios to your network's specialty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100"/>
        <w:gridCol w:w="1500"/>
        <w:gridCol w:w="1760"/>
      </w:tblGrid>
      <w:tr>
        <w:trPr>
          <w:tblHeader/>
        </w:trPr>
        <w:tc>
          <w:tcPr>
            <w:tcW w:type="dxa" w:w="500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Combined per-exam target</w:t>
            </w:r>
          </w:p>
        </w:tc>
        <w:tc>
          <w:tcPr>
            <w:tcW w:type="dxa" w:w="110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Weight</w:t>
            </w:r>
          </w:p>
        </w:tc>
        <w:tc>
          <w:tcPr>
            <w:tcW w:type="dxa" w:w="150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Seed bank target</w:t>
            </w:r>
          </w:p>
        </w:tc>
      </w:tr>
      <w:tr>
        <w:tc>
          <w:tcPr>
            <w:tcW w:type="dxa" w:w="50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FOP — basic paeds, ethics, safeguarding, public health</w:t>
            </w:r>
          </w:p>
        </w:tc>
        <w:tc>
          <w:tcPr>
            <w:tcW w:type="dxa" w:w="11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33%</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300</w:t>
            </w:r>
          </w:p>
        </w:tc>
      </w:tr>
      <w:tr>
        <w:tc>
          <w:tcPr>
            <w:tcW w:type="dxa" w:w="50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TAS — physiology, pharmacology, EBM in paeds</w:t>
            </w:r>
          </w:p>
        </w:tc>
        <w:tc>
          <w:tcPr>
            <w:tcW w:type="dxa" w:w="11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33%</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300</w:t>
            </w:r>
          </w:p>
        </w:tc>
      </w:tr>
      <w:tr>
        <w:tc>
          <w:tcPr>
            <w:tcW w:type="dxa" w:w="50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AKP — applied case-based reasoning across all paeds domains</w:t>
            </w:r>
          </w:p>
        </w:tc>
        <w:tc>
          <w:tcPr>
            <w:tcW w:type="dxa" w:w="11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34%</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300</w:t>
            </w:r>
          </w:p>
        </w:tc>
      </w:tr>
      <w:tr>
        <w:tc>
          <w:tcPr>
            <w:tcW w:type="dxa" w:w="50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TOTAL across 3 parts</w:t>
            </w:r>
          </w:p>
        </w:tc>
        <w:tc>
          <w:tcPr>
            <w:tcW w:type="dxa" w:w="11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100%</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900</w:t>
            </w:r>
          </w:p>
        </w:tc>
      </w:tr>
    </w:tbl>
    <w:p>
      <w:pPr>
        <w:spacing w:after="100"/>
      </w:pPr>
      <w:r>
        <w:t xml:space="preserve"> </w:t>
      </w:r>
    </w:p>
    <w:p>
      <w:pPr>
        <w:pStyle w:val="Heading3"/>
        <w:spacing w:after="60" w:before="160"/>
      </w:pPr>
      <w:r>
        <w:rPr>
          <w:b/>
          <w:bCs/>
          <w:color w:val="0F2740"/>
          <w:sz w:val="22"/>
          <w:szCs w:val="22"/>
        </w:rPr>
        <w:t xml:space="preserve">Existing market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60"/>
      </w:tblGrid>
      <w:tr>
        <w:trPr>
          <w:tblHeader/>
        </w:trPr>
        <w:tc>
          <w:tcPr>
            <w:tcW w:type="dxa" w:w="260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Resource</w:t>
            </w:r>
          </w:p>
        </w:tc>
        <w:tc>
          <w:tcPr>
            <w:tcW w:type="dxa" w:w="370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Position</w:t>
            </w:r>
          </w:p>
        </w:tc>
        <w:tc>
          <w:tcPr>
            <w:tcW w:type="dxa" w:w="306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Pricing / note</w:t>
            </w:r>
          </w:p>
        </w:tc>
      </w:tr>
      <w:tr>
        <w:tc>
          <w:tcPr>
            <w:tcW w:type="dxa" w:w="26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StudyMRCPCH</w:t>
            </w:r>
          </w:p>
        </w:tc>
        <w:tc>
          <w:tcPr>
            <w:tcW w:type="dxa" w:w="3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FOP/TAS/AKP/Clinical bundles</w:t>
            </w:r>
          </w:p>
        </w:tc>
        <w:tc>
          <w:tcPr>
            <w:tcW w:type="dxa" w:w="30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£100–250</w:t>
            </w:r>
          </w:p>
        </w:tc>
      </w:tr>
      <w:tr>
        <w:tc>
          <w:tcPr>
            <w:tcW w:type="dxa" w:w="26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Pastest MRCPCH</w:t>
            </w:r>
          </w:p>
        </w:tc>
        <w:tc>
          <w:tcPr>
            <w:tcW w:type="dxa" w:w="3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Established</w:t>
            </w:r>
          </w:p>
        </w:tc>
        <w:tc>
          <w:tcPr>
            <w:tcW w:type="dxa" w:w="30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£100–180</w:t>
            </w:r>
          </w:p>
        </w:tc>
      </w:tr>
      <w:tr>
        <w:tc>
          <w:tcPr>
            <w:tcW w:type="dxa" w:w="26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RCPCH Practice Papers</w:t>
            </w:r>
          </w:p>
        </w:tc>
        <w:tc>
          <w:tcPr>
            <w:tcW w:type="dxa" w:w="3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Official</w:t>
            </w:r>
          </w:p>
        </w:tc>
        <w:tc>
          <w:tcPr>
            <w:tcW w:type="dxa" w:w="30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RCPCH-tied</w:t>
            </w:r>
          </w:p>
        </w:tc>
      </w:tr>
    </w:tbl>
    <w:p>
      <w:pPr>
        <w:spacing w:after="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A12" w:sz="24"/>
              <w:left w:val="single" w:color="B07A12" w:sz="4"/>
              <w:bottom w:val="single" w:color="FFF4DC" w:sz="4"/>
              <w:right w:val="single" w:color="FFF4DC" w:sz="4"/>
            </w:tcBorders>
            <w:shd w:fill="FFF4DC" w:val="clear"/>
            <w:tcMar>
              <w:top w:type="dxa" w:w="160"/>
              <w:left w:type="dxa" w:w="200"/>
              <w:bottom w:type="dxa" w:w="160"/>
              <w:right w:type="dxa" w:w="200"/>
            </w:tcMar>
          </w:tcPr>
          <w:p>
            <w:pPr>
              <w:spacing w:after="60"/>
            </w:pPr>
            <w:r>
              <w:rPr>
                <w:b/>
                <w:bCs/>
                <w:color w:val="B07A12"/>
                <w:sz w:val="22"/>
                <w:szCs w:val="22"/>
              </w:rPr>
              <w:t xml:space="preserve">Network angle</w:t>
            </w:r>
          </w:p>
          <w:p>
            <w:pPr>
              <w:spacing w:after="0" w:line="300"/>
            </w:pPr>
            <w:r>
              <w:rPr>
                <w:color w:val="111827"/>
                <w:sz w:val="21"/>
                <w:szCs w:val="21"/>
              </w:rPr>
              <w:t xml:space="preserve">Marketplace — paeds registrars are excellent creators because clinical case detail is the differentiator.</w:t>
            </w:r>
          </w:p>
        </w:tc>
      </w:tr>
    </w:tbl>
    <w:p>
      <w:pPr>
        <w:spacing w:after="100"/>
      </w:pPr>
      <w:r>
        <w:t xml:space="preserve"> </w:t>
      </w:r>
    </w:p>
    <w:p>
      <w:r>
        <w:br w:type="page"/>
      </w:r>
    </w:p>
    <w:p>
      <w:pPr>
        <w:pStyle w:val="Heading1"/>
        <w:spacing w:after="120" w:before="320"/>
      </w:pPr>
      <w:r>
        <w:rPr>
          <w:b/>
          <w:bCs/>
          <w:color w:val="0F2740"/>
          <w:sz w:val="36"/>
          <w:szCs w:val="36"/>
        </w:rPr>
        <w:t xml:space="preserve">MRCPsych  </w:t>
      </w:r>
      <w:r>
        <w:rPr>
          <w:b w:val="false"/>
          <w:bCs w:val="false"/>
          <w:color w:val="5A647A"/>
          <w:sz w:val="28"/>
          <w:szCs w:val="28"/>
        </w:rPr>
        <w:t xml:space="preserve">— MRCPsych Paper A + Paper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647A" w:sz="24"/>
              <w:left w:val="single" w:color="5A647A" w:sz="4"/>
              <w:bottom w:val="single" w:color="EAF6F5" w:sz="4"/>
              <w:right w:val="single" w:color="EAF6F5" w:sz="4"/>
            </w:tcBorders>
            <w:shd w:fill="EAF6F5" w:val="clear"/>
            <w:tcMar>
              <w:top w:type="dxa" w:w="160"/>
              <w:left w:type="dxa" w:w="200"/>
              <w:bottom w:type="dxa" w:w="160"/>
              <w:right w:type="dxa" w:w="200"/>
            </w:tcMar>
          </w:tcPr>
          <w:p>
            <w:pPr>
              <w:spacing w:after="60"/>
            </w:pPr>
            <w:r>
              <w:rPr>
                <w:b/>
                <w:bCs/>
                <w:color w:val="5A647A"/>
                <w:sz w:val="22"/>
                <w:szCs w:val="22"/>
              </w:rPr>
              <w:t xml:space="preserve">At a glance</w:t>
            </w:r>
          </w:p>
          <w:p>
            <w:pPr>
              <w:spacing w:after="0" w:line="300"/>
            </w:pPr>
            <w:r>
              <w:rPr>
                <w:color w:val="111827"/>
                <w:sz w:val="21"/>
                <w:szCs w:val="21"/>
              </w:rPr>
              <w:t xml:space="preserve"/>
            </w:r>
            <w:r>
              <w:rPr>
                <w:b/>
                <w:bCs/>
                <w:color w:val="111827"/>
                <w:sz w:val="21"/>
                <w:szCs w:val="21"/>
              </w:rPr>
              <w:t xml:space="preserve">Paper A and Paper B each contain 150 questions</w:t>
            </w:r>
            <w:r>
              <w:rPr>
                <w:color w:val="111827"/>
                <w:sz w:val="21"/>
                <w:szCs w:val="21"/>
              </w:rPr>
              <w:t xml:space="preserve"> (~⅔ MCQ + ⅓ EMI), 3h each. Paper A covers fundamentals (sections 1–5 of curriculum); Paper B covers applied topics (sections 6–14). ~1,500 candidates per paper.</w:t>
            </w:r>
          </w:p>
        </w:tc>
      </w:tr>
    </w:tbl>
    <w:p>
      <w:pPr>
        <w:spacing w:after="100"/>
      </w:pPr>
      <w:r>
        <w:t xml:space="preserve"> </w:t>
      </w:r>
    </w:p>
    <w:p>
      <w:pPr>
        <w:spacing w:after="120" w:line="300"/>
      </w:pPr>
      <w:r>
        <w:rPr>
          <w:b/>
          <w:bCs/>
          <w:color w:val="111827"/>
          <w:sz w:val="21"/>
          <w:szCs w:val="21"/>
        </w:rPr>
        <w:t xml:space="preserve">Curriculum source: </w:t>
      </w:r>
      <w:r>
        <w:rPr>
          <w:i/>
          <w:iCs/>
          <w:color w:val="111827"/>
          <w:sz w:val="21"/>
          <w:szCs w:val="21"/>
        </w:rPr>
        <w:t xml:space="preserve">Royal College of Psychiatrists — MRCPsych Curriculum and exam syllabus.</w:t>
      </w:r>
    </w:p>
    <w:p>
      <w:pPr>
        <w:pStyle w:val="Heading3"/>
        <w:spacing w:after="60" w:before="160"/>
      </w:pPr>
      <w:r>
        <w:rPr>
          <w:b/>
          <w:bCs/>
          <w:color w:val="0F2740"/>
          <w:sz w:val="22"/>
          <w:szCs w:val="22"/>
        </w:rPr>
        <w:t xml:space="preserve">Format &amp;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Aspect</w:t>
            </w:r>
          </w:p>
        </w:tc>
        <w:tc>
          <w:tcPr>
            <w:tcW w:type="dxa" w:w="716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Detail</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Body</w:t>
            </w:r>
          </w:p>
        </w:tc>
        <w:tc>
          <w:tcPr>
            <w:tcW w:type="dxa" w:w="7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Royal College of Psychiatrists (RCPsych)</w:t>
            </w:r>
          </w:p>
        </w:tc>
      </w:tr>
      <w:tr>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Format</w:t>
            </w:r>
          </w:p>
        </w:tc>
        <w:tc>
          <w:tcPr>
            <w:tcW w:type="dxa" w:w="71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Paper A: 150 Qs (MCQ + EMI). Paper B: 150 Qs (MCQ + EMI)</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Duration</w:t>
            </w:r>
          </w:p>
        </w:tc>
        <w:tc>
          <w:tcPr>
            <w:tcW w:type="dxa" w:w="7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3h per paper</w:t>
            </w:r>
          </w:p>
        </w:tc>
      </w:tr>
    </w:tbl>
    <w:p>
      <w:pPr>
        <w:spacing w:after="100"/>
      </w:pPr>
      <w:r>
        <w:t xml:space="preserve"> </w:t>
      </w:r>
    </w:p>
    <w:p>
      <w:pPr>
        <w:pStyle w:val="Heading3"/>
        <w:spacing w:after="60" w:before="160"/>
      </w:pPr>
      <w:r>
        <w:rPr>
          <w:b/>
          <w:bCs/>
          <w:color w:val="0F2740"/>
          <w:sz w:val="22"/>
          <w:szCs w:val="22"/>
        </w:rPr>
        <w:t xml:space="preserve">Domain blueprint (with suggested seed bank counts)</w:t>
      </w:r>
    </w:p>
    <w:p>
      <w:pPr>
        <w:spacing w:after="120" w:line="300"/>
      </w:pPr>
      <w:r>
        <w:rPr>
          <w:color w:val="111827"/>
          <w:sz w:val="21"/>
          <w:szCs w:val="21"/>
        </w:rPr>
        <w:t xml:space="preserve">Question counts are editorial recommendations for a launch-quality bank, calibrated to published exam weights and what the platform should cover. Adjust ratios to your network's specialty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00"/>
        <w:gridCol w:w="1500"/>
        <w:gridCol w:w="1560"/>
      </w:tblGrid>
      <w:tr>
        <w:trPr>
          <w:tblHeader/>
        </w:trPr>
        <w:tc>
          <w:tcPr>
            <w:tcW w:type="dxa" w:w="80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Paper</w:t>
            </w:r>
          </w:p>
        </w:tc>
        <w:tc>
          <w:tcPr>
            <w:tcW w:type="dxa" w:w="550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Domain</w:t>
            </w:r>
          </w:p>
        </w:tc>
        <w:tc>
          <w:tcPr>
            <w:tcW w:type="dxa" w:w="150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Seed bank target</w:t>
            </w:r>
          </w:p>
        </w:tc>
      </w:tr>
      <w:tr>
        <w:tc>
          <w:tcPr>
            <w:tcW w:type="dxa" w:w="8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A</w:t>
            </w:r>
          </w:p>
        </w:tc>
        <w:tc>
          <w:tcPr>
            <w:tcW w:type="dxa" w:w="5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Behavioural science + sociocultural psych</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100</w:t>
            </w:r>
          </w:p>
        </w:tc>
      </w:tr>
      <w:tr>
        <w:tc>
          <w:tcPr>
            <w:tcW w:type="dxa" w:w="8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A</w:t>
            </w:r>
          </w:p>
        </w:tc>
        <w:tc>
          <w:tcPr>
            <w:tcW w:type="dxa" w:w="5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Human development</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100</w:t>
            </w:r>
          </w:p>
        </w:tc>
      </w:tr>
      <w:tr>
        <w:tc>
          <w:tcPr>
            <w:tcW w:type="dxa" w:w="8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A</w:t>
            </w:r>
          </w:p>
        </w:tc>
        <w:tc>
          <w:tcPr>
            <w:tcW w:type="dxa" w:w="5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Basic psychology + neuroscience + neuropharmacology</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150</w:t>
            </w:r>
          </w:p>
        </w:tc>
      </w:tr>
      <w:tr>
        <w:tc>
          <w:tcPr>
            <w:tcW w:type="dxa" w:w="8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A</w:t>
            </w:r>
          </w:p>
        </w:tc>
        <w:tc>
          <w:tcPr>
            <w:tcW w:type="dxa" w:w="5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Classification + assessment</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100</w:t>
            </w:r>
          </w:p>
        </w:tc>
      </w:tr>
      <w:tr>
        <w:tc>
          <w:tcPr>
            <w:tcW w:type="dxa" w:w="8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B</w:t>
            </w:r>
          </w:p>
        </w:tc>
        <w:tc>
          <w:tcPr>
            <w:tcW w:type="dxa" w:w="5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Statistics + critical appraisal</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100</w:t>
            </w:r>
          </w:p>
        </w:tc>
      </w:tr>
      <w:tr>
        <w:tc>
          <w:tcPr>
            <w:tcW w:type="dxa" w:w="8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B</w:t>
            </w:r>
          </w:p>
        </w:tc>
        <w:tc>
          <w:tcPr>
            <w:tcW w:type="dxa" w:w="5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Clinical disorders — mood / psychotic / anxiety / personality</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200</w:t>
            </w:r>
          </w:p>
        </w:tc>
      </w:tr>
      <w:tr>
        <w:tc>
          <w:tcPr>
            <w:tcW w:type="dxa" w:w="8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B</w:t>
            </w:r>
          </w:p>
        </w:tc>
        <w:tc>
          <w:tcPr>
            <w:tcW w:type="dxa" w:w="5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Addiction + forensic + LD + liaison + child &amp; adolescent + old-age</w:t>
            </w:r>
          </w:p>
        </w:tc>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150</w:t>
            </w:r>
          </w:p>
        </w:tc>
      </w:tr>
      <w:tr>
        <w:tc>
          <w:tcPr>
            <w:tcW w:type="dxa" w:w="8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TOTAL</w:t>
            </w:r>
          </w:p>
        </w:tc>
        <w:tc>
          <w:tcPr>
            <w:tcW w:type="dxa" w:w="5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Paper A + B combined</w:t>
            </w:r>
          </w:p>
        </w:tc>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900</w:t>
            </w:r>
          </w:p>
        </w:tc>
      </w:tr>
    </w:tbl>
    <w:p>
      <w:pPr>
        <w:spacing w:after="100"/>
      </w:pPr>
      <w:r>
        <w:t xml:space="preserve"> </w:t>
      </w:r>
    </w:p>
    <w:p>
      <w:pPr>
        <w:pStyle w:val="Heading3"/>
        <w:spacing w:after="60" w:before="160"/>
      </w:pPr>
      <w:r>
        <w:rPr>
          <w:b/>
          <w:bCs/>
          <w:color w:val="0F2740"/>
          <w:sz w:val="22"/>
          <w:szCs w:val="22"/>
        </w:rPr>
        <w:t xml:space="preserve">Existing market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60"/>
      </w:tblGrid>
      <w:tr>
        <w:trPr>
          <w:tblHeader/>
        </w:trPr>
        <w:tc>
          <w:tcPr>
            <w:tcW w:type="dxa" w:w="260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Resource</w:t>
            </w:r>
          </w:p>
        </w:tc>
        <w:tc>
          <w:tcPr>
            <w:tcW w:type="dxa" w:w="370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Position</w:t>
            </w:r>
          </w:p>
        </w:tc>
        <w:tc>
          <w:tcPr>
            <w:tcW w:type="dxa" w:w="306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Pricing / note</w:t>
            </w:r>
          </w:p>
        </w:tc>
      </w:tr>
      <w:tr>
        <w:tc>
          <w:tcPr>
            <w:tcW w:type="dxa" w:w="26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MRCPsych Mentor</w:t>
            </w:r>
          </w:p>
        </w:tc>
        <w:tc>
          <w:tcPr>
            <w:tcW w:type="dxa" w:w="3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Free + paid</w:t>
            </w:r>
          </w:p>
        </w:tc>
        <w:tc>
          <w:tcPr>
            <w:tcW w:type="dxa" w:w="30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Free / £40–100</w:t>
            </w:r>
          </w:p>
        </w:tc>
      </w:tr>
      <w:tr>
        <w:tc>
          <w:tcPr>
            <w:tcW w:type="dxa" w:w="26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Pass MRCPsych</w:t>
            </w:r>
          </w:p>
        </w:tc>
        <w:tc>
          <w:tcPr>
            <w:tcW w:type="dxa" w:w="3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Bundles + courses</w:t>
            </w:r>
          </w:p>
        </w:tc>
        <w:tc>
          <w:tcPr>
            <w:tcW w:type="dxa" w:w="30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£100–250</w:t>
            </w:r>
          </w:p>
        </w:tc>
      </w:tr>
      <w:tr>
        <w:tc>
          <w:tcPr>
            <w:tcW w:type="dxa" w:w="26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SPMM Course</w:t>
            </w:r>
          </w:p>
        </w:tc>
        <w:tc>
          <w:tcPr>
            <w:tcW w:type="dxa" w:w="3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Established prep</w:t>
            </w:r>
          </w:p>
        </w:tc>
        <w:tc>
          <w:tcPr>
            <w:tcW w:type="dxa" w:w="30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£200+</w:t>
            </w:r>
          </w:p>
        </w:tc>
      </w:tr>
    </w:tbl>
    <w:p>
      <w:pPr>
        <w:spacing w:after="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A12" w:sz="24"/>
              <w:left w:val="single" w:color="B07A12" w:sz="4"/>
              <w:bottom w:val="single" w:color="FFF4DC" w:sz="4"/>
              <w:right w:val="single" w:color="FFF4DC" w:sz="4"/>
            </w:tcBorders>
            <w:shd w:fill="FFF4DC" w:val="clear"/>
            <w:tcMar>
              <w:top w:type="dxa" w:w="160"/>
              <w:left w:type="dxa" w:w="200"/>
              <w:bottom w:type="dxa" w:w="160"/>
              <w:right w:type="dxa" w:w="200"/>
            </w:tcMar>
          </w:tcPr>
          <w:p>
            <w:pPr>
              <w:spacing w:after="60"/>
            </w:pPr>
            <w:r>
              <w:rPr>
                <w:b/>
                <w:bCs/>
                <w:color w:val="B07A12"/>
                <w:sz w:val="22"/>
                <w:szCs w:val="22"/>
              </w:rPr>
              <w:t xml:space="preserve">Network angle</w:t>
            </w:r>
          </w:p>
          <w:p>
            <w:pPr>
              <w:spacing w:after="0" w:line="300"/>
            </w:pPr>
            <w:r>
              <w:rPr>
                <w:color w:val="111827"/>
                <w:sz w:val="21"/>
                <w:szCs w:val="21"/>
              </w:rPr>
              <w:t xml:space="preserve">Marketplace — psychiatry trainees are well-organised online; partner with mods of /r/RCPsych and #PsychTwitter.</w:t>
            </w:r>
          </w:p>
        </w:tc>
      </w:tr>
    </w:tbl>
    <w:p>
      <w:pPr>
        <w:spacing w:after="100"/>
      </w:pPr>
      <w:r>
        <w:t xml:space="preserve"> </w:t>
      </w:r>
    </w:p>
    <w:p>
      <w:r>
        <w:br w:type="page"/>
      </w:r>
    </w:p>
    <w:p>
      <w:pPr>
        <w:pStyle w:val="Heading1"/>
        <w:spacing w:after="120" w:before="320"/>
      </w:pPr>
      <w:r>
        <w:rPr>
          <w:b/>
          <w:bCs/>
          <w:color w:val="0F2740"/>
          <w:sz w:val="36"/>
          <w:szCs w:val="36"/>
        </w:rPr>
        <w:t xml:space="preserve">MRCPath  </w:t>
      </w:r>
      <w:r>
        <w:rPr>
          <w:b w:val="false"/>
          <w:bCs w:val="false"/>
          <w:color w:val="5A647A"/>
          <w:sz w:val="28"/>
          <w:szCs w:val="28"/>
        </w:rPr>
        <w:t xml:space="preserve">— MRCPath Part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647A" w:sz="24"/>
              <w:left w:val="single" w:color="5A647A" w:sz="4"/>
              <w:bottom w:val="single" w:color="EAF6F5" w:sz="4"/>
              <w:right w:val="single" w:color="EAF6F5" w:sz="4"/>
            </w:tcBorders>
            <w:shd w:fill="EAF6F5" w:val="clear"/>
            <w:tcMar>
              <w:top w:type="dxa" w:w="160"/>
              <w:left w:type="dxa" w:w="200"/>
              <w:bottom w:type="dxa" w:w="160"/>
              <w:right w:type="dxa" w:w="200"/>
            </w:tcMar>
          </w:tcPr>
          <w:p>
            <w:pPr>
              <w:spacing w:after="60"/>
            </w:pPr>
            <w:r>
              <w:rPr>
                <w:b/>
                <w:bCs/>
                <w:color w:val="5A647A"/>
                <w:sz w:val="22"/>
                <w:szCs w:val="22"/>
              </w:rPr>
              <w:t xml:space="preserve">At a glance</w:t>
            </w:r>
          </w:p>
          <w:p>
            <w:pPr>
              <w:spacing w:after="0" w:line="300"/>
            </w:pPr>
            <w:r>
              <w:rPr>
                <w:color w:val="111827"/>
                <w:sz w:val="21"/>
                <w:szCs w:val="21"/>
              </w:rPr>
              <w:t xml:space="preserve">Specialty-specific Part 1 across pathology disciplines (chemical, clinical, forensic, haematology, histopathology, immunology, microbiology, virology). Per-specialty candidate pools are small (~50–150 per year per specialty).</w:t>
            </w:r>
          </w:p>
        </w:tc>
      </w:tr>
    </w:tbl>
    <w:p>
      <w:pPr>
        <w:spacing w:after="100"/>
      </w:pPr>
      <w:r>
        <w:t xml:space="preserve"> </w:t>
      </w:r>
    </w:p>
    <w:p>
      <w:pPr>
        <w:spacing w:after="120" w:line="300"/>
      </w:pPr>
      <w:r>
        <w:rPr>
          <w:b/>
          <w:bCs/>
          <w:color w:val="111827"/>
          <w:sz w:val="21"/>
          <w:szCs w:val="21"/>
        </w:rPr>
        <w:t xml:space="preserve">Curriculum source: </w:t>
      </w:r>
      <w:r>
        <w:rPr>
          <w:i/>
          <w:iCs/>
          <w:color w:val="111827"/>
          <w:sz w:val="21"/>
          <w:szCs w:val="21"/>
        </w:rPr>
        <w:t xml:space="preserve">Royal College of Pathologists — Specialty curricula and exam regulations.</w:t>
      </w:r>
    </w:p>
    <w:p>
      <w:pPr>
        <w:pStyle w:val="Heading3"/>
        <w:spacing w:after="60" w:before="160"/>
      </w:pPr>
      <w:r>
        <w:rPr>
          <w:b/>
          <w:bCs/>
          <w:color w:val="0F2740"/>
          <w:sz w:val="22"/>
          <w:szCs w:val="22"/>
        </w:rPr>
        <w:t xml:space="preserve">Format &amp;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Aspect</w:t>
            </w:r>
          </w:p>
        </w:tc>
        <w:tc>
          <w:tcPr>
            <w:tcW w:type="dxa" w:w="716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Detail</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Body</w:t>
            </w:r>
          </w:p>
        </w:tc>
        <w:tc>
          <w:tcPr>
            <w:tcW w:type="dxa" w:w="7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Royal College of Pathologists (RCPath)</w:t>
            </w:r>
          </w:p>
        </w:tc>
      </w:tr>
      <w:tr>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Format</w:t>
            </w:r>
          </w:p>
        </w:tc>
        <w:tc>
          <w:tcPr>
            <w:tcW w:type="dxa" w:w="71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Specialty-specific written + practical components</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Duration</w:t>
            </w:r>
          </w:p>
        </w:tc>
        <w:tc>
          <w:tcPr>
            <w:tcW w:type="dxa" w:w="7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Variable per specialty</w:t>
            </w:r>
          </w:p>
        </w:tc>
      </w:tr>
    </w:tbl>
    <w:p>
      <w:pPr>
        <w:spacing w:after="100"/>
      </w:pPr>
      <w:r>
        <w:t xml:space="preserve"> </w:t>
      </w:r>
    </w:p>
    <w:p>
      <w:pPr>
        <w:pStyle w:val="Heading3"/>
        <w:spacing w:after="60" w:before="160"/>
      </w:pPr>
      <w:r>
        <w:rPr>
          <w:b/>
          <w:bCs/>
          <w:color w:val="0F2740"/>
          <w:sz w:val="22"/>
          <w:szCs w:val="22"/>
        </w:rPr>
        <w:t xml:space="preserve">Domain blueprint (with suggested seed bank counts)</w:t>
      </w:r>
    </w:p>
    <w:p>
      <w:pPr>
        <w:spacing w:after="120" w:line="300"/>
      </w:pPr>
      <w:r>
        <w:rPr>
          <w:color w:val="111827"/>
          <w:sz w:val="21"/>
          <w:szCs w:val="21"/>
        </w:rPr>
        <w:t xml:space="preserve">Question counts are editorial recommendations for a launch-quality bank, calibrated to published exam weights and what the platform should cover. Adjust ratios to your network's specialty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860"/>
      </w:tblGrid>
      <w:tr>
        <w:trPr>
          <w:tblHeader/>
        </w:trPr>
        <w:tc>
          <w:tcPr>
            <w:tcW w:type="dxa" w:w="450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Specialty (each is its own Part 1)</w:t>
            </w:r>
          </w:p>
        </w:tc>
        <w:tc>
          <w:tcPr>
            <w:tcW w:type="dxa" w:w="200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Approx candidates / yr</w:t>
            </w:r>
          </w:p>
        </w:tc>
        <w:tc>
          <w:tcPr>
            <w:tcW w:type="dxa" w:w="286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Seed bank target per specialty</w:t>
            </w:r>
          </w:p>
        </w:tc>
      </w:tr>
      <w:tr>
        <w:tc>
          <w:tcPr>
            <w:tcW w:type="dxa" w:w="4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Histopathology</w:t>
            </w:r>
          </w:p>
        </w:tc>
        <w:tc>
          <w:tcPr>
            <w:tcW w:type="dxa" w:w="20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~150</w:t>
            </w:r>
          </w:p>
        </w:tc>
        <w:tc>
          <w:tcPr>
            <w:tcW w:type="dxa" w:w="28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500</w:t>
            </w:r>
          </w:p>
        </w:tc>
      </w:tr>
      <w:tr>
        <w:tc>
          <w:tcPr>
            <w:tcW w:type="dxa" w:w="4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Haematology</w:t>
            </w:r>
          </w:p>
        </w:tc>
        <w:tc>
          <w:tcPr>
            <w:tcW w:type="dxa" w:w="20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~80</w:t>
            </w:r>
          </w:p>
        </w:tc>
        <w:tc>
          <w:tcPr>
            <w:tcW w:type="dxa" w:w="28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400</w:t>
            </w:r>
          </w:p>
        </w:tc>
      </w:tr>
      <w:tr>
        <w:tc>
          <w:tcPr>
            <w:tcW w:type="dxa" w:w="4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Microbiology + Virology</w:t>
            </w:r>
          </w:p>
        </w:tc>
        <w:tc>
          <w:tcPr>
            <w:tcW w:type="dxa" w:w="20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~70 combined</w:t>
            </w:r>
          </w:p>
        </w:tc>
        <w:tc>
          <w:tcPr>
            <w:tcW w:type="dxa" w:w="28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350</w:t>
            </w:r>
          </w:p>
        </w:tc>
      </w:tr>
      <w:tr>
        <w:tc>
          <w:tcPr>
            <w:tcW w:type="dxa" w:w="4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Chemical Pathology</w:t>
            </w:r>
          </w:p>
        </w:tc>
        <w:tc>
          <w:tcPr>
            <w:tcW w:type="dxa" w:w="20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~40</w:t>
            </w:r>
          </w:p>
        </w:tc>
        <w:tc>
          <w:tcPr>
            <w:tcW w:type="dxa" w:w="28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300</w:t>
            </w:r>
          </w:p>
        </w:tc>
      </w:tr>
      <w:tr>
        <w:tc>
          <w:tcPr>
            <w:tcW w:type="dxa" w:w="4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Immunology + Forensic + others</w:t>
            </w:r>
          </w:p>
        </w:tc>
        <w:tc>
          <w:tcPr>
            <w:tcW w:type="dxa" w:w="20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~50 combined</w:t>
            </w:r>
          </w:p>
        </w:tc>
        <w:tc>
          <w:tcPr>
            <w:tcW w:type="dxa" w:w="28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300 each</w:t>
            </w:r>
          </w:p>
        </w:tc>
      </w:tr>
    </w:tbl>
    <w:p>
      <w:pPr>
        <w:spacing w:after="100"/>
      </w:pPr>
      <w:r>
        <w:t xml:space="preserve"> </w:t>
      </w:r>
    </w:p>
    <w:p>
      <w:pPr>
        <w:pStyle w:val="Heading3"/>
        <w:spacing w:after="60" w:before="160"/>
      </w:pPr>
      <w:r>
        <w:rPr>
          <w:b/>
          <w:bCs/>
          <w:color w:val="0F2740"/>
          <w:sz w:val="22"/>
          <w:szCs w:val="22"/>
        </w:rPr>
        <w:t xml:space="preserve">Existing market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60"/>
      </w:tblGrid>
      <w:tr>
        <w:trPr>
          <w:tblHeader/>
        </w:trPr>
        <w:tc>
          <w:tcPr>
            <w:tcW w:type="dxa" w:w="260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Resource</w:t>
            </w:r>
          </w:p>
        </w:tc>
        <w:tc>
          <w:tcPr>
            <w:tcW w:type="dxa" w:w="370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Position</w:t>
            </w:r>
          </w:p>
        </w:tc>
        <w:tc>
          <w:tcPr>
            <w:tcW w:type="dxa" w:w="3060"/>
            <w:tcBorders>
              <w:top w:val="single" w:color="D6DEE6" w:sz="4"/>
              <w:left w:val="single" w:color="D6DEE6" w:sz="4"/>
              <w:bottom w:val="single" w:color="D6DEE6" w:sz="4"/>
              <w:right w:val="single" w:color="D6DEE6" w:sz="4"/>
            </w:tcBorders>
            <w:shd w:fill="5A647A" w:val="clear"/>
            <w:tcMar>
              <w:top w:type="dxa" w:w="100"/>
              <w:left w:type="dxa" w:w="120"/>
              <w:bottom w:type="dxa" w:w="100"/>
              <w:right w:type="dxa" w:w="120"/>
            </w:tcMar>
          </w:tcPr>
          <w:p>
            <w:pPr>
              <w:jc w:val="left"/>
            </w:pPr>
            <w:r>
              <w:rPr>
                <w:b/>
                <w:bCs/>
                <w:color w:val="FFFFFF"/>
                <w:sz w:val="19"/>
                <w:szCs w:val="19"/>
              </w:rPr>
              <w:t xml:space="preserve">Pricing / note</w:t>
            </w:r>
          </w:p>
        </w:tc>
      </w:tr>
      <w:tr>
        <w:tc>
          <w:tcPr>
            <w:tcW w:type="dxa" w:w="26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StudyMRCPath</w:t>
            </w:r>
          </w:p>
        </w:tc>
        <w:tc>
          <w:tcPr>
            <w:tcW w:type="dxa" w:w="3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Bundles</w:t>
            </w:r>
          </w:p>
        </w:tc>
        <w:tc>
          <w:tcPr>
            <w:tcW w:type="dxa" w:w="30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£100–250</w:t>
            </w:r>
          </w:p>
        </w:tc>
      </w:tr>
      <w:tr>
        <w:tc>
          <w:tcPr>
            <w:tcW w:type="dxa" w:w="26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Trainee-led collections (Quizlet/Anki)</w:t>
            </w:r>
          </w:p>
        </w:tc>
        <w:tc>
          <w:tcPr>
            <w:tcW w:type="dxa" w:w="3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Community</w:t>
            </w:r>
          </w:p>
        </w:tc>
        <w:tc>
          <w:tcPr>
            <w:tcW w:type="dxa" w:w="30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Free</w:t>
            </w:r>
          </w:p>
        </w:tc>
      </w:tr>
    </w:tbl>
    <w:p>
      <w:pPr>
        <w:spacing w:after="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A12" w:sz="24"/>
              <w:left w:val="single" w:color="B07A12" w:sz="4"/>
              <w:bottom w:val="single" w:color="FFF4DC" w:sz="4"/>
              <w:right w:val="single" w:color="FFF4DC" w:sz="4"/>
            </w:tcBorders>
            <w:shd w:fill="FFF4DC" w:val="clear"/>
            <w:tcMar>
              <w:top w:type="dxa" w:w="160"/>
              <w:left w:type="dxa" w:w="200"/>
              <w:bottom w:type="dxa" w:w="160"/>
              <w:right w:type="dxa" w:w="200"/>
            </w:tcMar>
          </w:tcPr>
          <w:p>
            <w:pPr>
              <w:spacing w:after="60"/>
            </w:pPr>
            <w:r>
              <w:rPr>
                <w:b/>
                <w:bCs/>
                <w:color w:val="B07A12"/>
                <w:sz w:val="22"/>
                <w:szCs w:val="22"/>
              </w:rPr>
              <w:t xml:space="preserve">Network angle</w:t>
            </w:r>
          </w:p>
          <w:p>
            <w:pPr>
              <w:spacing w:after="0" w:line="300"/>
            </w:pPr>
            <w:r>
              <w:rPr>
                <w:color w:val="111827"/>
                <w:sz w:val="21"/>
                <w:szCs w:val="21"/>
              </w:rPr>
              <w:t xml:space="preserve">Pure marketplace play. Per-specialty pools are too small for solo authoring; partner with one trainee per specialty.</w:t>
            </w:r>
          </w:p>
        </w:tc>
      </w:tr>
    </w:tbl>
    <w:p>
      <w:pPr>
        <w:spacing w:after="100"/>
      </w:pPr>
      <w:r>
        <w:t xml:space="preserve"> </w:t>
      </w:r>
    </w:p>
    <w:p>
      <w:r>
        <w:br w:type="page"/>
      </w:r>
    </w:p>
    <w:p>
      <w:pPr>
        <w:pStyle w:val="Heading1"/>
        <w:spacing w:after="160" w:before="360"/>
      </w:pPr>
      <w:r>
        <w:rPr>
          <w:b/>
          <w:bCs/>
          <w:color w:val="0F2740"/>
          <w:sz w:val="36"/>
          <w:szCs w:val="36"/>
        </w:rPr>
        <w:t xml:space="preserve">Notes on diplomas, PLAB 1, and adjacent exams</w:t>
      </w:r>
    </w:p>
    <w:p>
      <w:pPr>
        <w:pStyle w:val="Heading2"/>
        <w:spacing w:after="100" w:before="240"/>
      </w:pPr>
      <w:r>
        <w:rPr>
          <w:b/>
          <w:bCs/>
          <w:color w:val="0E7C7B"/>
          <w:sz w:val="26"/>
          <w:szCs w:val="26"/>
        </w:rPr>
        <w:t xml:space="preserve">Diplomas (small markets, often bundle-able)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00"/>
        <w:gridCol w:w="3460"/>
      </w:tblGrid>
      <w:tr>
        <w:trPr>
          <w:tblHeader/>
        </w:trPr>
        <w:tc>
          <w:tcPr>
            <w:tcW w:type="dxa" w:w="35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Diploma</w:t>
            </w:r>
          </w:p>
        </w:tc>
        <w:tc>
          <w:tcPr>
            <w:tcW w:type="dxa" w:w="24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Body</w:t>
            </w:r>
          </w:p>
        </w:tc>
        <w:tc>
          <w:tcPr>
            <w:tcW w:type="dxa" w:w="346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Volume signal</w:t>
            </w:r>
          </w:p>
        </w:tc>
      </w:tr>
      <w:tr>
        <w:tc>
          <w:tcPr>
            <w:tcW w:type="dxa" w:w="3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DRCOG (Diploma in Obstetrics &amp; Gynaecology)</w:t>
            </w:r>
          </w:p>
        </w:tc>
        <w:tc>
          <w:tcPr>
            <w:tcW w:type="dxa" w:w="2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RCOG</w:t>
            </w:r>
          </w:p>
        </w:tc>
        <w:tc>
          <w:tcPr>
            <w:tcW w:type="dxa" w:w="34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GP trainees + IMGs, ~1,500/yr</w:t>
            </w:r>
          </w:p>
        </w:tc>
      </w:tr>
      <w:tr>
        <w:tc>
          <w:tcPr>
            <w:tcW w:type="dxa" w:w="3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DCH (Diploma in Child Health)</w:t>
            </w:r>
          </w:p>
        </w:tc>
        <w:tc>
          <w:tcPr>
            <w:tcW w:type="dxa" w:w="2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RCPCH</w:t>
            </w:r>
          </w:p>
        </w:tc>
        <w:tc>
          <w:tcPr>
            <w:tcW w:type="dxa" w:w="34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GP trainees + IMGs, ~1,200/yr</w:t>
            </w:r>
          </w:p>
        </w:tc>
      </w:tr>
      <w:tr>
        <w:tc>
          <w:tcPr>
            <w:tcW w:type="dxa" w:w="3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DA (Diploma in Anaesthetics)</w:t>
            </w:r>
          </w:p>
        </w:tc>
        <w:tc>
          <w:tcPr>
            <w:tcW w:type="dxa" w:w="2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RCoA</w:t>
            </w:r>
          </w:p>
        </w:tc>
        <w:tc>
          <w:tcPr>
            <w:tcW w:type="dxa" w:w="34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Niche (~200/yr)</w:t>
            </w:r>
          </w:p>
        </w:tc>
      </w:tr>
      <w:tr>
        <w:tc>
          <w:tcPr>
            <w:tcW w:type="dxa" w:w="3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DOHNS (ENT Diploma)</w:t>
            </w:r>
          </w:p>
        </w:tc>
        <w:tc>
          <w:tcPr>
            <w:tcW w:type="dxa" w:w="2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RCSEng / RCSEd</w:t>
            </w:r>
          </w:p>
        </w:tc>
        <w:tc>
          <w:tcPr>
            <w:tcW w:type="dxa" w:w="34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ST1+ ENT, ~300/yr</w:t>
            </w:r>
          </w:p>
        </w:tc>
      </w:tr>
      <w:tr>
        <w:tc>
          <w:tcPr>
            <w:tcW w:type="dxa" w:w="3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DFSRH (Family Planning)</w:t>
            </w:r>
          </w:p>
        </w:tc>
        <w:tc>
          <w:tcPr>
            <w:tcW w:type="dxa" w:w="2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FSRH</w:t>
            </w:r>
          </w:p>
        </w:tc>
        <w:tc>
          <w:tcPr>
            <w:tcW w:type="dxa" w:w="34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GPs + O&amp;G + IMGs, ~2,000/yr</w:t>
            </w:r>
          </w:p>
        </w:tc>
      </w:tr>
      <w:tr>
        <w:tc>
          <w:tcPr>
            <w:tcW w:type="dxa" w:w="3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MFOM Part A (Occupational Medicine)</w:t>
            </w:r>
          </w:p>
        </w:tc>
        <w:tc>
          <w:tcPr>
            <w:tcW w:type="dxa" w:w="2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FOM</w:t>
            </w:r>
          </w:p>
        </w:tc>
        <w:tc>
          <w:tcPr>
            <w:tcW w:type="dxa" w:w="34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Niche (~100/yr)</w:t>
            </w:r>
          </w:p>
        </w:tc>
      </w:tr>
      <w:tr>
        <w:tc>
          <w:tcPr>
            <w:tcW w:type="dxa" w:w="3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MFPH Part A (Public Health)</w:t>
            </w:r>
          </w:p>
        </w:tc>
        <w:tc>
          <w:tcPr>
            <w:tcW w:type="dxa" w:w="2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FPH</w:t>
            </w:r>
          </w:p>
        </w:tc>
        <w:tc>
          <w:tcPr>
            <w:tcW w:type="dxa" w:w="34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Niche (~150/yr)</w:t>
            </w:r>
          </w:p>
        </w:tc>
      </w:tr>
    </w:tbl>
    <w:p>
      <w:pPr>
        <w:spacing w:after="120" w:line="300"/>
      </w:pPr>
      <w:r>
        <w:rPr>
          <w:color w:val="111827"/>
          <w:sz w:val="21"/>
          <w:szCs w:val="21"/>
        </w:rPr>
        <w:t xml:space="preserve">Treat diplomas as </w:t>
      </w:r>
      <w:r>
        <w:rPr>
          <w:b/>
          <w:bCs/>
          <w:color w:val="111827"/>
          <w:sz w:val="21"/>
          <w:szCs w:val="21"/>
        </w:rPr>
        <w:t xml:space="preserve">marketplace add-ons in Year 2</w:t>
      </w:r>
      <w:r>
        <w:rPr>
          <w:color w:val="111827"/>
          <w:sz w:val="21"/>
          <w:szCs w:val="21"/>
        </w:rPr>
        <w:t xml:space="preserve">. Don't author centrally. A keen GP-trainee creator can publish a DCH or DRCOG pack and earn meaningfully because the candidate pool is concentrated and starved of modern resources.</w:t>
      </w:r>
    </w:p>
    <w:p>
      <w:pPr>
        <w:pStyle w:val="Heading2"/>
        <w:spacing w:after="100" w:before="240"/>
      </w:pPr>
      <w:r>
        <w:rPr>
          <w:b/>
          <w:bCs/>
          <w:color w:val="0E7C7B"/>
          <w:sz w:val="26"/>
          <w:szCs w:val="26"/>
        </w:rPr>
        <w:t xml:space="preserve">PLAB 1 (transitional)</w:t>
      </w:r>
    </w:p>
    <w:p>
      <w:pPr>
        <w:spacing w:after="120" w:line="300"/>
      </w:pPr>
      <w:r>
        <w:rPr>
          <w:color w:val="111827"/>
          <w:sz w:val="21"/>
          <w:szCs w:val="21"/>
        </w:rPr>
        <w:t xml:space="preserve">PLAB 1 is being phased into UKMLA for IMGs. Until 2026/27, dual-marketing UKMLA + PLAB 1 makes sense; the candidate pools overlap heavily. Practically, </w:t>
      </w:r>
      <w:r>
        <w:rPr>
          <w:b/>
          <w:bCs/>
          <w:color w:val="111827"/>
          <w:sz w:val="21"/>
          <w:szCs w:val="21"/>
        </w:rPr>
        <w:t xml:space="preserve">PLAB 1 candidates are UKMLA candidates</w:t>
      </w:r>
      <w:r>
        <w:rPr>
          <w:color w:val="111827"/>
          <w:sz w:val="21"/>
          <w:szCs w:val="21"/>
        </w:rPr>
        <w:t xml:space="preserve">. A single bank with PLAB-tagged subset surfaces serves both. In your messaging: lead with UKMLA, tag PLAB content for SEO. Once GMC fully retires PLAB Part 1, drop the dual branding.</w:t>
      </w:r>
    </w:p>
    <w:p>
      <w:pPr>
        <w:pStyle w:val="Heading2"/>
        <w:spacing w:after="100" w:before="240"/>
      </w:pPr>
      <w:r>
        <w:rPr>
          <w:b/>
          <w:bCs/>
          <w:color w:val="0E7C7B"/>
          <w:sz w:val="26"/>
          <w:szCs w:val="26"/>
        </w:rPr>
        <w:t xml:space="preserve">FRCEM Final SBA, FRCS exit, FRCA Final</w:t>
      </w:r>
    </w:p>
    <w:p>
      <w:pPr>
        <w:spacing w:after="120" w:line="300"/>
      </w:pPr>
      <w:r>
        <w:rPr>
          <w:color w:val="111827"/>
          <w:sz w:val="21"/>
          <w:szCs w:val="21"/>
        </w:rPr>
        <w:t xml:space="preserve">These are senior-level CCT exit exams (consultants-in-the-making). Smaller pools but extremely high WTP because the alternative (failing) costs 6+ months. </w:t>
      </w:r>
      <w:r>
        <w:rPr>
          <w:b/>
          <w:bCs/>
          <w:color w:val="111827"/>
          <w:sz w:val="21"/>
          <w:szCs w:val="21"/>
        </w:rPr>
        <w:t xml:space="preserve">Year-2 marketplace plays</w:t>
      </w:r>
      <w:r>
        <w:rPr>
          <w:color w:val="111827"/>
          <w:sz w:val="21"/>
          <w:szCs w:val="21"/>
        </w:rPr>
        <w:t xml:space="preserve">, driven by your network's senior contacts.</w:t>
      </w:r>
    </w:p>
    <w:p>
      <w:r>
        <w:br w:type="page"/>
      </w:r>
    </w:p>
    <w:p>
      <w:pPr>
        <w:pStyle w:val="Heading1"/>
        <w:spacing w:after="160" w:before="360"/>
      </w:pPr>
      <w:r>
        <w:rPr>
          <w:b/>
          <w:bCs/>
          <w:color w:val="0F2740"/>
          <w:sz w:val="36"/>
          <w:szCs w:val="36"/>
        </w:rPr>
        <w:t xml:space="preserve">Putting it together — the launch sequence</w:t>
      </w:r>
    </w:p>
    <w:p>
      <w:pPr>
        <w:pStyle w:val="Heading2"/>
        <w:spacing w:after="100" w:before="240"/>
      </w:pPr>
      <w:r>
        <w:rPr>
          <w:b/>
          <w:bCs/>
          <w:color w:val="0E7C7B"/>
          <w:sz w:val="26"/>
          <w:szCs w:val="26"/>
        </w:rPr>
        <w:t xml:space="preserve">Months 0–3 — Tier 1 build</w:t>
      </w:r>
    </w:p>
    <w:p>
      <w:pPr>
        <w:pStyle w:val="ListParagraph"/>
        <w:numPr>
          <w:ilvl w:val="0"/>
          <w:numId w:val="2"/>
        </w:numPr>
        <w:spacing w:after="60" w:line="280"/>
      </w:pPr>
      <w:r>
        <w:rPr>
          <w:b/>
          <w:bCs/>
          <w:color w:val="111827"/>
          <w:sz w:val="21"/>
          <w:szCs w:val="21"/>
        </w:rPr>
        <w:t xml:space="preserve">Author 4 blueprint YAMLs</w:t>
      </w:r>
      <w:r>
        <w:rPr>
          <w:color w:val="111827"/>
          <w:sz w:val="21"/>
          <w:szCs w:val="21"/>
        </w:rPr>
        <w:t xml:space="preserve"> (UKMLA, PSA, MRCS Part A, MRCGP AKT) — 1 week each, you author.</w:t>
      </w:r>
    </w:p>
    <w:p>
      <w:pPr>
        <w:pStyle w:val="ListParagraph"/>
        <w:numPr>
          <w:ilvl w:val="0"/>
          <w:numId w:val="2"/>
        </w:numPr>
        <w:spacing w:after="60" w:line="280"/>
      </w:pPr>
      <w:r>
        <w:rPr>
          <w:b/>
          <w:bCs/>
          <w:color w:val="111827"/>
          <w:sz w:val="21"/>
          <w:szCs w:val="21"/>
        </w:rPr>
        <w:t xml:space="preserve">Recruit 6–8 reviewers</w:t>
      </w:r>
      <w:r>
        <w:rPr>
          <w:color w:val="111827"/>
          <w:sz w:val="21"/>
          <w:szCs w:val="21"/>
        </w:rPr>
        <w:t xml:space="preserve"> — final-year UK student, F1, GP ST3, surgical ST5+, EM ST4 (dual-purpose), pharmacist contact.</w:t>
      </w:r>
    </w:p>
    <w:p>
      <w:pPr>
        <w:pStyle w:val="ListParagraph"/>
        <w:numPr>
          <w:ilvl w:val="0"/>
          <w:numId w:val="2"/>
        </w:numPr>
        <w:spacing w:after="60" w:line="280"/>
      </w:pPr>
      <w:r>
        <w:rPr>
          <w:b/>
          <w:bCs/>
          <w:color w:val="111827"/>
          <w:sz w:val="21"/>
          <w:szCs w:val="21"/>
        </w:rPr>
        <w:t xml:space="preserve">Run AI generation</w:t>
      </w:r>
      <w:r>
        <w:rPr>
          <w:color w:val="111827"/>
          <w:sz w:val="21"/>
          <w:szCs w:val="21"/>
        </w:rPr>
        <w:t xml:space="preserve"> — Sonnet 4.6 against curriculum + NICE/CKS/BNF + RCS/RCGP curricula.</w:t>
      </w:r>
    </w:p>
    <w:p>
      <w:pPr>
        <w:pStyle w:val="ListParagraph"/>
        <w:numPr>
          <w:ilvl w:val="0"/>
          <w:numId w:val="2"/>
        </w:numPr>
        <w:spacing w:after="60" w:line="280"/>
      </w:pPr>
      <w:r>
        <w:rPr>
          <w:b/>
          <w:bCs/>
          <w:color w:val="111827"/>
          <w:sz w:val="21"/>
          <w:szCs w:val="21"/>
        </w:rPr>
        <w:t xml:space="preserve">Quality gate</w:t>
      </w:r>
      <w:r>
        <w:rPr>
          <w:color w:val="111827"/>
          <w:sz w:val="21"/>
          <w:szCs w:val="21"/>
        </w:rPr>
        <w:t xml:space="preserve"> — schema + similarity guard + factual cross-check.</w:t>
      </w:r>
    </w:p>
    <w:p>
      <w:pPr>
        <w:pStyle w:val="ListParagraph"/>
        <w:numPr>
          <w:ilvl w:val="0"/>
          <w:numId w:val="2"/>
        </w:numPr>
        <w:spacing w:after="60" w:line="280"/>
      </w:pPr>
      <w:r>
        <w:rPr>
          <w:b/>
          <w:bCs/>
          <w:color w:val="111827"/>
          <w:sz w:val="21"/>
          <w:szCs w:val="21"/>
        </w:rPr>
        <w:t xml:space="preserve">Reviewer pipeline</w:t>
      </w:r>
      <w:r>
        <w:rPr>
          <w:color w:val="111827"/>
          <w:sz w:val="21"/>
          <w:szCs w:val="21"/>
        </w:rPr>
        <w:t xml:space="preserve"> — review batches by sub-topic, accept/edit/reject, sign-off.</w:t>
      </w:r>
    </w:p>
    <w:p>
      <w:pPr>
        <w:pStyle w:val="Heading2"/>
        <w:spacing w:after="100" w:before="240"/>
      </w:pPr>
      <w:r>
        <w:rPr>
          <w:b/>
          <w:bCs/>
          <w:color w:val="0E7C7B"/>
          <w:sz w:val="26"/>
          <w:szCs w:val="26"/>
        </w:rPr>
        <w:t xml:space="preserve">Months 3–6 — Tier 2 expansion</w:t>
      </w:r>
    </w:p>
    <w:p>
      <w:pPr>
        <w:pStyle w:val="ListParagraph"/>
        <w:numPr>
          <w:ilvl w:val="0"/>
          <w:numId w:val="2"/>
        </w:numPr>
        <w:spacing w:after="60" w:line="280"/>
      </w:pPr>
      <w:r>
        <w:rPr>
          <w:color w:val="111827"/>
          <w:sz w:val="21"/>
          <w:szCs w:val="21"/>
        </w:rPr>
        <w:t xml:space="preserve">Open the marketplace; invite first 25 verified creators across MRCP, MRCEM, FRCA, MRCOG.</w:t>
      </w:r>
    </w:p>
    <w:p>
      <w:pPr>
        <w:pStyle w:val="ListParagraph"/>
        <w:numPr>
          <w:ilvl w:val="0"/>
          <w:numId w:val="2"/>
        </w:numPr>
        <w:spacing w:after="60" w:line="280"/>
      </w:pPr>
      <w:r>
        <w:rPr>
          <w:color w:val="111827"/>
          <w:sz w:val="21"/>
          <w:szCs w:val="21"/>
        </w:rPr>
        <w:t xml:space="preserve">Tier-2 blueprints authored by the lead reviewer per exam, not you.</w:t>
      </w:r>
    </w:p>
    <w:p>
      <w:pPr>
        <w:pStyle w:val="ListParagraph"/>
        <w:numPr>
          <w:ilvl w:val="0"/>
          <w:numId w:val="2"/>
        </w:numPr>
        <w:spacing w:after="60" w:line="280"/>
      </w:pPr>
      <w:r>
        <w:rPr>
          <w:color w:val="111827"/>
          <w:sz w:val="21"/>
          <w:szCs w:val="21"/>
        </w:rPr>
        <w:t xml:space="preserve">First Trust pilot conversation; Royal College partnership outreach (RCS, RCGP, RCEM most receptive).</w:t>
      </w:r>
    </w:p>
    <w:p>
      <w:pPr>
        <w:pStyle w:val="Heading2"/>
        <w:spacing w:after="100" w:before="240"/>
      </w:pPr>
      <w:r>
        <w:rPr>
          <w:b/>
          <w:bCs/>
          <w:color w:val="0E7C7B"/>
          <w:sz w:val="26"/>
          <w:szCs w:val="26"/>
        </w:rPr>
        <w:t xml:space="preserve">Months 6–12 — Tier 3 + B2B</w:t>
      </w:r>
    </w:p>
    <w:p>
      <w:pPr>
        <w:pStyle w:val="ListParagraph"/>
        <w:numPr>
          <w:ilvl w:val="0"/>
          <w:numId w:val="2"/>
        </w:numPr>
        <w:spacing w:after="60" w:line="280"/>
      </w:pPr>
      <w:r>
        <w:rPr>
          <w:color w:val="111827"/>
          <w:sz w:val="21"/>
          <w:szCs w:val="21"/>
        </w:rPr>
        <w:t xml:space="preserve">Tier-3 specialty packs entirely creator-led.</w:t>
      </w:r>
    </w:p>
    <w:p>
      <w:pPr>
        <w:pStyle w:val="ListParagraph"/>
        <w:numPr>
          <w:ilvl w:val="0"/>
          <w:numId w:val="2"/>
        </w:numPr>
        <w:spacing w:after="60" w:line="280"/>
      </w:pPr>
      <w:r>
        <w:rPr>
          <w:color w:val="111827"/>
          <w:sz w:val="21"/>
          <w:szCs w:val="21"/>
        </w:rPr>
        <w:t xml:space="preserve">Diplomas added as creator add-ons.</w:t>
      </w:r>
    </w:p>
    <w:p>
      <w:pPr>
        <w:pStyle w:val="ListParagraph"/>
        <w:numPr>
          <w:ilvl w:val="0"/>
          <w:numId w:val="2"/>
        </w:numPr>
        <w:spacing w:after="60" w:line="280"/>
      </w:pPr>
      <w:r>
        <w:rPr>
          <w:color w:val="111827"/>
          <w:sz w:val="21"/>
          <w:szCs w:val="21"/>
        </w:rPr>
        <w:t xml:space="preserve">OSCE component begins (next conversation).</w:t>
      </w:r>
    </w:p>
    <w:p>
      <w:pPr>
        <w:pStyle w:val="Heading2"/>
        <w:spacing w:after="100" w:before="240"/>
      </w:pPr>
      <w:r>
        <w:rPr>
          <w:b/>
          <w:bCs/>
          <w:color w:val="0E7C7B"/>
          <w:sz w:val="26"/>
          <w:szCs w:val="26"/>
        </w:rPr>
        <w:t xml:space="preserve">What's next: the OSCE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A2E" w:sz="24"/>
              <w:left w:val="single" w:color="C49A2E" w:sz="4"/>
              <w:bottom w:val="single" w:color="FFF4DC" w:sz="4"/>
              <w:right w:val="single" w:color="FFF4DC" w:sz="4"/>
            </w:tcBorders>
            <w:shd w:fill="FFF4DC" w:val="clear"/>
            <w:tcMar>
              <w:top w:type="dxa" w:w="160"/>
              <w:left w:type="dxa" w:w="200"/>
              <w:bottom w:type="dxa" w:w="160"/>
              <w:right w:type="dxa" w:w="200"/>
            </w:tcMar>
          </w:tcPr>
          <w:p>
            <w:pPr>
              <w:spacing w:after="60"/>
            </w:pPr>
            <w:r>
              <w:rPr>
                <w:b/>
                <w:bCs/>
                <w:color w:val="C49A2E"/>
                <w:sz w:val="22"/>
                <w:szCs w:val="22"/>
              </w:rPr>
              <w:t xml:space="preserve">Coming next — the OSCE / clinical skills exam map</w:t>
            </w:r>
          </w:p>
          <w:p>
            <w:pPr>
              <w:spacing w:after="0" w:line="300"/>
            </w:pPr>
            <w:r>
              <w:rPr>
                <w:color w:val="111827"/>
                <w:sz w:val="21"/>
                <w:szCs w:val="21"/>
              </w:rPr>
              <w:t xml:space="preserve">Once the written-exam architecture is locked, the next conversation covers OSCE-format exams: PACES (MRCP Part 2 Clinical), MRCS Part B, MRCGP SCA, MRCEM OSCE, MRCPCH Clinical, MRCPsych CASC, OSCE Finals (UK med-school exit), Primary FRCA OSCE/SOE, MRCOG Part 3, plus the role of voice OSCE simulation (GPT-4o Realtime / Gemini Live). The hybrid pipeline extends naturally: published curricula + Royal-College station blueprints + AI-generated voice-patient personas + your review loop.</w:t>
            </w:r>
          </w:p>
        </w:tc>
      </w:tr>
    </w:tbl>
    <w:p>
      <w:pPr>
        <w:pBdr>
          <w:bottom w:val="single" w:color="0E7C7B" w:sz="6" w:space="6"/>
        </w:pBdr>
        <w:spacing w:after="100"/>
      </w:pPr>
      <w:r>
        <w:t xml:space="preserve"> </w:t>
      </w:r>
    </w:p>
    <w:p>
      <w:pPr>
        <w:spacing w:after="100"/>
      </w:pPr>
      <w:r>
        <w:t xml:space="preserve"> </w:t>
      </w:r>
    </w:p>
    <w:p>
      <w:pPr>
        <w:spacing w:after="120" w:line="300"/>
      </w:pPr>
      <w:r>
        <w:rPr>
          <w:b/>
          <w:bCs/>
          <w:color w:val="111827"/>
          <w:sz w:val="21"/>
          <w:szCs w:val="21"/>
        </w:rPr>
        <w:t xml:space="preserve">Bottom line. </w:t>
      </w:r>
      <w:r>
        <w:rPr>
          <w:color w:val="111827"/>
          <w:sz w:val="21"/>
          <w:szCs w:val="21"/>
        </w:rPr>
        <w:t xml:space="preserve">UK doctor written exams form a well-mapped, candidate-rich, willingness-to-pay-high market that has been left alone by AI-native entrants. Your network is the unfair advantage: each Tier 1 exam needs only 1–2 trusted reviewers to launch, and the marketplace structure means Tier 2 and Tier 3 grow without you bottlenecking on authoring. The blueprint pipeline you've already validated for MRCS Part A is the same engine — just with a different YAML on top — for all 16 exams. Ship Tier 1 in 90 days and you have the broadest UK medical exam-prep coverage of any single platform.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A647A"/>
        <w:sz w:val="18"/>
        <w:szCs w:val="18"/>
      </w:rPr>
      <w:t xml:space="preserve">Master reference for Hassan Imtiaz, MD</w:t>
    </w:r>
    <w:r>
      <w:rPr>
        <w:color w:val="5A647A"/>
        <w:sz w:val="18"/>
        <w:szCs w:val="18"/>
      </w:rPr>
      <w:t xml:space="preserve">	Page </w:t>
    </w:r>
    <w:r>
      <w:rPr>
        <w:color w:val="5A64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A647A"/>
        <w:sz w:val="18"/>
        <w:szCs w:val="18"/>
      </w:rPr>
      <w:t xml:space="preserve">DocVault — UK Written Exam Blueprints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ptos" w:cs="Aptos" w:eastAsia="Aptos" w:hAnsi="Aptos"/>
      <w:b/>
      <w:bCs/>
      <w:color w:val="0F2740"/>
      <w:sz w:val="36"/>
      <w:szCs w:val="36"/>
    </w:rPr>
  </w:style>
  <w:style w:type="paragraph" w:styleId="Heading2">
    <w:name w:val="Heading 2"/>
    <w:basedOn w:val="Normal"/>
    <w:next w:val="Normal"/>
    <w:qFormat/>
    <w:pPr>
      <w:spacing w:after="100" w:before="240"/>
      <w:outlineLvl w:val="1"/>
    </w:pPr>
    <w:rPr>
      <w:rFonts w:ascii="Aptos" w:cs="Aptos" w:eastAsia="Aptos" w:hAnsi="Aptos"/>
      <w:b/>
      <w:bCs/>
      <w:color w:val="0E7C7B"/>
      <w:sz w:val="26"/>
      <w:szCs w:val="26"/>
    </w:rPr>
  </w:style>
  <w:style w:type="paragraph" w:styleId="Heading3">
    <w:name w:val="Heading 3"/>
    <w:basedOn w:val="Normal"/>
    <w:next w:val="Normal"/>
    <w:qFormat/>
    <w:pPr>
      <w:spacing w:after="60" w:before="160"/>
      <w:outlineLvl w:val="2"/>
    </w:pPr>
    <w:rPr>
      <w:rFonts w:ascii="Aptos" w:cs="Aptos" w:eastAsia="Aptos" w:hAnsi="Aptos"/>
      <w:b/>
      <w:bCs/>
      <w:color w:val="0F27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2026-05-06T21:56:24.624Z</dcterms:created>
  <dcterms:modified xsi:type="dcterms:W3CDTF">2026-05-06T21:56:24.624Z</dcterms:modified>
</cp:coreProperties>
</file>

<file path=docProps/custom.xml><?xml version="1.0" encoding="utf-8"?>
<Properties xmlns="http://schemas.openxmlformats.org/officeDocument/2006/custom-properties" xmlns:vt="http://schemas.openxmlformats.org/officeDocument/2006/docPropsVTypes"/>
</file>