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Bdr>
          <w:bottom w:val="single" w:sz="6" w:space="4" w:color="B88A2E"/>
        </w:pBdr>
      </w:pPr>
      <w:r>
        <w:rPr>
          <w:b/>
          <w:color w:val="142C52"/>
          <w:sz w:val="30"/>
        </w:rPr>
        <w:t>Commercial Vehicle Schedule</w:t>
      </w:r>
    </w:p>
    <w:p>
      <w:pPr>
        <w:spacing w:after="120"/>
        <w:jc w:val="both"/>
      </w:pPr>
      <w:r>
        <w:t>The following vehicles are covered under policy {{policy_number}} issued to {{business_name}}, effective {{policy_start_date}}. Adding or removing a vehicle requires written notice to Contoso Insurance, and coverage on a newly acquired vehicle does not take effect until we confirm it in writing.</w:t>
      </w:r>
    </w:p>
    <w:p>
      <w:pPr>
        <w:spacing w:before="200" w:after="80"/>
      </w:pPr>
      <w:r>
        <w:rPr>
          <w:b/>
          <w:color w:val="142C52"/>
          <w:sz w:val="24"/>
        </w:rPr>
        <w:t>Garaging location and use</w:t>
      </w:r>
    </w:p>
    <w:p>
      <w:pPr>
        <w:spacing w:after="120"/>
        <w:jc w:val="both"/>
      </w:pPr>
      <w:r>
        <w:t>Unless a different address is shown by endorsement, all vehicles on this schedule are principally garaged at {{street_address}}, {{city}}, {{state}} {{zip_code}}, and are rated for commercial use within your normal radius of operation. A material change in garaging location, radius of operation, or use (for example, beginning to haul for hire) must be reported to us promptly, as it may affect your premium and coverage.</w:t>
      </w:r>
    </w:p>
    <w:p>
      <w:pPr>
        <w:spacing w:before="200" w:after="80"/>
      </w:pPr>
      <w:r>
        <w:rPr>
          <w:b/>
          <w:color w:val="142C52"/>
          <w:sz w:val="24"/>
        </w:rPr>
        <w:t>Physical damage coverage</w:t>
      </w:r>
    </w:p>
    <w:p>
      <w:pPr>
        <w:spacing w:after="120"/>
        <w:jc w:val="both"/>
      </w:pPr>
      <w:r>
        <w:t>Each vehicle on this schedule carries liability coverage at the limit shown in your Coverage Summary. Comprehensive and collision coverage, where purchased, apply per vehicle at the deductible shown by endorsement for that vehicle; a vehicle with no physical damage deductible shown carries liability coverage only.</w:t>
      </w:r>
    </w:p>
    <w:p>
      <w:pPr>
        <w:spacing w:before="200" w:after="80"/>
      </w:pPr>
      <w:r>
        <w:rPr>
          <w:b/>
          <w:color w:val="142C52"/>
          <w:sz w:val="24"/>
        </w:rPr>
        <w:t>Vehicle schedule</w:t>
      </w:r>
    </w:p>
    <w:tbl>
      <w:tblPr>
        <w:tblStyle w:val="TableGrid"/>
        <w:tblW w:type="auto" w:w="0"/>
        <w:tblLook w:firstColumn="1" w:firstRow="1" w:lastColumn="0" w:lastRow="0" w:noHBand="0" w:noVBand="1" w:val="04A0"/>
      </w:tblPr>
      <w:tblGrid>
        <w:gridCol w:w="2484"/>
        <w:gridCol w:w="2484"/>
        <w:gridCol w:w="2484"/>
        <w:gridCol w:w="2484"/>
      </w:tblGrid>
      <w:tr>
        <w:tc>
          <w:tcPr>
            <w:tcW w:type="dxa" w:w="2484"/>
            <w:vAlign w:val="center"/>
            <w:shd w:val="clear" w:fill="142C52"/>
          </w:tcPr>
          <w:p>
            <w:r/>
            <w:r>
              <w:rPr>
                <w:b/>
                <w:color w:val="FFFFFF"/>
                <w:sz w:val="17"/>
              </w:rPr>
              <w:t>Year</w:t>
            </w:r>
          </w:p>
        </w:tc>
        <w:tc>
          <w:tcPr>
            <w:tcW w:type="dxa" w:w="2484"/>
            <w:vAlign w:val="center"/>
            <w:shd w:val="clear" w:fill="142C52"/>
          </w:tcPr>
          <w:p>
            <w:r/>
            <w:r>
              <w:rPr>
                <w:b/>
                <w:color w:val="FFFFFF"/>
                <w:sz w:val="17"/>
              </w:rPr>
              <w:t>Make</w:t>
            </w:r>
          </w:p>
        </w:tc>
        <w:tc>
          <w:tcPr>
            <w:tcW w:type="dxa" w:w="2484"/>
            <w:vAlign w:val="center"/>
            <w:shd w:val="clear" w:fill="142C52"/>
          </w:tcPr>
          <w:p>
            <w:r/>
            <w:r>
              <w:rPr>
                <w:b/>
                <w:color w:val="FFFFFF"/>
                <w:sz w:val="17"/>
              </w:rPr>
              <w:t>Model</w:t>
            </w:r>
          </w:p>
        </w:tc>
        <w:tc>
          <w:tcPr>
            <w:tcW w:type="dxa" w:w="2484"/>
            <w:vAlign w:val="center"/>
            <w:shd w:val="clear" w:fill="142C52"/>
          </w:tcPr>
          <w:p>
            <w:r/>
            <w:r>
              <w:rPr>
                <w:b/>
                <w:color w:val="FFFFFF"/>
                <w:sz w:val="17"/>
              </w:rPr>
              <w:t>Vehicle Identification Number (test VIN)</w:t>
            </w:r>
          </w:p>
        </w:tc>
      </w:tr>
      <w:tr>
        <w:tc>
          <w:tcPr>
            <w:tcW w:type="dxa" w:w="2484"/>
            <w:vAlign w:val="center"/>
          </w:tcPr>
          <w:p>
            <w:r/>
            <w:r>
              <w:rPr>
                <w:b w:val="0"/>
                <w:sz w:val="18"/>
              </w:rPr>
              <w:t>{{vehicle1.year}}</w:t>
            </w:r>
          </w:p>
        </w:tc>
        <w:tc>
          <w:tcPr>
            <w:tcW w:type="dxa" w:w="2484"/>
            <w:vAlign w:val="center"/>
          </w:tcPr>
          <w:p>
            <w:r/>
            <w:r>
              <w:rPr>
                <w:b w:val="0"/>
                <w:sz w:val="18"/>
              </w:rPr>
              <w:t>{{vehicle1.make}}</w:t>
            </w:r>
          </w:p>
        </w:tc>
        <w:tc>
          <w:tcPr>
            <w:tcW w:type="dxa" w:w="2484"/>
            <w:vAlign w:val="center"/>
          </w:tcPr>
          <w:p>
            <w:r/>
            <w:r>
              <w:rPr>
                <w:b w:val="0"/>
                <w:sz w:val="18"/>
              </w:rPr>
              <w:t>{{vehicle1.model}}</w:t>
            </w:r>
          </w:p>
        </w:tc>
        <w:tc>
          <w:tcPr>
            <w:tcW w:type="dxa" w:w="2484"/>
            <w:vAlign w:val="center"/>
          </w:tcPr>
          <w:p>
            <w:r/>
            <w:r>
              <w:rPr>
                <w:b w:val="0"/>
                <w:sz w:val="18"/>
              </w:rPr>
              <w:t>{{vehicle1.vin}}</w:t>
            </w:r>
          </w:p>
        </w:tc>
      </w:tr>
      <w:tr>
        <w:tc>
          <w:tcPr>
            <w:tcW w:type="dxa" w:w="2484"/>
            <w:vAlign w:val="center"/>
          </w:tcPr>
          <w:p>
            <w:r/>
            <w:r>
              <w:rPr>
                <w:b w:val="0"/>
                <w:sz w:val="18"/>
              </w:rPr>
              <w:t>{{vehicle2.year}}</w:t>
            </w:r>
          </w:p>
        </w:tc>
        <w:tc>
          <w:tcPr>
            <w:tcW w:type="dxa" w:w="2484"/>
            <w:vAlign w:val="center"/>
          </w:tcPr>
          <w:p>
            <w:r/>
            <w:r>
              <w:rPr>
                <w:b w:val="0"/>
                <w:sz w:val="18"/>
              </w:rPr>
              <w:t>{{vehicle2.make}}</w:t>
            </w:r>
          </w:p>
        </w:tc>
        <w:tc>
          <w:tcPr>
            <w:tcW w:type="dxa" w:w="2484"/>
            <w:vAlign w:val="center"/>
          </w:tcPr>
          <w:p>
            <w:r/>
            <w:r>
              <w:rPr>
                <w:b w:val="0"/>
                <w:sz w:val="18"/>
              </w:rPr>
              <w:t>{{vehicle2.model}}</w:t>
            </w:r>
          </w:p>
        </w:tc>
        <w:tc>
          <w:tcPr>
            <w:tcW w:type="dxa" w:w="2484"/>
            <w:vAlign w:val="center"/>
          </w:tcPr>
          <w:p>
            <w:r/>
            <w:r>
              <w:rPr>
                <w:b w:val="0"/>
                <w:sz w:val="18"/>
              </w:rPr>
              <w:t>{{vehicle2.vin}}</w:t>
            </w:r>
          </w:p>
        </w:tc>
      </w:tr>
      <w:tr>
        <w:tc>
          <w:tcPr>
            <w:tcW w:type="dxa" w:w="2484"/>
            <w:vAlign w:val="center"/>
          </w:tcPr>
          <w:p>
            <w:r/>
            <w:r>
              <w:rPr>
                <w:b w:val="0"/>
                <w:sz w:val="18"/>
              </w:rPr>
              <w:t>{{vehicle3.year}}</w:t>
            </w:r>
          </w:p>
        </w:tc>
        <w:tc>
          <w:tcPr>
            <w:tcW w:type="dxa" w:w="2484"/>
            <w:vAlign w:val="center"/>
          </w:tcPr>
          <w:p>
            <w:r/>
            <w:r>
              <w:rPr>
                <w:b w:val="0"/>
                <w:sz w:val="18"/>
              </w:rPr>
              <w:t>{{vehicle3.make}}</w:t>
            </w:r>
          </w:p>
        </w:tc>
        <w:tc>
          <w:tcPr>
            <w:tcW w:type="dxa" w:w="2484"/>
            <w:vAlign w:val="center"/>
          </w:tcPr>
          <w:p>
            <w:r/>
            <w:r>
              <w:rPr>
                <w:b w:val="0"/>
                <w:sz w:val="18"/>
              </w:rPr>
              <w:t>{{vehicle3.model}}</w:t>
            </w:r>
          </w:p>
        </w:tc>
        <w:tc>
          <w:tcPr>
            <w:tcW w:type="dxa" w:w="2484"/>
            <w:vAlign w:val="center"/>
          </w:tcPr>
          <w:p>
            <w:r/>
            <w:r>
              <w:rPr>
                <w:b w:val="0"/>
                <w:sz w:val="18"/>
              </w:rPr>
              <w:t>{{vehicle3.vin}}</w:t>
            </w:r>
          </w:p>
        </w:tc>
      </w:tr>
      <w:tr>
        <w:tc>
          <w:tcPr>
            <w:tcW w:type="dxa" w:w="2484"/>
            <w:vAlign w:val="center"/>
          </w:tcPr>
          <w:p>
            <w:r/>
            <w:r>
              <w:rPr>
                <w:b w:val="0"/>
                <w:sz w:val="18"/>
              </w:rPr>
              <w:t>{{vehicle4.year}}</w:t>
            </w:r>
          </w:p>
        </w:tc>
        <w:tc>
          <w:tcPr>
            <w:tcW w:type="dxa" w:w="2484"/>
            <w:vAlign w:val="center"/>
          </w:tcPr>
          <w:p>
            <w:r/>
            <w:r>
              <w:rPr>
                <w:b w:val="0"/>
                <w:sz w:val="18"/>
              </w:rPr>
              <w:t>{{vehicle4.make}}</w:t>
            </w:r>
          </w:p>
        </w:tc>
        <w:tc>
          <w:tcPr>
            <w:tcW w:type="dxa" w:w="2484"/>
            <w:vAlign w:val="center"/>
          </w:tcPr>
          <w:p>
            <w:r/>
            <w:r>
              <w:rPr>
                <w:b w:val="0"/>
                <w:sz w:val="18"/>
              </w:rPr>
              <w:t>{{vehicle4.model}}</w:t>
            </w:r>
          </w:p>
        </w:tc>
        <w:tc>
          <w:tcPr>
            <w:tcW w:type="dxa" w:w="2484"/>
            <w:vAlign w:val="center"/>
          </w:tcPr>
          <w:p>
            <w:r/>
            <w:r>
              <w:rPr>
                <w:b w:val="0"/>
                <w:sz w:val="18"/>
              </w:rPr>
              <w:t>{{vehicle4.vin}}</w:t>
            </w:r>
          </w:p>
        </w:tc>
      </w:tr>
      <w:tr>
        <w:tc>
          <w:tcPr>
            <w:tcW w:type="dxa" w:w="2484"/>
            <w:vAlign w:val="center"/>
          </w:tcPr>
          <w:p>
            <w:r/>
            <w:r>
              <w:rPr>
                <w:b w:val="0"/>
                <w:sz w:val="18"/>
              </w:rPr>
              <w:t>{{vehicle5.year}}</w:t>
            </w:r>
          </w:p>
        </w:tc>
        <w:tc>
          <w:tcPr>
            <w:tcW w:type="dxa" w:w="2484"/>
            <w:vAlign w:val="center"/>
          </w:tcPr>
          <w:p>
            <w:r/>
            <w:r>
              <w:rPr>
                <w:b w:val="0"/>
                <w:sz w:val="18"/>
              </w:rPr>
              <w:t>{{vehicle5.make}}</w:t>
            </w:r>
          </w:p>
        </w:tc>
        <w:tc>
          <w:tcPr>
            <w:tcW w:type="dxa" w:w="2484"/>
            <w:vAlign w:val="center"/>
          </w:tcPr>
          <w:p>
            <w:r/>
            <w:r>
              <w:rPr>
                <w:b w:val="0"/>
                <w:sz w:val="18"/>
              </w:rPr>
              <w:t>{{vehicle5.model}}</w:t>
            </w:r>
          </w:p>
        </w:tc>
        <w:tc>
          <w:tcPr>
            <w:tcW w:type="dxa" w:w="2484"/>
            <w:vAlign w:val="center"/>
          </w:tcPr>
          <w:p>
            <w:r/>
            <w:r>
              <w:rPr>
                <w:b w:val="0"/>
                <w:sz w:val="18"/>
              </w:rPr>
              <w:t>{{vehicle5.vin}}</w:t>
            </w:r>
          </w:p>
        </w:tc>
      </w:tr>
      <w:tr>
        <w:tc>
          <w:tcPr>
            <w:tcW w:type="dxa" w:w="2484"/>
            <w:vAlign w:val="center"/>
          </w:tcPr>
          <w:p>
            <w:r/>
            <w:r>
              <w:rPr>
                <w:b w:val="0"/>
                <w:sz w:val="18"/>
              </w:rPr>
              <w:t>{{vehicle6.year}}</w:t>
            </w:r>
          </w:p>
        </w:tc>
        <w:tc>
          <w:tcPr>
            <w:tcW w:type="dxa" w:w="2484"/>
            <w:vAlign w:val="center"/>
          </w:tcPr>
          <w:p>
            <w:r/>
            <w:r>
              <w:rPr>
                <w:b w:val="0"/>
                <w:sz w:val="18"/>
              </w:rPr>
              <w:t>{{vehicle6.make}}</w:t>
            </w:r>
          </w:p>
        </w:tc>
        <w:tc>
          <w:tcPr>
            <w:tcW w:type="dxa" w:w="2484"/>
            <w:vAlign w:val="center"/>
          </w:tcPr>
          <w:p>
            <w:r/>
            <w:r>
              <w:rPr>
                <w:b w:val="0"/>
                <w:sz w:val="18"/>
              </w:rPr>
              <w:t>{{vehicle6.model}}</w:t>
            </w:r>
          </w:p>
        </w:tc>
        <w:tc>
          <w:tcPr>
            <w:tcW w:type="dxa" w:w="2484"/>
            <w:vAlign w:val="center"/>
          </w:tcPr>
          <w:p>
            <w:r/>
            <w:r>
              <w:rPr>
                <w:b w:val="0"/>
                <w:sz w:val="18"/>
              </w:rPr>
              <w:t>{{vehicle6.vin}}</w:t>
            </w:r>
          </w:p>
        </w:tc>
      </w:tr>
      <w:tr>
        <w:tc>
          <w:tcPr>
            <w:tcW w:type="dxa" w:w="2484"/>
            <w:vAlign w:val="center"/>
          </w:tcPr>
          <w:p>
            <w:r/>
            <w:r>
              <w:rPr>
                <w:b w:val="0"/>
                <w:sz w:val="18"/>
              </w:rPr>
              <w:t>{{vehicle7.year}}</w:t>
            </w:r>
          </w:p>
        </w:tc>
        <w:tc>
          <w:tcPr>
            <w:tcW w:type="dxa" w:w="2484"/>
            <w:vAlign w:val="center"/>
          </w:tcPr>
          <w:p>
            <w:r/>
            <w:r>
              <w:rPr>
                <w:b w:val="0"/>
                <w:sz w:val="18"/>
              </w:rPr>
              <w:t>{{vehicle7.make}}</w:t>
            </w:r>
          </w:p>
        </w:tc>
        <w:tc>
          <w:tcPr>
            <w:tcW w:type="dxa" w:w="2484"/>
            <w:vAlign w:val="center"/>
          </w:tcPr>
          <w:p>
            <w:r/>
            <w:r>
              <w:rPr>
                <w:b w:val="0"/>
                <w:sz w:val="18"/>
              </w:rPr>
              <w:t>{{vehicle7.model}}</w:t>
            </w:r>
          </w:p>
        </w:tc>
        <w:tc>
          <w:tcPr>
            <w:tcW w:type="dxa" w:w="2484"/>
            <w:vAlign w:val="center"/>
          </w:tcPr>
          <w:p>
            <w:r/>
            <w:r>
              <w:rPr>
                <w:b w:val="0"/>
                <w:sz w:val="18"/>
              </w:rPr>
              <w:t>{{vehicle7.vin}}</w:t>
            </w:r>
          </w:p>
        </w:tc>
      </w:tr>
      <w:tr>
        <w:tc>
          <w:tcPr>
            <w:tcW w:type="dxa" w:w="2484"/>
            <w:vAlign w:val="center"/>
          </w:tcPr>
          <w:p>
            <w:r/>
            <w:r>
              <w:rPr>
                <w:b w:val="0"/>
                <w:sz w:val="18"/>
              </w:rPr>
              <w:t>{{vehicle8.year}}</w:t>
            </w:r>
          </w:p>
        </w:tc>
        <w:tc>
          <w:tcPr>
            <w:tcW w:type="dxa" w:w="2484"/>
            <w:vAlign w:val="center"/>
          </w:tcPr>
          <w:p>
            <w:r/>
            <w:r>
              <w:rPr>
                <w:b w:val="0"/>
                <w:sz w:val="18"/>
              </w:rPr>
              <w:t>{{vehicle8.make}}</w:t>
            </w:r>
          </w:p>
        </w:tc>
        <w:tc>
          <w:tcPr>
            <w:tcW w:type="dxa" w:w="2484"/>
            <w:vAlign w:val="center"/>
          </w:tcPr>
          <w:p>
            <w:r/>
            <w:r>
              <w:rPr>
                <w:b w:val="0"/>
                <w:sz w:val="18"/>
              </w:rPr>
              <w:t>{{vehicle8.model}}</w:t>
            </w:r>
          </w:p>
        </w:tc>
        <w:tc>
          <w:tcPr>
            <w:tcW w:type="dxa" w:w="2484"/>
            <w:vAlign w:val="center"/>
          </w:tcPr>
          <w:p>
            <w:r/>
            <w:r>
              <w:rPr>
                <w:b w:val="0"/>
                <w:sz w:val="18"/>
              </w:rPr>
              <w:t>{{vehicle8.vin}}</w:t>
            </w:r>
          </w:p>
        </w:tc>
      </w:tr>
      <w:tr>
        <w:tc>
          <w:tcPr>
            <w:tcW w:type="dxa" w:w="2484"/>
            <w:vAlign w:val="center"/>
          </w:tcPr>
          <w:p>
            <w:r/>
            <w:r>
              <w:rPr>
                <w:b w:val="0"/>
                <w:sz w:val="18"/>
              </w:rPr>
              <w:t>{{vehicle9.year}}</w:t>
            </w:r>
          </w:p>
        </w:tc>
        <w:tc>
          <w:tcPr>
            <w:tcW w:type="dxa" w:w="2484"/>
            <w:vAlign w:val="center"/>
          </w:tcPr>
          <w:p>
            <w:r/>
            <w:r>
              <w:rPr>
                <w:b w:val="0"/>
                <w:sz w:val="18"/>
              </w:rPr>
              <w:t>{{vehicle9.make}}</w:t>
            </w:r>
          </w:p>
        </w:tc>
        <w:tc>
          <w:tcPr>
            <w:tcW w:type="dxa" w:w="2484"/>
            <w:vAlign w:val="center"/>
          </w:tcPr>
          <w:p>
            <w:r/>
            <w:r>
              <w:rPr>
                <w:b w:val="0"/>
                <w:sz w:val="18"/>
              </w:rPr>
              <w:t>{{vehicle9.model}}</w:t>
            </w:r>
          </w:p>
        </w:tc>
        <w:tc>
          <w:tcPr>
            <w:tcW w:type="dxa" w:w="2484"/>
            <w:vAlign w:val="center"/>
          </w:tcPr>
          <w:p>
            <w:r/>
            <w:r>
              <w:rPr>
                <w:b w:val="0"/>
                <w:sz w:val="18"/>
              </w:rPr>
              <w:t>{{vehicle9.vin}}</w:t>
            </w:r>
          </w:p>
        </w:tc>
      </w:tr>
      <w:tr>
        <w:tc>
          <w:tcPr>
            <w:tcW w:type="dxa" w:w="2484"/>
            <w:vAlign w:val="center"/>
          </w:tcPr>
          <w:p>
            <w:r/>
            <w:r>
              <w:rPr>
                <w:b w:val="0"/>
                <w:sz w:val="18"/>
              </w:rPr>
              <w:t>{{vehicle10.year}}</w:t>
            </w:r>
          </w:p>
        </w:tc>
        <w:tc>
          <w:tcPr>
            <w:tcW w:type="dxa" w:w="2484"/>
            <w:vAlign w:val="center"/>
          </w:tcPr>
          <w:p>
            <w:r/>
            <w:r>
              <w:rPr>
                <w:b w:val="0"/>
                <w:sz w:val="18"/>
              </w:rPr>
              <w:t>{{vehicle10.make}}</w:t>
            </w:r>
          </w:p>
        </w:tc>
        <w:tc>
          <w:tcPr>
            <w:tcW w:type="dxa" w:w="2484"/>
            <w:vAlign w:val="center"/>
          </w:tcPr>
          <w:p>
            <w:r/>
            <w:r>
              <w:rPr>
                <w:b w:val="0"/>
                <w:sz w:val="18"/>
              </w:rPr>
              <w:t>{{vehicle10.model}}</w:t>
            </w:r>
          </w:p>
        </w:tc>
        <w:tc>
          <w:tcPr>
            <w:tcW w:type="dxa" w:w="2484"/>
            <w:vAlign w:val="center"/>
          </w:tcPr>
          <w:p>
            <w:r/>
            <w:r>
              <w:rPr>
                <w:b w:val="0"/>
                <w:sz w:val="18"/>
              </w:rPr>
              <w:t>{{vehicle10.vin}}</w:t>
            </w:r>
          </w:p>
        </w:tc>
      </w:tr>
      <w:tr>
        <w:tc>
          <w:tcPr>
            <w:tcW w:type="dxa" w:w="2484"/>
            <w:vAlign w:val="center"/>
          </w:tcPr>
          <w:p>
            <w:r/>
            <w:r>
              <w:rPr>
                <w:b w:val="0"/>
                <w:sz w:val="18"/>
              </w:rPr>
              <w:t>{{vehicle11.year}}</w:t>
            </w:r>
          </w:p>
        </w:tc>
        <w:tc>
          <w:tcPr>
            <w:tcW w:type="dxa" w:w="2484"/>
            <w:vAlign w:val="center"/>
          </w:tcPr>
          <w:p>
            <w:r/>
            <w:r>
              <w:rPr>
                <w:b w:val="0"/>
                <w:sz w:val="18"/>
              </w:rPr>
              <w:t>{{vehicle11.make}}</w:t>
            </w:r>
          </w:p>
        </w:tc>
        <w:tc>
          <w:tcPr>
            <w:tcW w:type="dxa" w:w="2484"/>
            <w:vAlign w:val="center"/>
          </w:tcPr>
          <w:p>
            <w:r/>
            <w:r>
              <w:rPr>
                <w:b w:val="0"/>
                <w:sz w:val="18"/>
              </w:rPr>
              <w:t>{{vehicle11.model}}</w:t>
            </w:r>
          </w:p>
        </w:tc>
        <w:tc>
          <w:tcPr>
            <w:tcW w:type="dxa" w:w="2484"/>
            <w:vAlign w:val="center"/>
          </w:tcPr>
          <w:p>
            <w:r/>
            <w:r>
              <w:rPr>
                <w:b w:val="0"/>
                <w:sz w:val="18"/>
              </w:rPr>
              <w:t>{{vehicle11.vin}}</w:t>
            </w:r>
          </w:p>
        </w:tc>
      </w:tr>
      <w:tr>
        <w:tc>
          <w:tcPr>
            <w:tcW w:type="dxa" w:w="2484"/>
            <w:vAlign w:val="center"/>
          </w:tcPr>
          <w:p>
            <w:r/>
            <w:r>
              <w:rPr>
                <w:b w:val="0"/>
                <w:sz w:val="18"/>
              </w:rPr>
              <w:t>{{vehicle12.year}}</w:t>
            </w:r>
          </w:p>
        </w:tc>
        <w:tc>
          <w:tcPr>
            <w:tcW w:type="dxa" w:w="2484"/>
            <w:vAlign w:val="center"/>
          </w:tcPr>
          <w:p>
            <w:r/>
            <w:r>
              <w:rPr>
                <w:b w:val="0"/>
                <w:sz w:val="18"/>
              </w:rPr>
              <w:t>{{vehicle12.make}}</w:t>
            </w:r>
          </w:p>
        </w:tc>
        <w:tc>
          <w:tcPr>
            <w:tcW w:type="dxa" w:w="2484"/>
            <w:vAlign w:val="center"/>
          </w:tcPr>
          <w:p>
            <w:r/>
            <w:r>
              <w:rPr>
                <w:b w:val="0"/>
                <w:sz w:val="18"/>
              </w:rPr>
              <w:t>{{vehicle12.model}}</w:t>
            </w:r>
          </w:p>
        </w:tc>
        <w:tc>
          <w:tcPr>
            <w:tcW w:type="dxa" w:w="2484"/>
            <w:vAlign w:val="center"/>
          </w:tcPr>
          <w:p>
            <w:r/>
            <w:r>
              <w:rPr>
                <w:b w:val="0"/>
                <w:sz w:val="18"/>
              </w:rPr>
              <w:t>{{vehicle12.vin}}</w:t>
            </w:r>
          </w:p>
        </w:tc>
      </w:tr>
    </w:tbl>
    <w:p/>
    <w:p>
      <w:pPr>
        <w:spacing w:before="200" w:after="80"/>
      </w:pPr>
      <w:r>
        <w:rPr>
          <w:b/>
          <w:color w:val="142C52"/>
          <w:sz w:val="24"/>
        </w:rPr>
        <w:t>Rating factors</w:t>
      </w:r>
    </w:p>
    <w:p>
      <w:pPr>
        <w:spacing w:after="120"/>
        <w:jc w:val="both"/>
      </w:pPr>
      <w:r>
        <w:t>Your premium for commercial vehicle coverage reflects each vehicle's year, make, model, use class, and radius of operation, along with your business type and loss history. A change in any of these factors, including adding a vehicle used for a materially different purpose, may change your premium.</w:t>
      </w:r>
    </w:p>
    <w:p>
      <w:pPr>
        <w:spacing w:before="200" w:after="80"/>
      </w:pPr>
      <w:r>
        <w:rPr>
          <w:b/>
          <w:color w:val="142C52"/>
          <w:sz w:val="24"/>
        </w:rPr>
        <w:t>Driver requirements</w:t>
      </w:r>
    </w:p>
    <w:p>
      <w:pPr>
        <w:spacing w:after="120"/>
        <w:jc w:val="both"/>
      </w:pPr>
      <w:r>
        <w:t>Only drivers who hold a valid license appropriate for the vehicle they operate, and who are not excluded by endorsement, are covered while driving a vehicle on this schedule. You are responsible for verifying that drivers meet this requirement before assigning them to a covered vehicle.</w:t>
      </w:r>
    </w:p>
    <w:p>
      <w:pPr>
        <w:spacing w:before="200" w:after="80"/>
      </w:pPr>
      <w:r>
        <w:rPr>
          <w:b/>
          <w:color w:val="142C52"/>
          <w:sz w:val="24"/>
        </w:rPr>
        <w:t>Temporary substitute vehicles</w:t>
      </w:r>
    </w:p>
    <w:p>
      <w:pPr>
        <w:spacing w:after="120"/>
        <w:jc w:val="both"/>
      </w:pPr>
      <w:r>
        <w:t>If a covered vehicle is out of service for repair, servicing, or loss, a temporary substitute vehicle of similar type is automatically covered at the same limits, for up to 30 days, provided it is not owned by you.</w:t>
      </w:r>
    </w:p>
    <w:p>
      <w:r>
        <w:br w:type="page"/>
      </w:r>
    </w:p>
    <w:p>
      <w:pPr>
        <w:spacing w:before="200" w:after="80"/>
      </w:pPr>
      <w:r>
        <w:rPr>
          <w:b/>
          <w:color w:val="142C52"/>
          <w:sz w:val="24"/>
        </w:rPr>
        <w:t>Change log</w:t>
      </w:r>
    </w:p>
    <w:tbl>
      <w:tblPr>
        <w:tblStyle w:val="TableGrid"/>
        <w:tblW w:type="auto" w:w="0"/>
        <w:tblLook w:firstColumn="1" w:firstRow="1" w:lastColumn="0" w:lastRow="0" w:noHBand="0" w:noVBand="1" w:val="04A0"/>
      </w:tblPr>
      <w:tblGrid>
        <w:gridCol w:w="3312"/>
        <w:gridCol w:w="3312"/>
        <w:gridCol w:w="3312"/>
      </w:tblGrid>
      <w:tr>
        <w:tc>
          <w:tcPr>
            <w:tcW w:type="dxa" w:w="3312"/>
            <w:vAlign w:val="center"/>
            <w:shd w:val="clear" w:fill="142C52"/>
          </w:tcPr>
          <w:p>
            <w:r/>
            <w:r>
              <w:rPr>
                <w:b/>
                <w:color w:val="FFFFFF"/>
                <w:sz w:val="17"/>
              </w:rPr>
              <w:t>Date</w:t>
            </w:r>
          </w:p>
        </w:tc>
        <w:tc>
          <w:tcPr>
            <w:tcW w:type="dxa" w:w="3312"/>
            <w:vAlign w:val="center"/>
            <w:shd w:val="clear" w:fill="142C52"/>
          </w:tcPr>
          <w:p>
            <w:r/>
            <w:r>
              <w:rPr>
                <w:b/>
                <w:color w:val="FFFFFF"/>
                <w:sz w:val="17"/>
              </w:rPr>
              <w:t>Change</w:t>
            </w:r>
          </w:p>
        </w:tc>
        <w:tc>
          <w:tcPr>
            <w:tcW w:type="dxa" w:w="3312"/>
            <w:vAlign w:val="center"/>
            <w:shd w:val="clear" w:fill="142C52"/>
          </w:tcPr>
          <w:p>
            <w:r/>
            <w:r>
              <w:rPr>
                <w:b/>
                <w:color w:val="FFFFFF"/>
                <w:sz w:val="17"/>
              </w:rPr>
              <w:t>Confirmed By</w:t>
            </w:r>
          </w:p>
        </w:tc>
      </w:tr>
      <w:tr>
        <w:tc>
          <w:tcPr>
            <w:tcW w:type="dxa" w:w="3312"/>
            <w:vAlign w:val="center"/>
          </w:tcPr>
          <w:p>
            <w:r/>
            <w:r>
              <w:rPr>
                <w:b w:val="0"/>
                <w:sz w:val="18"/>
              </w:rPr>
              <w:t>{{policy_start_date}}</w:t>
            </w:r>
          </w:p>
        </w:tc>
        <w:tc>
          <w:tcPr>
            <w:tcW w:type="dxa" w:w="3312"/>
            <w:vAlign w:val="center"/>
          </w:tcPr>
          <w:p>
            <w:r/>
            <w:r>
              <w:rPr>
                <w:b w:val="0"/>
                <w:sz w:val="18"/>
              </w:rPr>
              <w:t>Initial schedule established</w:t>
            </w:r>
          </w:p>
        </w:tc>
        <w:tc>
          <w:tcPr>
            <w:tcW w:type="dxa" w:w="3312"/>
            <w:vAlign w:val="center"/>
          </w:tcPr>
          <w:p>
            <w:r/>
            <w:r>
              <w:rPr>
                <w:b w:val="0"/>
                <w:sz w:val="18"/>
              </w:rPr>
              <w:t>{{underwriter_name}}</w:t>
            </w:r>
          </w:p>
        </w:tc>
      </w:tr>
    </w:tbl>
    <w:p/>
    <w:p>
      <w:pPr>
        <w:spacing w:after="120"/>
        <w:jc w:val="both"/>
      </w:pPr>
      <w:r>
        <w:t>Future additions, removals, or changes to this schedule will be logged here and confirmed to you in writing.</w:t>
      </w:r>
    </w:p>
    <w:sectPr w:rsidR="00FC693F" w:rsidRPr="0006063C" w:rsidSect="00034616">
      <w:headerReference w:type="default" r:id="rId9"/>
      <w:footerReference w:type="default" r:id="rId10"/>
      <w:pgSz w:w="12240" w:h="15840"/>
      <w:pgMar w:top="864" w:right="1152" w:bottom="864"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4"/>
      </w:rPr>
      <w:t>8400 Innovation Parkway, Suite 300  |  Dallas, TX 75201  |  1-800-555-0100  |  contosoinsurance.example</w:t>
    </w:r>
  </w:p>
  <w:p>
    <w:pPr>
      <w:jc w:val="center"/>
    </w:pPr>
    <w:r>
      <w:rPr>
        <w:i/>
        <w:color w:val="5A5A5A"/>
        <w:sz w:val="13"/>
      </w:rPr>
      <w:t>Contoso Insurance, Zava, and all names, addresses, policy numbers, and figures in this document are fictional, created for a product demonstration. This is not an insurance policy and provides no coverage.</w:t>
    </w:r>
  </w:p>
  <w:p>
    <w:pPr>
      <w:jc w:val="center"/>
    </w:pPr>
    <w:r>
      <w:rPr>
        <w:color w:val="5A5A5A"/>
        <w:sz w:val="14"/>
      </w:rPr>
      <w:t>Commercial Vehicle Schedule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w="9936" w:type="dxa"/>
      <w:tblBorders>
        <w:top w:val="nil"/>
        <w:left w:val="nil"/>
        <w:bottom w:val="nil"/>
        <w:right w:val="nil"/>
        <w:insideH w:val="nil"/>
        <w:insideV w:val="nil"/>
      </w:tblBorders>
      <w:tblLayout w:type="fixed"/>
      <w:tblCellMar>
        <w:top w:w="173" w:type="dxa"/>
        <w:left w:w="259" w:type="dxa"/>
        <w:bottom w:w="173" w:type="dxa"/>
        <w:right w:w="259" w:type="dxa"/>
      </w:tblCellMar>
      <w:tblLook w:firstColumn="1" w:firstRow="1" w:lastColumn="0" w:lastRow="0" w:noHBand="0" w:noVBand="1" w:val="04A0"/>
    </w:tblPr>
    <w:tblGrid>
      <w:gridCol w:w="6048"/>
      <w:gridCol w:w="3888"/>
    </w:tblGrid>
    <w:tr>
      <w:tc>
        <w:tcPr>
          <w:tcW w:type="dxa" w:w="6048"/>
          <w:vAlign w:val="center"/>
        </w:tcPr>
        <w:p>
          <w:pPr>
            <w:spacing w:after="40"/>
          </w:pPr>
          <w:r>
            <w:rPr>
              <w:rFonts w:ascii="Cambria" w:hAnsi="Cambria"/>
              <w:b/>
              <w:color w:val="142C52"/>
              <w:sz w:val="44"/>
            </w:rPr>
            <w:t>CONTOSO</w:t>
          </w:r>
          <w:r>
            <w:rPr>
              <w:rFonts w:ascii="Cambria" w:hAnsi="Cambria"/>
              <w:b/>
              <w:color w:val="B88A2E"/>
              <w:sz w:val="44"/>
            </w:rPr>
            <w:t xml:space="preserve"> INSURANCE</w:t>
          </w:r>
        </w:p>
        <w:p>
          <w:pPr>
            <w:spacing w:after="0"/>
          </w:pPr>
          <w:r>
            <w:rPr>
              <w:i/>
              <w:color w:val="5A5A5A"/>
              <w:sz w:val="16"/>
            </w:rPr>
            <w:t>Commercial Insurance  |  Licensed Carrier</w:t>
          </w:r>
        </w:p>
      </w:tc>
      <w:tc>
        <w:tcPr>
          <w:tcW w:type="dxa" w:w="3888"/>
          <w:vAlign w:val="center"/>
        </w:tcPr>
        <w:p>
          <w:pPr>
            <w:spacing w:after="80"/>
            <w:jc w:val="center"/>
          </w:pPr>
          <w:r>
            <w:rPr>
              <w:b/>
              <w:color w:val="142C52"/>
              <w:sz w:val="18"/>
            </w:rPr>
            <w:t>SCHEDULE</w:t>
          </w:r>
        </w:p>
        <w:p>
          <w:pPr>
            <w:spacing w:after="40"/>
            <w:jc w:val="center"/>
          </w:pPr>
          <w:r>
            <w:rPr>
              <w:b w:val="0"/>
              <w:color w:val="5A5A5A"/>
              <w:sz w:val="16"/>
            </w:rPr>
            <w:t>State of Florida</w:t>
          </w:r>
        </w:p>
        <w:p>
          <w:pPr>
            <w:spacing w:after="40"/>
            <w:jc w:val="center"/>
          </w:pPr>
          <w:r>
            <w:drawing>
              <wp:inline xmlns:a="http://schemas.openxmlformats.org/drawingml/2006/main" xmlns:pic="http://schemas.openxmlformats.org/drawingml/2006/picture">
                <wp:extent cx="777240" cy="777240"/>
                <wp:docPr id="1" name="fl_seal.png" descr="Seal of Florida (fl_seal.png)"/>
                <wp:cNvGraphicFramePr>
                  <a:graphicFrameLocks noChangeAspect="1"/>
                </wp:cNvGraphicFramePr>
                <a:graphic>
                  <a:graphicData uri="http://schemas.openxmlformats.org/drawingml/2006/picture">
                    <pic:pic>
                      <pic:nvPicPr>
                        <pic:cNvPr id="0" name="Seal_of_Florida.png"/>
                        <pic:cNvPicPr/>
                      </pic:nvPicPr>
                      <pic:blipFill>
                        <a:blip r:embed="rId1"/>
                        <a:stretch>
                          <a:fillRect/>
                        </a:stretch>
                      </pic:blipFill>
                      <pic:spPr>
                        <a:xfrm>
                          <a:off x="0" y="0"/>
                          <a:ext cx="777240" cy="777240"/>
                        </a:xfrm>
                        <a:prstGeom prst="rect"/>
                      </pic:spPr>
                    </pic:pic>
                  </a:graphicData>
                </a:graphic>
              </wp:inline>
            </w:drawing>
          </w:r>
        </w:p>
        <w:p>
          <w:pPr>
            <w:spacing w:after="0"/>
            <w:jc w:val="center"/>
          </w:pPr>
          <w:r>
            <w:rPr>
              <w:b w:val="0"/>
              <w:color w:val="5A5A5A"/>
              <w:sz w:val="14"/>
            </w:rPr>
            <w:t>Form CI-CV-FL-01</w:t>
          </w:r>
        </w:p>
      </w:tc>
    </w:tr>
  </w:tbl>
  <w:p>
    <w:pPr>
      <w:spacing w:after="200"/>
      <w:pBdr>
        <w:bottom w:val="single" w:sz="24" w:space="1" w:color="D9822B"/>
      </w:pBd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2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fl_seal.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