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Policy</w:t>
      </w:r>
    </w:p>
    <w:tbl>
      <w:tblPr>
        <w:tblStyle w:val="TableGrid"/>
        <w:tblW w:type="auto" w:w="0"/>
        <w:tblLayout w:type="fixed"/>
        <w:tblLook w:firstColumn="1" w:firstRow="1" w:lastColumn="0" w:lastRow="0" w:noHBand="0" w:noVBand="1" w:val="04A0"/>
      </w:tblPr>
      <w:tblGrid>
        <w:gridCol w:w="2448"/>
        <w:gridCol w:w="6480"/>
      </w:tblGrid>
      <w:tr>
        <w:tc>
          <w:tcPr>
            <w:tcW w:type="dxa" w:w="2448"/>
            <w:vAlign w:val="center"/>
            <w:shd w:val="clear" w:fill="F2F2F2"/>
          </w:tcPr>
          <w:p>
            <w:r/>
            <w:r>
              <w:rPr>
                <w:b/>
                <w:color w:val="142C52"/>
                <w:sz w:val="17"/>
              </w:rPr>
              <w:t>Named Insured</w:t>
            </w:r>
          </w:p>
        </w:tc>
        <w:tc>
          <w:tcPr>
            <w:tcW w:type="dxa" w:w="6480"/>
            <w:vAlign w:val="center"/>
          </w:tcPr>
          <w:p>
            <w:r/>
            <w:r>
              <w:rPr>
                <w:b w:val="0"/>
                <w:sz w:val="18"/>
              </w:rPr>
              <w:t>{{business_name}}</w:t>
            </w:r>
          </w:p>
        </w:tc>
      </w:tr>
      <w:tr>
        <w:tc>
          <w:tcPr>
            <w:tcW w:type="dxa" w:w="2448"/>
            <w:vAlign w:val="center"/>
            <w:shd w:val="clear" w:fill="F2F2F2"/>
          </w:tcPr>
          <w:p>
            <w:r/>
            <w:r>
              <w:rPr>
                <w:b/>
                <w:color w:val="142C52"/>
                <w:sz w:val="17"/>
              </w:rPr>
              <w:t>Mailing Address</w:t>
            </w:r>
          </w:p>
        </w:tc>
        <w:tc>
          <w:tcPr>
            <w:tcW w:type="dxa" w:w="6480"/>
            <w:vAlign w:val="center"/>
          </w:tcPr>
          <w:p>
            <w:r/>
            <w:r>
              <w:rPr>
                <w:b w:val="0"/>
                <w:sz w:val="18"/>
              </w:rPr>
              <w:t>{{street_address}}, {{city}}, {{state}} {{zip_code}}</w:t>
            </w:r>
          </w:p>
        </w:tc>
      </w:tr>
      <w:tr>
        <w:tc>
          <w:tcPr>
            <w:tcW w:type="dxa" w:w="2448"/>
            <w:vAlign w:val="center"/>
            <w:shd w:val="clear" w:fill="F2F2F2"/>
          </w:tcPr>
          <w:p>
            <w:r/>
            <w:r>
              <w:rPr>
                <w:b/>
                <w:color w:val="142C52"/>
                <w:sz w:val="17"/>
              </w:rPr>
              <w:t>Policy Number</w:t>
            </w:r>
          </w:p>
        </w:tc>
        <w:tc>
          <w:tcPr>
            <w:tcW w:type="dxa" w:w="6480"/>
            <w:vAlign w:val="center"/>
          </w:tcPr>
          <w:p>
            <w:r/>
            <w:r>
              <w:rPr>
                <w:b w:val="0"/>
                <w:sz w:val="18"/>
              </w:rPr>
              <w:t>{{policy_number}}</w:t>
            </w:r>
          </w:p>
        </w:tc>
      </w:tr>
      <w:tr>
        <w:tc>
          <w:tcPr>
            <w:tcW w:type="dxa" w:w="2448"/>
            <w:vAlign w:val="center"/>
            <w:shd w:val="clear" w:fill="F2F2F2"/>
          </w:tcPr>
          <w:p>
            <w:r/>
            <w:r>
              <w:rPr>
                <w:b/>
                <w:color w:val="142C52"/>
                <w:sz w:val="17"/>
              </w:rPr>
              <w:t>Policy Period</w:t>
            </w:r>
          </w:p>
        </w:tc>
        <w:tc>
          <w:tcPr>
            <w:tcW w:type="dxa" w:w="6480"/>
            <w:vAlign w:val="center"/>
          </w:tcPr>
          <w:p>
            <w:r/>
            <w:r>
              <w:rPr>
                <w:b w:val="0"/>
                <w:sz w:val="18"/>
              </w:rPr>
              <w:t>{{policy_start_date}} to {{policy_end_date}}, 12:01 a.m. standard time at the mailing address above</w:t>
            </w:r>
          </w:p>
        </w:tc>
      </w:tr>
      <w:tr>
        <w:tc>
          <w:tcPr>
            <w:tcW w:type="dxa" w:w="2448"/>
            <w:vAlign w:val="center"/>
            <w:shd w:val="clear" w:fill="F2F2F2"/>
          </w:tcPr>
          <w:p>
            <w:r/>
            <w:r>
              <w:rPr>
                <w:b/>
                <w:color w:val="142C52"/>
                <w:sz w:val="17"/>
              </w:rPr>
              <w:t>Producer</w:t>
            </w:r>
          </w:p>
        </w:tc>
        <w:tc>
          <w:tcPr>
            <w:tcW w:type="dxa" w:w="6480"/>
            <w:vAlign w:val="center"/>
          </w:tcPr>
          <w:p>
            <w:r/>
            <w:r>
              <w:rPr>
                <w:b w:val="0"/>
                <w:sz w:val="18"/>
              </w:rPr>
              <w:t>{{salesperson_name}}, Contoso Insurance</w:t>
            </w:r>
          </w:p>
        </w:tc>
      </w:tr>
      <w:tr>
        <w:tc>
          <w:tcPr>
            <w:tcW w:type="dxa" w:w="2448"/>
            <w:vAlign w:val="center"/>
            <w:shd w:val="clear" w:fill="F2F2F2"/>
          </w:tcPr>
          <w:p>
            <w:r/>
            <w:r>
              <w:rPr>
                <w:b/>
                <w:color w:val="142C52"/>
                <w:sz w:val="17"/>
              </w:rPr>
              <w:t>Underwriter</w:t>
            </w:r>
          </w:p>
        </w:tc>
        <w:tc>
          <w:tcPr>
            <w:tcW w:type="dxa" w:w="6480"/>
            <w:vAlign w:val="center"/>
          </w:tcPr>
          <w:p>
            <w:r/>
            <w:r>
              <w:rPr>
                <w:b w:val="0"/>
                <w:sz w:val="18"/>
              </w:rPr>
              <w:t>{{underwriter_name}}</w:t>
            </w:r>
          </w:p>
        </w:tc>
      </w:tr>
    </w:tbl>
    <w:p/>
    <w:p>
      <w:r>
        <w:rPr>
          <w:b/>
          <w:color w:val="142C52"/>
          <w:sz w:val="20"/>
        </w:rPr>
        <w:t>COVERAGE AND LIMITS OF INSURANCE</w:t>
      </w:r>
    </w:p>
    <w:tbl>
      <w:tblPr>
        <w:tblStyle w:val="TableGrid"/>
        <w:tblW w:type="auto" w:w="0"/>
        <w:tblLayout w:type="fixed"/>
        <w:tblLook w:firstColumn="1" w:firstRow="1" w:lastColumn="0" w:lastRow="0" w:noHBand="0" w:noVBand="1" w:val="04A0"/>
      </w:tblPr>
      <w:tblGrid>
        <w:gridCol w:w="5616"/>
        <w:gridCol w:w="3312"/>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 of Insurance</w:t>
            </w:r>
          </w:p>
        </w:tc>
      </w:tr>
      <w:tr>
        <w:tc>
          <w:tcPr>
            <w:tcW w:type="dxa" w:w="5616"/>
            <w:vAlign w:val="center"/>
          </w:tcPr>
          <w:p>
            <w:r/>
            <w:r>
              <w:rPr>
                <w:b w:val="0"/>
                <w:sz w:val="18"/>
              </w:rPr>
              <w:t>Business Liability</w:t>
            </w:r>
          </w:p>
        </w:tc>
        <w:tc>
          <w:tcPr>
            <w:tcW w:type="dxa" w:w="3312"/>
            <w:vAlign w:val="center"/>
          </w:tcPr>
          <w:p>
            <w:r/>
            <w:r>
              <w:rPr>
                <w:b w:val="0"/>
                <w:sz w:val="18"/>
              </w:rPr>
              <w:t>{{liability_limit}}</w:t>
            </w:r>
          </w:p>
        </w:tc>
      </w:tr>
      <w:tr>
        <w:tc>
          <w:tcPr>
            <w:tcW w:type="dxa" w:w="5616"/>
            <w:vAlign w:val="center"/>
          </w:tcPr>
          <w:p>
            <w:r/>
            <w:r>
              <w:rPr>
                <w:b w:val="0"/>
                <w:sz w:val="18"/>
              </w:rPr>
              <w:t>Commercial Vehicles</w:t>
            </w:r>
          </w:p>
        </w:tc>
        <w:tc>
          <w:tcPr>
            <w:tcW w:type="dxa" w:w="3312"/>
            <w:vAlign w:val="center"/>
          </w:tcPr>
          <w:p>
            <w:r/>
            <w:r>
              <w:rPr>
                <w:b w:val="0"/>
                <w:sz w:val="18"/>
              </w:rPr>
              <w:t>As scheduled -- see Commercial Vehicle Schedule</w:t>
            </w:r>
          </w:p>
        </w:tc>
      </w:tr>
      <w:tr>
        <w:tc>
          <w:tcPr>
            <w:tcW w:type="dxa" w:w="5616"/>
            <w:vAlign w:val="center"/>
          </w:tcPr>
          <w:p>
            <w:r/>
            <w:r>
              <w:rPr>
                <w:b w:val="0"/>
                <w:sz w:val="18"/>
              </w:rPr>
              <w:t>Workers' Compensation</w:t>
            </w:r>
          </w:p>
        </w:tc>
        <w:tc>
          <w:tcPr>
            <w:tcW w:type="dxa" w:w="3312"/>
            <w:vAlign w:val="center"/>
          </w:tcPr>
          <w:p>
            <w:r/>
            <w:r>
              <w:rPr>
                <w:b w:val="0"/>
                <w:sz w:val="18"/>
              </w:rPr>
              <w:t>{{wc_limit}}</w:t>
            </w:r>
          </w:p>
        </w:tc>
      </w:tr>
    </w:tbl>
    <w:p/>
    <w:p>
      <w:pPr>
        <w:spacing w:before="200" w:after="80"/>
      </w:pPr>
      <w:r>
        <w:rPr>
          <w:b/>
          <w:color w:val="142C52"/>
          <w:sz w:val="24"/>
        </w:rPr>
        <w:t>SCHEDULE OF FORMS AND ENDORSEMENTS ATTACHED TO THIS POLICY</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Form Number</w:t>
            </w:r>
          </w:p>
        </w:tc>
        <w:tc>
          <w:tcPr>
            <w:tcW w:type="dxa" w:w="4968"/>
            <w:vAlign w:val="center"/>
            <w:shd w:val="clear" w:fill="142C52"/>
          </w:tcPr>
          <w:p>
            <w:r/>
            <w:r>
              <w:rPr>
                <w:b/>
                <w:color w:val="FFFFFF"/>
                <w:sz w:val="17"/>
              </w:rPr>
              <w:t>Form Title</w:t>
            </w:r>
          </w:p>
        </w:tc>
      </w:tr>
      <w:tr>
        <w:tc>
          <w:tcPr>
            <w:tcW w:type="dxa" w:w="4968"/>
            <w:vAlign w:val="center"/>
          </w:tcPr>
          <w:p>
            <w:r/>
            <w:r>
              <w:rPr>
                <w:b w:val="0"/>
                <w:sz w:val="18"/>
              </w:rPr>
              <w:t>CI-GL-LA-01</w:t>
            </w:r>
          </w:p>
        </w:tc>
        <w:tc>
          <w:tcPr>
            <w:tcW w:type="dxa" w:w="4968"/>
            <w:vAlign w:val="center"/>
          </w:tcPr>
          <w:p>
            <w:r/>
            <w:r>
              <w:rPr>
                <w:b w:val="0"/>
                <w:sz w:val="18"/>
              </w:rPr>
              <w:t>Business Liability Coverage Form</w:t>
            </w:r>
          </w:p>
        </w:tc>
      </w:tr>
      <w:tr>
        <w:tc>
          <w:tcPr>
            <w:tcW w:type="dxa" w:w="4968"/>
            <w:vAlign w:val="center"/>
          </w:tcPr>
          <w:p>
            <w:r/>
            <w:r>
              <w:rPr>
                <w:b w:val="0"/>
                <w:sz w:val="18"/>
              </w:rPr>
              <w:t>CI-PR-LA-01</w:t>
            </w:r>
          </w:p>
        </w:tc>
        <w:tc>
          <w:tcPr>
            <w:tcW w:type="dxa" w:w="4968"/>
            <w:vAlign w:val="center"/>
          </w:tcPr>
          <w:p>
            <w:r/>
            <w:r>
              <w:rPr>
                <w:b w:val="0"/>
                <w:sz w:val="18"/>
              </w:rPr>
              <w:t>Property Coverage Form</w:t>
            </w:r>
          </w:p>
        </w:tc>
      </w:tr>
      <w:tr>
        <w:tc>
          <w:tcPr>
            <w:tcW w:type="dxa" w:w="4968"/>
            <w:vAlign w:val="center"/>
          </w:tcPr>
          <w:p>
            <w:r/>
            <w:r>
              <w:rPr>
                <w:b w:val="0"/>
                <w:sz w:val="18"/>
              </w:rPr>
              <w:t>CI-WC-LA-01</w:t>
            </w:r>
          </w:p>
        </w:tc>
        <w:tc>
          <w:tcPr>
            <w:tcW w:type="dxa" w:w="4968"/>
            <w:vAlign w:val="center"/>
          </w:tcPr>
          <w:p>
            <w:r/>
            <w:r>
              <w:rPr>
                <w:b w:val="0"/>
                <w:sz w:val="18"/>
              </w:rPr>
              <w:t>Workers' Compensation Notice of Coverage</w:t>
            </w:r>
          </w:p>
        </w:tc>
      </w:tr>
      <w:tr>
        <w:tc>
          <w:tcPr>
            <w:tcW w:type="dxa" w:w="4968"/>
            <w:vAlign w:val="center"/>
          </w:tcPr>
          <w:p>
            <w:r/>
            <w:r>
              <w:rPr>
                <w:b w:val="0"/>
                <w:sz w:val="18"/>
              </w:rPr>
              <w:t>CI-WC-LA-02</w:t>
            </w:r>
          </w:p>
        </w:tc>
        <w:tc>
          <w:tcPr>
            <w:tcW w:type="dxa" w:w="4968"/>
            <w:vAlign w:val="center"/>
          </w:tcPr>
          <w:p>
            <w:r/>
            <w:r>
              <w:rPr>
                <w:b w:val="0"/>
                <w:sz w:val="18"/>
              </w:rPr>
              <w:t>Workers' Compensation Employee Rights Posting</w:t>
            </w:r>
          </w:p>
        </w:tc>
      </w:tr>
      <w:tr>
        <w:tc>
          <w:tcPr>
            <w:tcW w:type="dxa" w:w="4968"/>
            <w:vAlign w:val="center"/>
          </w:tcPr>
          <w:p>
            <w:r/>
            <w:r>
              <w:rPr>
                <w:b w:val="0"/>
                <w:sz w:val="18"/>
              </w:rPr>
              <w:t>CI-UM-LA-01</w:t>
            </w:r>
          </w:p>
        </w:tc>
        <w:tc>
          <w:tcPr>
            <w:tcW w:type="dxa" w:w="4968"/>
            <w:vAlign w:val="center"/>
          </w:tcPr>
          <w:p>
            <w:r/>
            <w:r>
              <w:rPr>
                <w:b w:val="0"/>
                <w:sz w:val="18"/>
              </w:rPr>
              <w:t>Uninsured Motorist Coverage Election</w:t>
            </w:r>
          </w:p>
        </w:tc>
      </w:tr>
      <w:tr>
        <w:tc>
          <w:tcPr>
            <w:tcW w:type="dxa" w:w="4968"/>
            <w:vAlign w:val="center"/>
          </w:tcPr>
          <w:p>
            <w:r/>
            <w:r>
              <w:rPr>
                <w:b w:val="0"/>
                <w:sz w:val="18"/>
              </w:rPr>
              <w:t>CI-CV-LA-01</w:t>
            </w:r>
          </w:p>
        </w:tc>
        <w:tc>
          <w:tcPr>
            <w:tcW w:type="dxa" w:w="4968"/>
            <w:vAlign w:val="center"/>
          </w:tcPr>
          <w:p>
            <w:r/>
            <w:r>
              <w:rPr>
                <w:b w:val="0"/>
                <w:sz w:val="18"/>
              </w:rPr>
              <w:t>Commercial Vehicle Schedule</w:t>
            </w:r>
          </w:p>
        </w:tc>
      </w:tr>
      <w:tr>
        <w:tc>
          <w:tcPr>
            <w:tcW w:type="dxa" w:w="4968"/>
            <w:vAlign w:val="center"/>
          </w:tcPr>
          <w:p>
            <w:r/>
            <w:r>
              <w:rPr>
                <w:b w:val="0"/>
                <w:sz w:val="18"/>
              </w:rPr>
              <w:t>CI-PN-LA-01</w:t>
            </w:r>
          </w:p>
        </w:tc>
        <w:tc>
          <w:tcPr>
            <w:tcW w:type="dxa" w:w="4968"/>
            <w:vAlign w:val="center"/>
          </w:tcPr>
          <w:p>
            <w:r/>
            <w:r>
              <w:rPr>
                <w:b w:val="0"/>
                <w:sz w:val="18"/>
              </w:rPr>
              <w:t>Policyholder Notice</w:t>
            </w:r>
          </w:p>
        </w:tc>
      </w:tr>
    </w:tbl>
    <w:p/>
    <w:p>
      <w:pPr>
        <w:spacing w:before="200" w:after="80"/>
      </w:pPr>
      <w:r>
        <w:rPr>
          <w:b/>
          <w:color w:val="142C52"/>
          <w:sz w:val="24"/>
        </w:rPr>
        <w:t>SECTION 1 -- DEFINITIONS</w:t>
      </w:r>
    </w:p>
    <w:p>
      <w:pPr>
        <w:spacing w:after="120"/>
        <w:jc w:val="both"/>
      </w:pPr>
      <w:r>
        <w:t>Throughout this policy, the following terms have the meanings given below. Terms defined in an individual coverage form have the meaning given there for purposes of that form.</w:t>
      </w:r>
    </w:p>
    <w:p>
      <w:pPr>
        <w:spacing w:after="120"/>
        <w:jc w:val="both"/>
      </w:pPr>
      <w:r>
        <w:rPr>
          <w:b/>
          <w:color w:val="142C52"/>
        </w:rPr>
        <w:t xml:space="preserve">1.1  </w:t>
      </w:r>
      <w:r>
        <w:t>“We,” “us,” and “our” mean Contoso Insurance, the company issuing this policy.</w:t>
      </w:r>
    </w:p>
    <w:p>
      <w:pPr>
        <w:spacing w:after="120"/>
        <w:jc w:val="both"/>
      </w:pPr>
      <w:r>
        <w:rPr>
          <w:b/>
          <w:color w:val="142C52"/>
        </w:rPr>
        <w:t xml:space="preserve">1.2  </w:t>
      </w:r>
      <w:r>
        <w:t>“You” and “your” mean the Named Insured shown in the Declarations above, and, for Section 3 of this policy, any other person or organization qualifying as a Named Insured under this policy.</w:t>
      </w:r>
    </w:p>
    <w:p>
      <w:pPr>
        <w:spacing w:after="120"/>
        <w:jc w:val="both"/>
      </w:pPr>
      <w:r>
        <w:rPr>
          <w:b/>
          <w:color w:val="142C52"/>
        </w:rPr>
        <w:t xml:space="preserve">1.3  </w:t>
      </w:r>
      <w:r>
        <w:t>“Policy Period” means the period shown in the Declarations, or any shorter period that applies if this policy is cancelled.</w:t>
      </w:r>
    </w:p>
    <w:p>
      <w:pPr>
        <w:spacing w:after="120"/>
        <w:jc w:val="both"/>
      </w:pPr>
      <w:r>
        <w:rPr>
          <w:b/>
          <w:color w:val="142C52"/>
        </w:rPr>
        <w:t xml:space="preserve">1.4  </w:t>
      </w:r>
      <w:r>
        <w:t>“Occurrence” means an accident, including continuous or repeated exposure to substantially the same general harmful conditions.</w:t>
      </w:r>
    </w:p>
    <w:p>
      <w:pPr>
        <w:spacing w:after="120"/>
        <w:jc w:val="both"/>
      </w:pPr>
      <w:r>
        <w:rPr>
          <w:b/>
          <w:color w:val="142C52"/>
        </w:rPr>
        <w:t xml:space="preserve">1.5  </w:t>
      </w:r>
      <w:r>
        <w:t>“Bodily Injury” means bodily injury, sickness, or disease sustained by a person, including resulting death at any time.</w:t>
      </w:r>
    </w:p>
    <w:p>
      <w:pPr>
        <w:spacing w:after="120"/>
        <w:jc w:val="both"/>
      </w:pPr>
      <w:r>
        <w:rPr>
          <w:b/>
          <w:color w:val="142C52"/>
        </w:rPr>
        <w:t xml:space="preserve">1.6  </w:t>
      </w:r>
      <w:r>
        <w:t>“Property Damage” means physical injury to tangible property, including resulting loss of use, or loss of use of tangible property that is not physically injured.</w:t>
      </w:r>
    </w:p>
    <w:p>
      <w:pPr>
        <w:spacing w:after="120"/>
        <w:jc w:val="both"/>
      </w:pPr>
      <w:r>
        <w:rPr>
          <w:b/>
          <w:color w:val="142C52"/>
        </w:rPr>
        <w:t xml:space="preserve">1.7  </w:t>
      </w:r>
      <w:r>
        <w:t>“Limit of Insurance” means the most we will pay under a coverage, regardless of the number of claims made, except as otherwise stated in the coverage form for that coverage.</w:t>
      </w:r>
    </w:p>
    <w:p>
      <w:pPr>
        <w:spacing w:after="120"/>
        <w:jc w:val="both"/>
      </w:pPr>
      <w:r>
        <w:rPr>
          <w:b/>
          <w:color w:val="142C52"/>
        </w:rPr>
        <w:t xml:space="preserve">1.8  </w:t>
      </w:r>
      <w:r>
        <w:t>“Endorsement” means a document we issue that adds to, deletes from, or otherwise changes the terms of this policy.</w:t>
      </w:r>
    </w:p>
    <w:p>
      <w:pPr>
        <w:spacing w:after="120"/>
        <w:jc w:val="both"/>
      </w:pPr>
      <w:r>
        <w:rPr>
          <w:b/>
          <w:color w:val="142C52"/>
        </w:rPr>
        <w:t xml:space="preserve">1.9  </w:t>
      </w:r>
      <w:r>
        <w:t>“Premium” means the amount charged for the coverage provided under this policy, as shown in the Declarations and your billing schedule.</w:t>
      </w:r>
    </w:p>
    <w:p>
      <w:pPr>
        <w:spacing w:after="120"/>
        <w:jc w:val="both"/>
      </w:pPr>
      <w:r>
        <w:rPr>
          <w:b/>
          <w:color w:val="142C52"/>
        </w:rPr>
        <w:t xml:space="preserve">1.10  </w:t>
      </w:r>
      <w:r>
        <w:t>“Schedule” means a list attached to this policy identifying specific items, locations, or vehicles to which a coverage applies.</w:t>
      </w:r>
    </w:p>
    <w:p>
      <w:pPr>
        <w:spacing w:before="200" w:after="80"/>
      </w:pPr>
      <w:r>
        <w:rPr>
          <w:b/>
          <w:color w:val="142C52"/>
          <w:sz w:val="24"/>
        </w:rPr>
        <w:t>SECTION 2 -- INSURING AGREEMENT</w:t>
      </w:r>
    </w:p>
    <w:p>
      <w:pPr>
        <w:spacing w:after="120"/>
        <w:jc w:val="both"/>
      </w:pPr>
      <w:r>
        <w:rPr>
          <w:b/>
          <w:color w:val="142C52"/>
        </w:rPr>
        <w:t xml:space="preserve">2.1  </w:t>
      </w:r>
      <w:r>
        <w:t>In return for the premium paid and subject to all terms of this policy, we agree to provide the coverage described in the coverage forms attached to and made part of this policy for the Policy Period shown in the Declarations.</w:t>
      </w:r>
    </w:p>
    <w:p>
      <w:pPr>
        <w:spacing w:after="120"/>
        <w:jc w:val="both"/>
      </w:pPr>
      <w:r>
        <w:rPr>
          <w:b/>
          <w:color w:val="142C52"/>
        </w:rPr>
        <w:t xml:space="preserve">2.2  </w:t>
      </w:r>
      <w:r>
        <w:t>This policy is made up of this Policy Declarations page, the coverage forms listed in the schedule above, and any endorsements we issue. Together they form the entire contract between you and us. No agent or representative has authority to change this policy or waive any of its provisions except by a written endorsement we issue.</w:t>
      </w:r>
    </w:p>
    <w:p>
      <w:pPr>
        <w:spacing w:after="120"/>
        <w:jc w:val="both"/>
      </w:pPr>
      <w:r>
        <w:rPr>
          <w:b/>
          <w:color w:val="142C52"/>
        </w:rPr>
        <w:t xml:space="preserve">2.3  </w:t>
      </w:r>
      <w:r>
        <w:t>The coverage provided depends on which coverages are shown as purchased in the Declarations. A coverage form attached to this policy does not provide coverage unless the corresponding coverage is shown as purchased.</w:t>
      </w:r>
    </w:p>
    <w:p>
      <w:pPr>
        <w:spacing w:before="200" w:after="80"/>
      </w:pPr>
      <w:r>
        <w:rPr>
          <w:b/>
          <w:color w:val="142C52"/>
          <w:sz w:val="24"/>
        </w:rPr>
        <w:t>SECTION 3 -- GENERAL CONDITIONS</w:t>
      </w:r>
    </w:p>
    <w:p>
      <w:pPr>
        <w:spacing w:after="120"/>
        <w:jc w:val="both"/>
      </w:pPr>
      <w:r>
        <w:rPr>
          <w:b/>
          <w:color w:val="142C52"/>
        </w:rPr>
        <w:t xml:space="preserve">3.1  </w:t>
      </w:r>
      <w:r>
        <w:t>Cancellation. You may cancel this policy by giving us advance written notice of the date cancellation is to take effect. We may cancel this policy only for the reasons and in the manner permitted by the law of the state shown in the Declarations, and will mail or deliver written notice to you at the address shown in the Declarations.</w:t>
      </w:r>
    </w:p>
    <w:p>
      <w:pPr>
        <w:spacing w:after="120"/>
        <w:jc w:val="both"/>
      </w:pPr>
      <w:r>
        <w:rPr>
          <w:b/>
          <w:color w:val="142C52"/>
        </w:rPr>
        <w:t xml:space="preserve">3.2  </w:t>
      </w:r>
      <w:r>
        <w:t>Other insurance. If other valid insurance also covers a loss we cover under this policy, we will pay only our share, as described in the applicable coverage form.</w:t>
      </w:r>
    </w:p>
    <w:p>
      <w:pPr>
        <w:spacing w:after="120"/>
        <w:jc w:val="both"/>
      </w:pPr>
      <w:r>
        <w:rPr>
          <w:b/>
          <w:color w:val="142C52"/>
        </w:rPr>
        <w:t xml:space="preserve">3.3  </w:t>
      </w:r>
      <w:r>
        <w:t>Your duties after a loss. You must notify us promptly of any occurrence that may result in a claim, cooperate with our investigation, permit us to inspect the property or records involved, and take reasonable steps to prevent further loss.</w:t>
      </w:r>
    </w:p>
    <w:p>
      <w:pPr>
        <w:spacing w:after="120"/>
        <w:jc w:val="both"/>
      </w:pPr>
      <w:r>
        <w:rPr>
          <w:b/>
          <w:color w:val="142C52"/>
        </w:rPr>
        <w:t xml:space="preserve">3.4  </w:t>
      </w:r>
      <w:r>
        <w:t>Subrogation. If we pay a claim under this policy, we may require you to transfer to us your right to recover that amount from anyone else responsible for the loss, and you must do nothing after a loss to impair that right.</w:t>
      </w:r>
    </w:p>
    <w:p>
      <w:pPr>
        <w:spacing w:after="120"/>
        <w:jc w:val="both"/>
      </w:pPr>
      <w:r>
        <w:rPr>
          <w:b/>
          <w:color w:val="142C52"/>
        </w:rPr>
        <w:t xml:space="preserve">3.5  </w:t>
      </w:r>
      <w:r>
        <w:t>Changes. This policy contains all the agreements between you and us concerning the insurance afforded. Its terms can be changed only by a written endorsement we issue.</w:t>
      </w:r>
    </w:p>
    <w:p>
      <w:pPr>
        <w:spacing w:after="120"/>
        <w:jc w:val="both"/>
      </w:pPr>
      <w:r>
        <w:rPr>
          <w:b/>
          <w:color w:val="142C52"/>
        </w:rPr>
        <w:t xml:space="preserve">3.6  </w:t>
      </w:r>
      <w:r>
        <w:t>Examination of your books and records. We may examine and audit your books and records as they relate to this policy at any time during the Policy Period and up to three years afterward.</w:t>
      </w:r>
    </w:p>
    <w:p>
      <w:pPr>
        <w:spacing w:after="120"/>
        <w:jc w:val="both"/>
      </w:pPr>
      <w:r>
        <w:rPr>
          <w:b/>
          <w:color w:val="142C52"/>
        </w:rPr>
        <w:t xml:space="preserve">3.7  </w:t>
      </w:r>
      <w:r>
        <w:t>Inspections and surveys. We have the right, but not the duty, to inspect your premises and operations at any reasonable time. Our inspections do not constitute a warranty that your operations are safe, nor do they constitute an undertaking on our part to identify or correct hazards.</w:t>
      </w:r>
    </w:p>
    <w:p>
      <w:pPr>
        <w:spacing w:after="120"/>
        <w:jc w:val="both"/>
      </w:pPr>
      <w:r>
        <w:rPr>
          <w:b/>
          <w:color w:val="142C52"/>
        </w:rPr>
        <w:t xml:space="preserve">3.8  </w:t>
      </w:r>
      <w:r>
        <w:t>Liberalization. If we adopt a revision to a form or endorsement that broadens coverage under this policy without additional premium during the Policy Period, the broadened coverage applies to this policy as of the revision's effective date in your state.</w:t>
      </w:r>
    </w:p>
    <w:p>
      <w:pPr>
        <w:spacing w:after="120"/>
        <w:jc w:val="both"/>
      </w:pPr>
      <w:r>
        <w:rPr>
          <w:b/>
          <w:color w:val="142C52"/>
        </w:rPr>
        <w:t xml:space="preserve">3.9  </w:t>
      </w:r>
      <w:r>
        <w:t>Separation of insureds. Except for the Limit of Insurance, this insurance applies separately to each Named Insured against whom a claim is brought, as if each had a separate policy.</w:t>
      </w:r>
    </w:p>
    <w:p>
      <w:pPr>
        <w:spacing w:after="120"/>
        <w:jc w:val="both"/>
      </w:pPr>
      <w:r>
        <w:rPr>
          <w:b/>
          <w:color w:val="142C52"/>
        </w:rPr>
        <w:t xml:space="preserve">3.10  </w:t>
      </w:r>
      <w:r>
        <w:t>Assignment. Your rights and duties under this policy may not be transferred without our written consent.</w:t>
      </w:r>
    </w:p>
    <w:p>
      <w:pPr>
        <w:spacing w:before="200" w:after="80"/>
      </w:pPr>
      <w:r>
        <w:rPr>
          <w:b/>
          <w:color w:val="142C52"/>
          <w:sz w:val="24"/>
        </w:rPr>
        <w:t>SECTION 4 -- HOW YOUR COVERAGES WORK TOGETHER</w:t>
      </w:r>
    </w:p>
    <w:p>
      <w:pPr>
        <w:spacing w:after="120"/>
        <w:jc w:val="both"/>
      </w:pPr>
      <w:r>
        <w:t>Your coverages under this policy operate independently unless a coverage form specifically states otherwise. A loss excluded under one coverage form is not covered simply because it might be covered under another, unless that other form's insuring agreement specifically applies to the loss. For example, damage to a vehicle is addressed under your Commercial Vehicle Schedule and related forms, not under the Property Coverage Form, even though both are part of this policy.</w:t>
      </w:r>
    </w:p>
    <w:p>
      <w:pPr>
        <w:spacing w:after="120"/>
        <w:jc w:val="both"/>
      </w:pPr>
      <w:r>
        <w:t>If a loss involves more than one coverage, for example a fire that damages both your building and a covered vehicle parked inside it, each coverage form responds to the portion of the loss it covers, subject to that form's own Limit of Insurance and deductible.</w:t>
      </w:r>
    </w:p>
    <w:p>
      <w:pPr>
        <w:spacing w:before="200" w:after="80"/>
      </w:pPr>
      <w:r>
        <w:rPr>
          <w:b/>
          <w:color w:val="142C52"/>
          <w:sz w:val="24"/>
        </w:rPr>
        <w:t>SECTION 5 -- SIGNATURES</w:t>
      </w:r>
    </w:p>
    <w:p>
      <w:pPr>
        <w:spacing w:after="120"/>
        <w:jc w:val="both"/>
      </w:pPr>
      <w:r>
        <w:t>This policy is not valid unless countersigned, where required by law, by an authorized representative of Contoso Insurance.</w:t>
      </w:r>
    </w:p>
    <w:p/>
    <w:p>
      <w:r>
        <w:rPr>
          <w:b/>
        </w:rPr>
        <w:t xml:space="preserve">Authorized Representative: </w:t>
      </w:r>
      <w:r>
        <w:t>{{underwriter_name}}, Underwriting</w:t>
      </w:r>
    </w:p>
    <w:p>
      <w:r>
        <w:rPr>
          <w:b/>
        </w:rPr>
        <w:t xml:space="preserve">Countersignature Date: </w:t>
      </w:r>
      <w:r>
        <w:t>{{signature_date}}</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POLICY DECLARATIONS</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CI-POL-LA-01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